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50EC92">
      <w:pPr>
        <w:rPr>
          <w:rFonts w:hint="default" w:ascii="Times New Roman" w:hAnsi="Times New Roman" w:eastAsia="仿宋_GB2312" w:cs="Times New Roman"/>
          <w:color w:val="auto"/>
          <w:sz w:val="36"/>
          <w:szCs w:val="36"/>
        </w:rPr>
      </w:pPr>
    </w:p>
    <w:p w14:paraId="2B4FCB68">
      <w:pPr>
        <w:rPr>
          <w:rFonts w:hint="default" w:ascii="Times New Roman" w:hAnsi="Times New Roman" w:eastAsia="仿宋_GB2312" w:cs="Times New Roman"/>
          <w:color w:val="auto"/>
          <w:sz w:val="36"/>
          <w:szCs w:val="36"/>
          <w:highlight w:val="none"/>
        </w:rPr>
      </w:pPr>
    </w:p>
    <w:p w14:paraId="08A24FD4">
      <w:pPr>
        <w:rPr>
          <w:rFonts w:hint="default" w:ascii="Times New Roman" w:hAnsi="Times New Roman" w:eastAsia="仿宋_GB2312" w:cs="Times New Roman"/>
          <w:color w:val="auto"/>
          <w:sz w:val="36"/>
          <w:szCs w:val="36"/>
          <w:highlight w:val="none"/>
        </w:rPr>
      </w:pPr>
    </w:p>
    <w:p w14:paraId="04499CE4">
      <w:pPr>
        <w:pStyle w:val="16"/>
        <w:rPr>
          <w:rFonts w:hint="default"/>
        </w:rPr>
      </w:pPr>
    </w:p>
    <w:p w14:paraId="2B220277">
      <w:pPr>
        <w:rPr>
          <w:rFonts w:hint="default" w:ascii="Times New Roman" w:hAnsi="Times New Roman" w:eastAsia="仿宋_GB2312" w:cs="Times New Roman"/>
          <w:color w:val="auto"/>
          <w:sz w:val="36"/>
          <w:szCs w:val="36"/>
          <w:highlight w:val="none"/>
        </w:rPr>
      </w:pPr>
    </w:p>
    <w:p w14:paraId="02543B5C">
      <w:pPr>
        <w:adjustRightInd w:val="0"/>
        <w:snapToGrid w:val="0"/>
        <w:jc w:val="center"/>
        <w:outlineLvl w:val="9"/>
        <w:rPr>
          <w:rFonts w:hint="default" w:ascii="Times New Roman" w:hAnsi="Times New Roman" w:eastAsia="方正小标宋_GBK" w:cs="Times New Roman"/>
          <w:bCs/>
          <w:color w:val="auto"/>
          <w:sz w:val="72"/>
          <w:szCs w:val="72"/>
          <w:highlight w:val="none"/>
        </w:rPr>
      </w:pPr>
      <w:bookmarkStart w:id="0" w:name="_Toc24499"/>
      <w:bookmarkStart w:id="1" w:name="_Toc27167"/>
      <w:bookmarkStart w:id="2" w:name="_Toc14600"/>
      <w:bookmarkStart w:id="3" w:name="_Toc31232"/>
      <w:r>
        <w:rPr>
          <w:rFonts w:hint="default" w:ascii="Times New Roman" w:hAnsi="Times New Roman" w:eastAsia="方正小标宋_GBK" w:cs="Times New Roman"/>
          <w:bCs/>
          <w:color w:val="auto"/>
          <w:sz w:val="72"/>
          <w:szCs w:val="72"/>
          <w:highlight w:val="none"/>
        </w:rPr>
        <w:t>建设项目环境影响报告表</w:t>
      </w:r>
      <w:bookmarkEnd w:id="0"/>
      <w:bookmarkEnd w:id="1"/>
      <w:bookmarkEnd w:id="2"/>
      <w:bookmarkEnd w:id="3"/>
    </w:p>
    <w:p w14:paraId="5A5A21E1">
      <w:pPr>
        <w:adjustRightInd w:val="0"/>
        <w:snapToGrid w:val="0"/>
        <w:spacing w:before="192" w:beforeLines="80"/>
        <w:jc w:val="center"/>
        <w:rPr>
          <w:rFonts w:hint="default" w:ascii="Times New Roman" w:hAnsi="Times New Roman" w:eastAsia="楷体_GB2312" w:cs="Times New Roman"/>
          <w:color w:val="auto"/>
          <w:kern w:val="44"/>
          <w:sz w:val="44"/>
          <w:szCs w:val="44"/>
          <w:highlight w:val="none"/>
          <w:lang w:val="en-US" w:eastAsia="zh-CN"/>
        </w:rPr>
      </w:pPr>
      <w:r>
        <w:rPr>
          <w:rFonts w:hint="default" w:ascii="Times New Roman" w:hAnsi="Times New Roman" w:eastAsia="楷体_GB2312" w:cs="Times New Roman"/>
          <w:bCs/>
          <w:color w:val="auto"/>
          <w:sz w:val="48"/>
          <w:szCs w:val="48"/>
          <w:highlight w:val="none"/>
        </w:rPr>
        <w:t>（污染影响类）</w:t>
      </w:r>
      <w:r>
        <w:rPr>
          <w:rFonts w:hint="eastAsia" w:ascii="Times New Roman" w:hAnsi="Times New Roman" w:eastAsia="楷体_GB2312" w:cs="Times New Roman"/>
          <w:bCs/>
          <w:color w:val="auto"/>
          <w:sz w:val="48"/>
          <w:szCs w:val="48"/>
          <w:highlight w:val="none"/>
          <w:lang w:val="en-US" w:eastAsia="zh-CN"/>
        </w:rPr>
        <w:t xml:space="preserve">                           </w:t>
      </w:r>
    </w:p>
    <w:p w14:paraId="77739035">
      <w:pPr>
        <w:jc w:val="center"/>
        <w:rPr>
          <w:rFonts w:hint="default" w:ascii="Times New Roman" w:hAnsi="Times New Roman" w:eastAsia="仿宋" w:cs="Times New Roman"/>
          <w:color w:val="auto"/>
          <w:sz w:val="52"/>
          <w:szCs w:val="52"/>
          <w:highlight w:val="none"/>
          <w:lang w:val="en-US" w:eastAsia="zh-CN"/>
        </w:rPr>
      </w:pPr>
      <w:r>
        <w:rPr>
          <w:rFonts w:hint="eastAsia" w:ascii="Times New Roman" w:hAnsi="Times New Roman" w:eastAsia="仿宋" w:cs="Times New Roman"/>
          <w:color w:val="auto"/>
          <w:sz w:val="52"/>
          <w:szCs w:val="52"/>
          <w:highlight w:val="none"/>
          <w:lang w:val="en-US" w:eastAsia="zh-CN"/>
        </w:rPr>
        <w:t xml:space="preserve">                                                                             </w:t>
      </w:r>
    </w:p>
    <w:p w14:paraId="000DEAF7">
      <w:pPr>
        <w:ind w:firstLine="1040"/>
        <w:rPr>
          <w:rFonts w:hint="default" w:ascii="Times New Roman" w:hAnsi="Times New Roman" w:eastAsia="仿宋" w:cs="Times New Roman"/>
          <w:color w:val="auto"/>
          <w:sz w:val="44"/>
          <w:szCs w:val="44"/>
          <w:highlight w:val="none"/>
        </w:rPr>
      </w:pPr>
    </w:p>
    <w:p w14:paraId="10F85CB0">
      <w:pPr>
        <w:ind w:firstLine="1040"/>
        <w:rPr>
          <w:rFonts w:hint="default" w:ascii="Times New Roman" w:hAnsi="Times New Roman" w:eastAsia="仿宋" w:cs="Times New Roman"/>
          <w:color w:val="auto"/>
          <w:sz w:val="44"/>
          <w:szCs w:val="44"/>
          <w:highlight w:val="none"/>
          <w:lang w:val="en-US" w:eastAsia="zh-CN"/>
        </w:rPr>
      </w:pPr>
      <w:r>
        <w:rPr>
          <w:rFonts w:hint="eastAsia" w:ascii="Times New Roman" w:hAnsi="Times New Roman" w:eastAsia="仿宋" w:cs="Times New Roman"/>
          <w:color w:val="auto"/>
          <w:sz w:val="44"/>
          <w:szCs w:val="44"/>
          <w:highlight w:val="none"/>
          <w:lang w:val="en-US" w:eastAsia="zh-CN"/>
        </w:rPr>
        <w:t xml:space="preserve">                                         </w:t>
      </w:r>
    </w:p>
    <w:p w14:paraId="6FC4F1A9">
      <w:pPr>
        <w:ind w:firstLine="1040"/>
        <w:rPr>
          <w:rFonts w:hint="default" w:ascii="Times New Roman" w:hAnsi="Times New Roman" w:eastAsia="仿宋" w:cs="Times New Roman"/>
          <w:color w:val="auto"/>
          <w:sz w:val="44"/>
          <w:szCs w:val="44"/>
          <w:highlight w:val="none"/>
        </w:rPr>
      </w:pPr>
    </w:p>
    <w:p w14:paraId="2C31582D">
      <w:pPr>
        <w:ind w:firstLine="1040"/>
        <w:rPr>
          <w:rFonts w:hint="eastAsia" w:ascii="Times New Roman" w:hAnsi="Times New Roman" w:eastAsia="仿宋" w:cs="Times New Roman"/>
          <w:color w:val="auto"/>
          <w:sz w:val="44"/>
          <w:szCs w:val="44"/>
          <w:highlight w:val="none"/>
          <w:lang w:val="en-US" w:eastAsia="zh-CN"/>
        </w:rPr>
      </w:pPr>
      <w:r>
        <w:rPr>
          <w:rFonts w:hint="eastAsia" w:ascii="Times New Roman" w:hAnsi="Times New Roman" w:eastAsia="仿宋" w:cs="Times New Roman"/>
          <w:color w:val="auto"/>
          <w:sz w:val="44"/>
          <w:szCs w:val="44"/>
          <w:highlight w:val="none"/>
          <w:lang w:val="en-US" w:eastAsia="zh-CN"/>
        </w:rPr>
        <w:t xml:space="preserve">               </w:t>
      </w:r>
    </w:p>
    <w:p w14:paraId="22AA693B">
      <w:pPr>
        <w:ind w:firstLine="1040"/>
        <w:rPr>
          <w:rFonts w:hint="default" w:ascii="Times New Roman" w:hAnsi="Times New Roman" w:eastAsia="仿宋" w:cs="Times New Roman"/>
          <w:color w:val="auto"/>
          <w:sz w:val="44"/>
          <w:szCs w:val="44"/>
          <w:highlight w:val="none"/>
          <w:lang w:val="en-US" w:eastAsia="zh-CN"/>
        </w:rPr>
      </w:pPr>
      <w:r>
        <w:rPr>
          <w:rFonts w:hint="eastAsia" w:ascii="Times New Roman" w:hAnsi="Times New Roman" w:eastAsia="仿宋" w:cs="Times New Roman"/>
          <w:color w:val="auto"/>
          <w:sz w:val="44"/>
          <w:szCs w:val="44"/>
          <w:highlight w:val="none"/>
          <w:lang w:val="en-US" w:eastAsia="zh-CN"/>
        </w:rPr>
        <w:t xml:space="preserve">                                             </w:t>
      </w:r>
    </w:p>
    <w:p w14:paraId="0EA073F6">
      <w:pPr>
        <w:adjustRightInd w:val="0"/>
        <w:snapToGrid w:val="0"/>
        <w:spacing w:line="288" w:lineRule="auto"/>
        <w:ind w:left="3157" w:leftChars="497" w:hanging="2113" w:hangingChars="587"/>
        <w:rPr>
          <w:rFonts w:hint="default" w:ascii="Times New Roman" w:hAnsi="Times New Roman" w:eastAsia="仿宋_GB2312" w:cs="Times New Roman"/>
          <w:color w:val="auto"/>
          <w:sz w:val="36"/>
          <w:szCs w:val="36"/>
          <w:highlight w:val="none"/>
        </w:rPr>
      </w:pPr>
    </w:p>
    <w:p w14:paraId="735C9972">
      <w:pPr>
        <w:tabs>
          <w:tab w:val="left" w:pos="6510"/>
        </w:tabs>
        <w:adjustRightInd w:val="0"/>
        <w:snapToGrid w:val="0"/>
        <w:spacing w:line="288" w:lineRule="auto"/>
        <w:ind w:left="3157" w:leftChars="497" w:hanging="2113" w:hangingChars="587"/>
        <w:rPr>
          <w:rFonts w:hint="default" w:ascii="Times New Roman" w:hAnsi="Times New Roman" w:eastAsia="仿宋_GB2312" w:cs="Times New Roman"/>
          <w:color w:val="auto"/>
          <w:sz w:val="36"/>
          <w:szCs w:val="36"/>
          <w:highlight w:val="none"/>
          <w:u w:val="single"/>
          <w:lang w:eastAsia="zh-CN"/>
        </w:rPr>
      </w:pPr>
      <w:bookmarkStart w:id="4" w:name="_Hlk57884087"/>
      <w:r>
        <w:rPr>
          <w:rFonts w:hint="default" w:ascii="Times New Roman" w:hAnsi="Times New Roman" w:eastAsia="仿宋_GB2312" w:cs="Times New Roman"/>
          <w:color w:val="auto"/>
          <w:sz w:val="36"/>
          <w:szCs w:val="36"/>
          <w:highlight w:val="none"/>
        </w:rPr>
        <w:t>项目名称：</w:t>
      </w:r>
      <w:r>
        <w:rPr>
          <w:rFonts w:hint="eastAsia" w:eastAsia="仿宋_GB2312" w:cs="Times New Roman"/>
          <w:color w:val="auto"/>
          <w:sz w:val="36"/>
          <w:szCs w:val="36"/>
          <w:highlight w:val="none"/>
          <w:u w:val="single"/>
          <w:lang w:val="en-US" w:eastAsia="zh-CN"/>
        </w:rPr>
        <w:t>鸡西市大福煤炭销售有限公司建设项目</w:t>
      </w:r>
      <w:r>
        <w:rPr>
          <w:rFonts w:hint="eastAsia" w:ascii="Times New Roman" w:hAnsi="Times New Roman" w:eastAsia="仿宋_GB2312" w:cs="Times New Roman"/>
          <w:color w:val="auto"/>
          <w:sz w:val="36"/>
          <w:szCs w:val="36"/>
          <w:highlight w:val="none"/>
          <w:u w:val="single"/>
          <w:lang w:val="en-US" w:eastAsia="zh-CN"/>
        </w:rPr>
        <w:t xml:space="preserve">                  </w:t>
      </w:r>
    </w:p>
    <w:p w14:paraId="1DB41438">
      <w:pPr>
        <w:adjustRightInd w:val="0"/>
        <w:snapToGrid w:val="0"/>
        <w:spacing w:line="288" w:lineRule="auto"/>
        <w:ind w:left="4189" w:leftChars="504" w:hanging="3131" w:hangingChars="870"/>
        <w:rPr>
          <w:rFonts w:hint="default" w:ascii="Times New Roman" w:hAnsi="Times New Roman" w:eastAsia="仿宋_GB2312" w:cs="Times New Roman"/>
          <w:color w:val="auto"/>
          <w:sz w:val="36"/>
          <w:szCs w:val="36"/>
          <w:highlight w:val="none"/>
          <w:u w:val="none"/>
          <w:lang w:val="en-US"/>
        </w:rPr>
      </w:pPr>
      <w:r>
        <w:rPr>
          <w:rFonts w:hint="default" w:ascii="Times New Roman" w:hAnsi="Times New Roman" w:eastAsia="仿宋_GB2312" w:cs="Times New Roman"/>
          <w:color w:val="auto"/>
          <w:sz w:val="36"/>
          <w:szCs w:val="36"/>
          <w:highlight w:val="none"/>
        </w:rPr>
        <w:t>建设单位（盖章）：</w:t>
      </w:r>
      <w:r>
        <w:rPr>
          <w:rFonts w:hint="eastAsia" w:ascii="Times New Roman" w:hAnsi="Times New Roman" w:eastAsia="仿宋_GB2312" w:cs="Times New Roman"/>
          <w:color w:val="auto"/>
          <w:sz w:val="36"/>
          <w:szCs w:val="36"/>
          <w:highlight w:val="none"/>
          <w:u w:val="single"/>
          <w:lang w:val="en-US" w:eastAsia="zh-CN"/>
        </w:rPr>
        <w:t xml:space="preserve">鸡西市大福煤炭销售有限公司      </w:t>
      </w:r>
      <w:r>
        <w:rPr>
          <w:rFonts w:hint="eastAsia" w:ascii="Times New Roman" w:hAnsi="Times New Roman" w:eastAsia="仿宋_GB2312" w:cs="Times New Roman"/>
          <w:color w:val="auto"/>
          <w:sz w:val="36"/>
          <w:szCs w:val="36"/>
          <w:highlight w:val="none"/>
          <w:u w:val="none"/>
          <w:lang w:val="en-US" w:eastAsia="zh-CN"/>
        </w:rPr>
        <w:t xml:space="preserve"> </w:t>
      </w:r>
    </w:p>
    <w:p w14:paraId="2B1A0433">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r>
        <w:rPr>
          <w:rFonts w:hint="default" w:ascii="Times New Roman" w:hAnsi="Times New Roman" w:eastAsia="仿宋_GB2312" w:cs="Times New Roman"/>
          <w:color w:val="auto"/>
          <w:sz w:val="36"/>
          <w:szCs w:val="36"/>
          <w:highlight w:val="none"/>
        </w:rPr>
        <w:t>编制日期：</w:t>
      </w:r>
      <w:r>
        <w:rPr>
          <w:rFonts w:hint="eastAsia" w:ascii="Times New Roman" w:hAnsi="Times New Roman" w:eastAsia="仿宋_GB2312" w:cs="Times New Roman"/>
          <w:color w:val="auto"/>
          <w:sz w:val="36"/>
          <w:szCs w:val="36"/>
          <w:highlight w:val="none"/>
          <w:u w:val="single"/>
          <w:lang w:val="en-US" w:eastAsia="zh-CN"/>
        </w:rPr>
        <w:t xml:space="preserve">           </w:t>
      </w:r>
      <w:r>
        <w:rPr>
          <w:rFonts w:hint="default" w:ascii="Times New Roman" w:hAnsi="Times New Roman" w:eastAsia="仿宋_GB2312" w:cs="Times New Roman"/>
          <w:b w:val="0"/>
          <w:bCs w:val="0"/>
          <w:color w:val="auto"/>
          <w:sz w:val="36"/>
          <w:szCs w:val="36"/>
          <w:highlight w:val="none"/>
          <w:u w:val="single"/>
        </w:rPr>
        <w:t>202</w:t>
      </w:r>
      <w:r>
        <w:rPr>
          <w:rFonts w:hint="eastAsia" w:ascii="Times New Roman" w:hAnsi="Times New Roman" w:eastAsia="仿宋_GB2312" w:cs="Times New Roman"/>
          <w:color w:val="auto"/>
          <w:sz w:val="36"/>
          <w:szCs w:val="36"/>
          <w:highlight w:val="none"/>
          <w:u w:val="single"/>
          <w:lang w:val="en-US" w:eastAsia="zh-CN"/>
        </w:rPr>
        <w:t>4</w:t>
      </w:r>
      <w:r>
        <w:rPr>
          <w:rFonts w:hint="default" w:ascii="Times New Roman" w:hAnsi="Times New Roman" w:eastAsia="仿宋_GB2312" w:cs="Times New Roman"/>
          <w:color w:val="auto"/>
          <w:sz w:val="36"/>
          <w:szCs w:val="36"/>
          <w:highlight w:val="none"/>
          <w:u w:val="single"/>
        </w:rPr>
        <w:t>年</w:t>
      </w:r>
      <w:r>
        <w:rPr>
          <w:rFonts w:hint="eastAsia" w:eastAsia="仿宋_GB2312" w:cs="Times New Roman"/>
          <w:color w:val="auto"/>
          <w:sz w:val="36"/>
          <w:szCs w:val="36"/>
          <w:highlight w:val="none"/>
          <w:u w:val="single"/>
          <w:lang w:val="en-US" w:eastAsia="zh-CN"/>
        </w:rPr>
        <w:t>9</w:t>
      </w:r>
      <w:r>
        <w:rPr>
          <w:rFonts w:hint="default" w:ascii="Times New Roman" w:hAnsi="Times New Roman" w:eastAsia="仿宋_GB2312" w:cs="Times New Roman"/>
          <w:color w:val="auto"/>
          <w:sz w:val="36"/>
          <w:szCs w:val="36"/>
          <w:highlight w:val="none"/>
          <w:u w:val="single"/>
          <w:lang w:val="en-US" w:eastAsia="zh-CN"/>
        </w:rPr>
        <w:t xml:space="preserve">月                         </w:t>
      </w:r>
    </w:p>
    <w:p w14:paraId="7800D37A">
      <w:pPr>
        <w:pStyle w:val="12"/>
        <w:rPr>
          <w:rFonts w:hint="default" w:ascii="Times New Roman" w:hAnsi="Times New Roman"/>
          <w:color w:val="auto"/>
          <w:highlight w:val="none"/>
        </w:rPr>
      </w:pPr>
    </w:p>
    <w:p w14:paraId="0A16B685">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bookmarkEnd w:id="4"/>
    <w:p w14:paraId="5982233A">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365E356C">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0DC1D3E4">
      <w:pPr>
        <w:adjustRightInd w:val="0"/>
        <w:snapToGrid w:val="0"/>
        <w:spacing w:line="288" w:lineRule="auto"/>
        <w:jc w:val="center"/>
        <w:rPr>
          <w:rFonts w:hint="default" w:ascii="Times New Roman" w:hAnsi="Times New Roman" w:eastAsia="楷体_GB2312" w:cs="Times New Roman"/>
          <w:color w:val="auto"/>
          <w:sz w:val="36"/>
          <w:szCs w:val="36"/>
          <w:highlight w:val="none"/>
        </w:rPr>
      </w:pPr>
      <w:r>
        <w:rPr>
          <w:rFonts w:hint="default" w:ascii="Times New Roman" w:hAnsi="Times New Roman" w:eastAsia="楷体_GB2312" w:cs="Times New Roman"/>
          <w:color w:val="auto"/>
          <w:sz w:val="36"/>
          <w:szCs w:val="36"/>
          <w:highlight w:val="none"/>
        </w:rPr>
        <w:t>中华人民共和国生态环境部制</w:t>
      </w:r>
    </w:p>
    <w:p w14:paraId="140859C6">
      <w:pPr>
        <w:adjustRightInd w:val="0"/>
        <w:snapToGrid w:val="0"/>
        <w:spacing w:line="288" w:lineRule="auto"/>
        <w:ind w:firstLine="1040"/>
        <w:rPr>
          <w:rFonts w:hint="default" w:ascii="Times New Roman" w:hAnsi="Times New Roman" w:eastAsia="仿宋_GB2312" w:cs="Times New Roman"/>
          <w:color w:val="auto"/>
          <w:sz w:val="36"/>
          <w:szCs w:val="36"/>
          <w:highlight w:val="none"/>
        </w:rPr>
        <w:sectPr>
          <w:footerReference r:id="rId5" w:type="first"/>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p>
    <w:p w14:paraId="563E7B1A">
      <w:pPr>
        <w:pStyle w:val="2"/>
        <w:ind w:left="0" w:leftChars="0" w:firstLine="0" w:firstLineChars="0"/>
        <w:rPr>
          <w:rFonts w:hint="default"/>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r>
        <w:rPr>
          <w:rFonts w:hint="default" w:ascii="Times New Roman" w:hAnsi="Times New Roman" w:eastAsia="宋体" w:cs="Times New Roman"/>
          <w:b/>
          <w:bCs/>
          <w:color w:val="auto"/>
          <w:sz w:val="24"/>
          <w:szCs w:val="24"/>
          <w:highlight w:val="none"/>
          <w:lang w:val="en-US" w:eastAsia="zh-CN"/>
        </w:rPr>
        <w:drawing>
          <wp:inline distT="0" distB="0" distL="114300" distR="114300">
            <wp:extent cx="5615305" cy="7945755"/>
            <wp:effectExtent l="0" t="0" r="4445" b="17145"/>
            <wp:docPr id="13" name="图片 13" descr="资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资质_00"/>
                    <pic:cNvPicPr>
                      <a:picLocks noChangeAspect="1"/>
                    </pic:cNvPicPr>
                  </pic:nvPicPr>
                  <pic:blipFill>
                    <a:blip r:embed="rId12"/>
                    <a:stretch>
                      <a:fillRect/>
                    </a:stretch>
                  </pic:blipFill>
                  <pic:spPr>
                    <a:xfrm>
                      <a:off x="0" y="0"/>
                      <a:ext cx="5615305" cy="7945755"/>
                    </a:xfrm>
                    <a:prstGeom prst="rect">
                      <a:avLst/>
                    </a:prstGeom>
                  </pic:spPr>
                </pic:pic>
              </a:graphicData>
            </a:graphic>
          </wp:inline>
        </w:drawing>
      </w:r>
    </w:p>
    <w:p w14:paraId="0C1FEB9A">
      <w:pPr>
        <w:spacing w:before="0" w:beforeLines="0" w:after="0" w:afterLines="0" w:line="240" w:lineRule="auto"/>
        <w:ind w:left="0" w:leftChars="0" w:right="0" w:rightChars="0" w:firstLine="0" w:firstLineChars="0"/>
        <w:jc w:val="center"/>
        <w:rPr>
          <w:rFonts w:ascii="Times New Roman" w:hAnsi="Times New Roman"/>
          <w:b/>
          <w:bCs/>
          <w:color w:val="auto"/>
          <w:sz w:val="36"/>
          <w:szCs w:val="36"/>
          <w:highlight w:val="none"/>
        </w:rPr>
      </w:pPr>
      <w:r>
        <w:rPr>
          <w:rFonts w:ascii="Times New Roman" w:hAnsi="Times New Roman" w:eastAsia="宋体"/>
          <w:b/>
          <w:bCs/>
          <w:color w:val="auto"/>
          <w:sz w:val="36"/>
          <w:szCs w:val="36"/>
          <w:highlight w:val="none"/>
        </w:rPr>
        <w:t>目</w:t>
      </w:r>
      <w:r>
        <w:rPr>
          <w:rFonts w:hint="eastAsia" w:ascii="Times New Roman" w:hAnsi="Times New Roman" w:eastAsia="宋体"/>
          <w:b/>
          <w:bCs/>
          <w:color w:val="auto"/>
          <w:sz w:val="36"/>
          <w:szCs w:val="36"/>
          <w:highlight w:val="none"/>
          <w:lang w:val="en-US" w:eastAsia="zh-CN"/>
        </w:rPr>
        <w:t xml:space="preserve"> </w:t>
      </w:r>
      <w:r>
        <w:rPr>
          <w:rFonts w:ascii="Times New Roman" w:hAnsi="Times New Roman" w:eastAsia="宋体"/>
          <w:b/>
          <w:bCs/>
          <w:color w:val="auto"/>
          <w:sz w:val="36"/>
          <w:szCs w:val="36"/>
          <w:highlight w:val="none"/>
        </w:rPr>
        <w:t>录</w:t>
      </w:r>
    </w:p>
    <w:p w14:paraId="5229DC8A">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TOC \o "1-1" \h \u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_Toc23203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napToGrid w:val="0"/>
          <w:sz w:val="24"/>
          <w:szCs w:val="24"/>
          <w:highlight w:val="none"/>
        </w:rPr>
        <w:t>一、建设项目基本情况</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_Toc23203 \h </w:instrText>
      </w:r>
      <w:r>
        <w:rPr>
          <w:rFonts w:ascii="Times New Roman" w:hAnsi="Times New Roman" w:eastAsia="宋体"/>
          <w:sz w:val="24"/>
          <w:szCs w:val="24"/>
        </w:rPr>
        <w:fldChar w:fldCharType="separate"/>
      </w:r>
      <w:r>
        <w:rPr>
          <w:rFonts w:ascii="Times New Roman" w:hAnsi="Times New Roman" w:eastAsia="宋体"/>
          <w:sz w:val="24"/>
          <w:szCs w:val="24"/>
        </w:rPr>
        <w:t>1</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32AA37D4">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_Toc28258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napToGrid w:val="0"/>
          <w:sz w:val="24"/>
          <w:szCs w:val="24"/>
          <w:highlight w:val="none"/>
        </w:rPr>
        <w:t>二、建设项目工程分析</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_Toc28258 \h </w:instrText>
      </w:r>
      <w:r>
        <w:rPr>
          <w:rFonts w:ascii="Times New Roman" w:hAnsi="Times New Roman" w:eastAsia="宋体"/>
          <w:sz w:val="24"/>
          <w:szCs w:val="24"/>
        </w:rPr>
        <w:fldChar w:fldCharType="separate"/>
      </w:r>
      <w:r>
        <w:rPr>
          <w:rFonts w:ascii="Times New Roman" w:hAnsi="Times New Roman" w:eastAsia="宋体"/>
          <w:sz w:val="24"/>
          <w:szCs w:val="24"/>
        </w:rPr>
        <w:t>16</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6873BB0D">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_Toc15540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napToGrid w:val="0"/>
          <w:sz w:val="24"/>
          <w:szCs w:val="24"/>
          <w:highlight w:val="none"/>
        </w:rPr>
        <w:t>三、区域环境质量现状、环境保护目标及评价标准</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_Toc15540 \h </w:instrText>
      </w:r>
      <w:r>
        <w:rPr>
          <w:rFonts w:ascii="Times New Roman" w:hAnsi="Times New Roman" w:eastAsia="宋体"/>
          <w:sz w:val="24"/>
          <w:szCs w:val="24"/>
        </w:rPr>
        <w:fldChar w:fldCharType="separate"/>
      </w:r>
      <w:r>
        <w:rPr>
          <w:rFonts w:ascii="Times New Roman" w:hAnsi="Times New Roman" w:eastAsia="宋体"/>
          <w:sz w:val="24"/>
          <w:szCs w:val="24"/>
        </w:rPr>
        <w:t>27</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26C4C752">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_Toc20607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napToGrid w:val="0"/>
          <w:sz w:val="24"/>
          <w:szCs w:val="24"/>
          <w:highlight w:val="none"/>
        </w:rPr>
        <w:t>四、主要环境影响和保护措施</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_Toc20607 \h </w:instrText>
      </w:r>
      <w:r>
        <w:rPr>
          <w:rFonts w:ascii="Times New Roman" w:hAnsi="Times New Roman" w:eastAsia="宋体"/>
          <w:sz w:val="24"/>
          <w:szCs w:val="24"/>
        </w:rPr>
        <w:fldChar w:fldCharType="separate"/>
      </w:r>
      <w:r>
        <w:rPr>
          <w:rFonts w:ascii="Times New Roman" w:hAnsi="Times New Roman" w:eastAsia="宋体"/>
          <w:sz w:val="24"/>
          <w:szCs w:val="24"/>
        </w:rPr>
        <w:t>32</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5214F004">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_Toc1790 </w:instrText>
      </w:r>
      <w:r>
        <w:rPr>
          <w:rFonts w:hint="default" w:ascii="Times New Roman" w:hAnsi="Times New Roman" w:eastAsia="宋体" w:cs="Times New Roman"/>
          <w:sz w:val="24"/>
          <w:szCs w:val="24"/>
          <w:highlight w:val="none"/>
        </w:rPr>
        <w:fldChar w:fldCharType="separate"/>
      </w:r>
      <w:r>
        <w:rPr>
          <w:rFonts w:hint="eastAsia" w:ascii="Times New Roman" w:hAnsi="Times New Roman" w:eastAsia="宋体" w:cs="Times New Roman"/>
          <w:snapToGrid w:val="0"/>
          <w:sz w:val="24"/>
          <w:szCs w:val="24"/>
        </w:rPr>
        <w:t xml:space="preserve">五、 </w:t>
      </w:r>
      <w:r>
        <w:rPr>
          <w:rFonts w:hint="default" w:ascii="Times New Roman" w:hAnsi="Times New Roman" w:eastAsia="宋体" w:cs="Times New Roman"/>
          <w:snapToGrid w:val="0"/>
          <w:sz w:val="24"/>
          <w:szCs w:val="24"/>
          <w:highlight w:val="none"/>
        </w:rPr>
        <w:t>环境保护措施监督检查清单</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_Toc1790 \h </w:instrText>
      </w:r>
      <w:r>
        <w:rPr>
          <w:rFonts w:ascii="Times New Roman" w:hAnsi="Times New Roman" w:eastAsia="宋体"/>
          <w:sz w:val="24"/>
          <w:szCs w:val="24"/>
        </w:rPr>
        <w:fldChar w:fldCharType="separate"/>
      </w:r>
      <w:r>
        <w:rPr>
          <w:rFonts w:ascii="Times New Roman" w:hAnsi="Times New Roman" w:eastAsia="宋体"/>
          <w:sz w:val="24"/>
          <w:szCs w:val="24"/>
        </w:rPr>
        <w:t>55</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43687617">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_Toc30983 </w:instrText>
      </w:r>
      <w:r>
        <w:rPr>
          <w:rFonts w:hint="default" w:ascii="Times New Roman" w:hAnsi="Times New Roman" w:eastAsia="宋体" w:cs="Times New Roman"/>
          <w:sz w:val="24"/>
          <w:szCs w:val="24"/>
          <w:highlight w:val="none"/>
        </w:rPr>
        <w:fldChar w:fldCharType="separate"/>
      </w:r>
      <w:r>
        <w:rPr>
          <w:rFonts w:hint="eastAsia" w:ascii="Times New Roman" w:hAnsi="Times New Roman" w:eastAsia="宋体" w:cs="Times New Roman"/>
          <w:snapToGrid w:val="0"/>
          <w:sz w:val="24"/>
          <w:szCs w:val="24"/>
          <w:highlight w:val="none"/>
          <w:lang w:val="en-US" w:eastAsia="zh-CN"/>
        </w:rPr>
        <w:t>六、</w:t>
      </w:r>
      <w:r>
        <w:rPr>
          <w:rFonts w:hint="default" w:ascii="Times New Roman" w:hAnsi="Times New Roman" w:eastAsia="宋体" w:cs="Times New Roman"/>
          <w:snapToGrid w:val="0"/>
          <w:sz w:val="24"/>
          <w:szCs w:val="24"/>
          <w:highlight w:val="none"/>
          <w:lang w:val="en-US" w:eastAsia="zh-CN"/>
        </w:rPr>
        <w:t>结论与建议</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_Toc30983 \h </w:instrText>
      </w:r>
      <w:r>
        <w:rPr>
          <w:rFonts w:ascii="Times New Roman" w:hAnsi="Times New Roman" w:eastAsia="宋体"/>
          <w:sz w:val="24"/>
          <w:szCs w:val="24"/>
        </w:rPr>
        <w:fldChar w:fldCharType="separate"/>
      </w:r>
      <w:r>
        <w:rPr>
          <w:rFonts w:ascii="Times New Roman" w:hAnsi="Times New Roman" w:eastAsia="宋体"/>
          <w:sz w:val="24"/>
          <w:szCs w:val="24"/>
        </w:rPr>
        <w:t>58</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71349FC4">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rPr>
      </w:pPr>
    </w:p>
    <w:p w14:paraId="60F69C2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b/>
          <w:bCs/>
          <w:lang w:eastAsia="zh-CN"/>
        </w:rPr>
      </w:pPr>
      <w:r>
        <w:rPr>
          <w:rFonts w:hint="eastAsia" w:ascii="Times New Roman" w:hAnsi="Times New Roman" w:eastAsia="宋体" w:cs="Times New Roman"/>
          <w:b/>
          <w:bCs/>
          <w:color w:val="auto"/>
          <w:sz w:val="24"/>
          <w:szCs w:val="24"/>
          <w:highlight w:val="none"/>
          <w:lang w:eastAsia="zh-CN"/>
        </w:rPr>
        <w:t>附表</w:t>
      </w:r>
    </w:p>
    <w:p w14:paraId="1E0FE96E">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_Toc30545 </w:instrText>
      </w:r>
      <w:r>
        <w:rPr>
          <w:rFonts w:hint="default" w:ascii="Times New Roman" w:hAnsi="Times New Roman" w:eastAsia="宋体" w:cs="Times New Roman"/>
          <w:sz w:val="24"/>
          <w:szCs w:val="24"/>
          <w:highlight w:val="none"/>
        </w:rPr>
        <w:fldChar w:fldCharType="separate"/>
      </w:r>
      <w:r>
        <w:rPr>
          <w:rFonts w:hint="eastAsia" w:ascii="Times New Roman" w:hAnsi="Times New Roman" w:eastAsia="宋体"/>
          <w:bCs/>
          <w:sz w:val="24"/>
          <w:szCs w:val="24"/>
          <w:highlight w:val="none"/>
          <w:lang w:eastAsia="zh-CN"/>
        </w:rPr>
        <w:t>附表</w:t>
      </w:r>
      <w:r>
        <w:rPr>
          <w:rFonts w:hint="eastAsia" w:ascii="Times New Roman" w:hAnsi="Times New Roman" w:eastAsia="宋体"/>
          <w:bCs/>
          <w:sz w:val="24"/>
          <w:szCs w:val="24"/>
          <w:highlight w:val="none"/>
          <w:lang w:val="en-US" w:eastAsia="zh-CN"/>
        </w:rPr>
        <w:t>1 建设项目污染物排放量汇总表</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_Toc30545 \h </w:instrText>
      </w:r>
      <w:r>
        <w:rPr>
          <w:rFonts w:ascii="Times New Roman" w:hAnsi="Times New Roman" w:eastAsia="宋体"/>
          <w:sz w:val="24"/>
          <w:szCs w:val="24"/>
        </w:rPr>
        <w:fldChar w:fldCharType="separate"/>
      </w:r>
      <w:r>
        <w:rPr>
          <w:rFonts w:ascii="Times New Roman" w:hAnsi="Times New Roman" w:eastAsia="宋体"/>
          <w:sz w:val="24"/>
          <w:szCs w:val="24"/>
        </w:rPr>
        <w:t>59</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575F47F2">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rPr>
      </w:pPr>
    </w:p>
    <w:p w14:paraId="013AEAAD">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eastAsia="zh-CN"/>
        </w:rPr>
        <w:t>附图</w:t>
      </w:r>
    </w:p>
    <w:p w14:paraId="090E3A3D">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_Toc13299 </w:instrText>
      </w:r>
      <w:r>
        <w:rPr>
          <w:rFonts w:hint="default" w:ascii="Times New Roman" w:hAnsi="Times New Roman" w:eastAsia="宋体" w:cs="Times New Roman"/>
          <w:sz w:val="24"/>
          <w:szCs w:val="24"/>
          <w:highlight w:val="none"/>
        </w:rPr>
        <w:fldChar w:fldCharType="separate"/>
      </w:r>
      <w:r>
        <w:rPr>
          <w:rFonts w:hint="eastAsia" w:ascii="Times New Roman" w:hAnsi="Times New Roman" w:eastAsia="宋体" w:cs="Times New Roman"/>
          <w:bCs/>
          <w:sz w:val="24"/>
          <w:szCs w:val="24"/>
          <w:highlight w:val="none"/>
          <w:lang w:eastAsia="zh-CN"/>
        </w:rPr>
        <w:t>附图</w:t>
      </w:r>
      <w:r>
        <w:rPr>
          <w:rFonts w:hint="eastAsia" w:ascii="Times New Roman" w:hAnsi="Times New Roman" w:eastAsia="宋体" w:cs="Times New Roman"/>
          <w:bCs/>
          <w:sz w:val="24"/>
          <w:szCs w:val="24"/>
          <w:highlight w:val="none"/>
          <w:lang w:val="en-US" w:eastAsia="zh-CN"/>
        </w:rPr>
        <w:t>1 鸡西市环境管控单元分布图</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_Toc13299 \h </w:instrText>
      </w:r>
      <w:r>
        <w:rPr>
          <w:rFonts w:ascii="Times New Roman" w:hAnsi="Times New Roman" w:eastAsia="宋体"/>
          <w:sz w:val="24"/>
          <w:szCs w:val="24"/>
        </w:rPr>
        <w:fldChar w:fldCharType="separate"/>
      </w:r>
      <w:r>
        <w:rPr>
          <w:rFonts w:ascii="Times New Roman" w:hAnsi="Times New Roman" w:eastAsia="宋体"/>
          <w:sz w:val="24"/>
          <w:szCs w:val="24"/>
        </w:rPr>
        <w:t>60</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1616ECDC">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_Toc31102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bCs/>
          <w:sz w:val="24"/>
          <w:szCs w:val="24"/>
          <w:highlight w:val="none"/>
          <w:lang w:val="en-US" w:eastAsia="zh-CN"/>
        </w:rPr>
        <w:t>附图</w:t>
      </w:r>
      <w:r>
        <w:rPr>
          <w:rFonts w:hint="eastAsia" w:ascii="Times New Roman" w:hAnsi="Times New Roman" w:eastAsia="宋体" w:cs="Times New Roman"/>
          <w:bCs/>
          <w:sz w:val="24"/>
          <w:szCs w:val="24"/>
          <w:highlight w:val="none"/>
          <w:lang w:val="en-US" w:eastAsia="zh-CN"/>
        </w:rPr>
        <w:t>2地理位置</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_Toc31102 \h </w:instrText>
      </w:r>
      <w:r>
        <w:rPr>
          <w:rFonts w:ascii="Times New Roman" w:hAnsi="Times New Roman" w:eastAsia="宋体"/>
          <w:sz w:val="24"/>
          <w:szCs w:val="24"/>
        </w:rPr>
        <w:fldChar w:fldCharType="separate"/>
      </w:r>
      <w:r>
        <w:rPr>
          <w:rFonts w:ascii="Times New Roman" w:hAnsi="Times New Roman" w:eastAsia="宋体"/>
          <w:sz w:val="24"/>
          <w:szCs w:val="24"/>
        </w:rPr>
        <w:t>61</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049B9B16">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_Toc14875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bCs/>
          <w:sz w:val="24"/>
          <w:szCs w:val="24"/>
          <w:highlight w:val="none"/>
          <w:lang w:val="en-US" w:eastAsia="zh-CN"/>
        </w:rPr>
        <w:t>附图</w:t>
      </w:r>
      <w:r>
        <w:rPr>
          <w:rFonts w:hint="eastAsia" w:ascii="Times New Roman" w:hAnsi="Times New Roman" w:eastAsia="宋体" w:cs="Times New Roman"/>
          <w:bCs/>
          <w:sz w:val="24"/>
          <w:szCs w:val="24"/>
          <w:highlight w:val="none"/>
          <w:lang w:val="en-US" w:eastAsia="zh-CN"/>
        </w:rPr>
        <w:t>3</w:t>
      </w:r>
      <w:r>
        <w:rPr>
          <w:rFonts w:hint="default" w:ascii="Times New Roman" w:hAnsi="Times New Roman" w:eastAsia="宋体" w:cs="Times New Roman"/>
          <w:bCs/>
          <w:sz w:val="24"/>
          <w:szCs w:val="24"/>
          <w:highlight w:val="none"/>
          <w:lang w:val="en-US" w:eastAsia="zh-CN"/>
        </w:rPr>
        <w:t xml:space="preserve"> 周边关系照片</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_Toc14875 \h </w:instrText>
      </w:r>
      <w:r>
        <w:rPr>
          <w:rFonts w:ascii="Times New Roman" w:hAnsi="Times New Roman" w:eastAsia="宋体"/>
          <w:sz w:val="24"/>
          <w:szCs w:val="24"/>
        </w:rPr>
        <w:fldChar w:fldCharType="separate"/>
      </w:r>
      <w:r>
        <w:rPr>
          <w:rFonts w:ascii="Times New Roman" w:hAnsi="Times New Roman" w:eastAsia="宋体"/>
          <w:sz w:val="24"/>
          <w:szCs w:val="24"/>
        </w:rPr>
        <w:t>62</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2EE86FB3">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_Toc7377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bCs/>
          <w:sz w:val="24"/>
          <w:szCs w:val="24"/>
          <w:highlight w:val="none"/>
        </w:rPr>
        <w:t>附图</w:t>
      </w:r>
      <w:r>
        <w:rPr>
          <w:rFonts w:hint="eastAsia" w:ascii="Times New Roman" w:hAnsi="Times New Roman" w:eastAsia="宋体" w:cs="Times New Roman"/>
          <w:bCs/>
          <w:sz w:val="24"/>
          <w:szCs w:val="24"/>
          <w:highlight w:val="none"/>
          <w:lang w:val="en-US" w:eastAsia="zh-CN"/>
        </w:rPr>
        <w:t>4</w:t>
      </w:r>
      <w:r>
        <w:rPr>
          <w:rFonts w:hint="default" w:ascii="Times New Roman" w:hAnsi="Times New Roman" w:eastAsia="宋体" w:cs="Times New Roman"/>
          <w:bCs/>
          <w:sz w:val="24"/>
          <w:szCs w:val="24"/>
          <w:highlight w:val="none"/>
        </w:rPr>
        <w:t xml:space="preserve"> 平面布置</w:t>
      </w:r>
      <w:r>
        <w:rPr>
          <w:rFonts w:hint="eastAsia" w:ascii="Times New Roman" w:hAnsi="Times New Roman" w:eastAsia="宋体" w:cs="Times New Roman"/>
          <w:bCs/>
          <w:sz w:val="24"/>
          <w:szCs w:val="24"/>
          <w:highlight w:val="none"/>
          <w:lang w:eastAsia="zh-CN"/>
        </w:rPr>
        <w:t>图</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_Toc7377 \h </w:instrText>
      </w:r>
      <w:r>
        <w:rPr>
          <w:rFonts w:ascii="Times New Roman" w:hAnsi="Times New Roman" w:eastAsia="宋体"/>
          <w:sz w:val="24"/>
          <w:szCs w:val="24"/>
        </w:rPr>
        <w:fldChar w:fldCharType="separate"/>
      </w:r>
      <w:r>
        <w:rPr>
          <w:rFonts w:ascii="Times New Roman" w:hAnsi="Times New Roman" w:eastAsia="宋体"/>
          <w:sz w:val="24"/>
          <w:szCs w:val="24"/>
        </w:rPr>
        <w:t>63</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4515709E">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_Toc257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bCs/>
          <w:sz w:val="24"/>
          <w:szCs w:val="24"/>
          <w:highlight w:val="none"/>
        </w:rPr>
        <w:t>附图</w:t>
      </w:r>
      <w:r>
        <w:rPr>
          <w:rFonts w:hint="eastAsia" w:ascii="Times New Roman" w:hAnsi="Times New Roman" w:eastAsia="宋体" w:cs="Times New Roman"/>
          <w:bCs/>
          <w:sz w:val="24"/>
          <w:szCs w:val="24"/>
          <w:highlight w:val="none"/>
          <w:lang w:val="en-US" w:eastAsia="zh-CN"/>
        </w:rPr>
        <w:t>5</w:t>
      </w:r>
      <w:r>
        <w:rPr>
          <w:rFonts w:hint="default" w:ascii="Times New Roman" w:hAnsi="Times New Roman" w:eastAsia="宋体" w:cs="Times New Roman"/>
          <w:bCs/>
          <w:sz w:val="24"/>
          <w:szCs w:val="24"/>
          <w:highlight w:val="none"/>
        </w:rPr>
        <w:t xml:space="preserve"> </w:t>
      </w:r>
      <w:r>
        <w:rPr>
          <w:rFonts w:hint="default" w:ascii="Times New Roman" w:hAnsi="Times New Roman" w:eastAsia="宋体" w:cs="Times New Roman"/>
          <w:bCs/>
          <w:sz w:val="24"/>
          <w:szCs w:val="24"/>
          <w:highlight w:val="none"/>
          <w:lang w:val="en-US" w:eastAsia="zh-CN"/>
        </w:rPr>
        <w:t>监测点位图</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_Toc257 \h </w:instrText>
      </w:r>
      <w:r>
        <w:rPr>
          <w:rFonts w:ascii="Times New Roman" w:hAnsi="Times New Roman" w:eastAsia="宋体"/>
          <w:sz w:val="24"/>
          <w:szCs w:val="24"/>
        </w:rPr>
        <w:fldChar w:fldCharType="separate"/>
      </w:r>
      <w:r>
        <w:rPr>
          <w:rFonts w:ascii="Times New Roman" w:hAnsi="Times New Roman" w:eastAsia="宋体"/>
          <w:sz w:val="24"/>
          <w:szCs w:val="24"/>
        </w:rPr>
        <w:t>64</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38625C0C">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_Toc29285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bCs/>
          <w:sz w:val="24"/>
          <w:szCs w:val="24"/>
          <w:highlight w:val="none"/>
        </w:rPr>
        <w:t>附图</w:t>
      </w:r>
      <w:r>
        <w:rPr>
          <w:rFonts w:hint="eastAsia" w:ascii="Times New Roman" w:hAnsi="Times New Roman" w:eastAsia="宋体" w:cs="Times New Roman"/>
          <w:bCs/>
          <w:sz w:val="24"/>
          <w:szCs w:val="24"/>
          <w:highlight w:val="none"/>
          <w:lang w:val="en-US" w:eastAsia="zh-CN"/>
        </w:rPr>
        <w:t>6</w:t>
      </w:r>
      <w:r>
        <w:rPr>
          <w:rFonts w:hint="default" w:ascii="Times New Roman" w:hAnsi="Times New Roman" w:eastAsia="宋体" w:cs="Times New Roman"/>
          <w:bCs/>
          <w:sz w:val="24"/>
          <w:szCs w:val="24"/>
          <w:highlight w:val="none"/>
        </w:rPr>
        <w:t xml:space="preserve"> </w:t>
      </w:r>
      <w:r>
        <w:rPr>
          <w:rFonts w:hint="eastAsia" w:ascii="Times New Roman" w:hAnsi="Times New Roman" w:eastAsia="宋体" w:cs="Times New Roman"/>
          <w:bCs/>
          <w:sz w:val="24"/>
          <w:szCs w:val="24"/>
          <w:highlight w:val="none"/>
          <w:lang w:val="en-US" w:eastAsia="zh-CN"/>
        </w:rPr>
        <w:t>项目</w:t>
      </w:r>
      <w:r>
        <w:rPr>
          <w:rFonts w:hint="eastAsia" w:ascii="Times New Roman" w:hAnsi="Times New Roman" w:eastAsia="宋体" w:cs="Times New Roman"/>
          <w:bCs/>
          <w:spacing w:val="0"/>
          <w:kern w:val="21"/>
          <w:position w:val="0"/>
          <w:sz w:val="24"/>
          <w:szCs w:val="24"/>
          <w:highlight w:val="none"/>
          <w:lang w:eastAsia="zh-CN"/>
        </w:rPr>
        <w:t>保护目标分布图</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_Toc29285 \h </w:instrText>
      </w:r>
      <w:r>
        <w:rPr>
          <w:rFonts w:ascii="Times New Roman" w:hAnsi="Times New Roman" w:eastAsia="宋体"/>
          <w:sz w:val="24"/>
          <w:szCs w:val="24"/>
        </w:rPr>
        <w:fldChar w:fldCharType="separate"/>
      </w:r>
      <w:r>
        <w:rPr>
          <w:rFonts w:ascii="Times New Roman" w:hAnsi="Times New Roman" w:eastAsia="宋体"/>
          <w:sz w:val="24"/>
          <w:szCs w:val="24"/>
        </w:rPr>
        <w:t>65</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732E2070">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_Toc15245 </w:instrText>
      </w:r>
      <w:r>
        <w:rPr>
          <w:rFonts w:hint="default" w:ascii="Times New Roman" w:hAnsi="Times New Roman" w:eastAsia="宋体" w:cs="Times New Roman"/>
          <w:sz w:val="24"/>
          <w:szCs w:val="24"/>
          <w:highlight w:val="none"/>
        </w:rPr>
        <w:fldChar w:fldCharType="separate"/>
      </w:r>
      <w:r>
        <w:rPr>
          <w:rFonts w:hint="eastAsia" w:ascii="Times New Roman" w:hAnsi="Times New Roman" w:eastAsia="宋体" w:cs="Times New Roman"/>
          <w:bCs/>
          <w:sz w:val="24"/>
          <w:szCs w:val="24"/>
          <w:highlight w:val="none"/>
          <w:lang w:eastAsia="zh-CN"/>
        </w:rPr>
        <w:t>附图</w:t>
      </w:r>
      <w:r>
        <w:rPr>
          <w:rFonts w:hint="eastAsia" w:ascii="Times New Roman" w:hAnsi="Times New Roman" w:eastAsia="宋体" w:cs="Times New Roman"/>
          <w:bCs/>
          <w:sz w:val="24"/>
          <w:szCs w:val="24"/>
          <w:highlight w:val="none"/>
          <w:lang w:val="en-US" w:eastAsia="zh-CN"/>
        </w:rPr>
        <w:t>7 运输路线敏感目标示意图</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_Toc15245 \h </w:instrText>
      </w:r>
      <w:r>
        <w:rPr>
          <w:rFonts w:ascii="Times New Roman" w:hAnsi="Times New Roman" w:eastAsia="宋体"/>
          <w:sz w:val="24"/>
          <w:szCs w:val="24"/>
        </w:rPr>
        <w:fldChar w:fldCharType="separate"/>
      </w:r>
      <w:r>
        <w:rPr>
          <w:rFonts w:ascii="Times New Roman" w:hAnsi="Times New Roman" w:eastAsia="宋体"/>
          <w:sz w:val="24"/>
          <w:szCs w:val="24"/>
        </w:rPr>
        <w:t>66</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57897E8E">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highlight w:val="none"/>
        </w:rPr>
      </w:pPr>
    </w:p>
    <w:p w14:paraId="61EA1F68">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eastAsia="zh-CN"/>
        </w:rPr>
        <w:t>附件</w:t>
      </w:r>
    </w:p>
    <w:p w14:paraId="7F4AF634">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_Toc25227 </w:instrText>
      </w:r>
      <w:r>
        <w:rPr>
          <w:rFonts w:hint="default" w:ascii="Times New Roman" w:hAnsi="Times New Roman" w:eastAsia="宋体" w:cs="Times New Roman"/>
          <w:sz w:val="24"/>
          <w:szCs w:val="24"/>
          <w:highlight w:val="none"/>
        </w:rPr>
        <w:fldChar w:fldCharType="separate"/>
      </w:r>
      <w:r>
        <w:rPr>
          <w:rFonts w:hint="eastAsia" w:ascii="Times New Roman" w:hAnsi="Times New Roman" w:eastAsia="宋体"/>
          <w:bCs/>
          <w:sz w:val="24"/>
          <w:szCs w:val="24"/>
          <w:highlight w:val="none"/>
          <w:lang w:eastAsia="zh-CN"/>
        </w:rPr>
        <w:t>附件</w:t>
      </w:r>
      <w:r>
        <w:rPr>
          <w:rFonts w:hint="eastAsia" w:ascii="Times New Roman" w:hAnsi="Times New Roman" w:eastAsia="宋体"/>
          <w:bCs/>
          <w:sz w:val="24"/>
          <w:szCs w:val="24"/>
          <w:highlight w:val="none"/>
          <w:lang w:val="en-US" w:eastAsia="zh-CN"/>
        </w:rPr>
        <w:t>1 营业执照</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_Toc25227 \h </w:instrText>
      </w:r>
      <w:r>
        <w:rPr>
          <w:rFonts w:ascii="Times New Roman" w:hAnsi="Times New Roman" w:eastAsia="宋体"/>
          <w:sz w:val="24"/>
          <w:szCs w:val="24"/>
        </w:rPr>
        <w:fldChar w:fldCharType="separate"/>
      </w:r>
      <w:r>
        <w:rPr>
          <w:rFonts w:ascii="Times New Roman" w:hAnsi="Times New Roman" w:eastAsia="宋体"/>
          <w:sz w:val="24"/>
          <w:szCs w:val="24"/>
        </w:rPr>
        <w:t>67</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23FA306A">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_Toc5859 </w:instrText>
      </w:r>
      <w:r>
        <w:rPr>
          <w:rFonts w:hint="default" w:ascii="Times New Roman" w:hAnsi="Times New Roman" w:eastAsia="宋体" w:cs="Times New Roman"/>
          <w:sz w:val="24"/>
          <w:szCs w:val="24"/>
          <w:highlight w:val="none"/>
        </w:rPr>
        <w:fldChar w:fldCharType="separate"/>
      </w:r>
      <w:r>
        <w:rPr>
          <w:rFonts w:hint="eastAsia" w:ascii="Times New Roman" w:hAnsi="Times New Roman" w:eastAsia="宋体"/>
          <w:bCs/>
          <w:sz w:val="24"/>
          <w:szCs w:val="24"/>
          <w:highlight w:val="none"/>
          <w:lang w:eastAsia="zh-CN"/>
        </w:rPr>
        <w:t>附件</w:t>
      </w:r>
      <w:r>
        <w:rPr>
          <w:rFonts w:hint="eastAsia" w:ascii="Times New Roman" w:hAnsi="Times New Roman" w:eastAsia="宋体"/>
          <w:bCs/>
          <w:sz w:val="24"/>
          <w:szCs w:val="24"/>
          <w:highlight w:val="none"/>
          <w:lang w:val="en-US" w:eastAsia="zh-CN"/>
        </w:rPr>
        <w:t>2 检测报告</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_Toc5859 \h </w:instrText>
      </w:r>
      <w:r>
        <w:rPr>
          <w:rFonts w:ascii="Times New Roman" w:hAnsi="Times New Roman" w:eastAsia="宋体"/>
          <w:sz w:val="24"/>
          <w:szCs w:val="24"/>
        </w:rPr>
        <w:fldChar w:fldCharType="separate"/>
      </w:r>
      <w:r>
        <w:rPr>
          <w:rFonts w:ascii="Times New Roman" w:hAnsi="Times New Roman" w:eastAsia="宋体"/>
          <w:sz w:val="24"/>
          <w:szCs w:val="24"/>
        </w:rPr>
        <w:t>68</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1BCF1654">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_Toc3402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bCs/>
          <w:sz w:val="24"/>
          <w:szCs w:val="24"/>
          <w:highlight w:val="none"/>
          <w:lang w:eastAsia="zh-CN"/>
        </w:rPr>
        <w:t>附件</w:t>
      </w:r>
      <w:r>
        <w:rPr>
          <w:rFonts w:hint="eastAsia" w:ascii="Times New Roman" w:hAnsi="Times New Roman" w:eastAsia="宋体"/>
          <w:bCs/>
          <w:sz w:val="24"/>
          <w:szCs w:val="24"/>
          <w:highlight w:val="none"/>
          <w:lang w:val="en-US" w:eastAsia="zh-CN"/>
        </w:rPr>
        <w:t>3</w:t>
      </w:r>
      <w:r>
        <w:rPr>
          <w:rFonts w:hint="default" w:ascii="Times New Roman" w:hAnsi="Times New Roman" w:eastAsia="宋体"/>
          <w:bCs/>
          <w:sz w:val="24"/>
          <w:szCs w:val="24"/>
          <w:highlight w:val="none"/>
          <w:lang w:eastAsia="zh-CN"/>
        </w:rPr>
        <w:t xml:space="preserve"> </w:t>
      </w:r>
      <w:r>
        <w:rPr>
          <w:rFonts w:hint="eastAsia" w:ascii="Times New Roman" w:hAnsi="Times New Roman" w:eastAsia="宋体"/>
          <w:bCs/>
          <w:sz w:val="24"/>
          <w:szCs w:val="24"/>
          <w:highlight w:val="none"/>
          <w:lang w:eastAsia="zh-CN"/>
        </w:rPr>
        <w:t>工业用地</w:t>
      </w:r>
      <w:r>
        <w:rPr>
          <w:rFonts w:hint="default" w:ascii="Times New Roman" w:hAnsi="Times New Roman" w:eastAsia="宋体"/>
          <w:bCs/>
          <w:sz w:val="24"/>
          <w:szCs w:val="24"/>
          <w:highlight w:val="none"/>
          <w:lang w:eastAsia="zh-CN"/>
        </w:rPr>
        <w:t>证明</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_Toc3402 \h </w:instrText>
      </w:r>
      <w:r>
        <w:rPr>
          <w:rFonts w:ascii="Times New Roman" w:hAnsi="Times New Roman" w:eastAsia="宋体"/>
          <w:sz w:val="24"/>
          <w:szCs w:val="24"/>
        </w:rPr>
        <w:fldChar w:fldCharType="separate"/>
      </w:r>
      <w:r>
        <w:rPr>
          <w:rFonts w:ascii="Times New Roman" w:hAnsi="Times New Roman" w:eastAsia="宋体"/>
          <w:sz w:val="24"/>
          <w:szCs w:val="24"/>
        </w:rPr>
        <w:t>74</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3BA45B1D">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_Toc9598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bCs/>
          <w:sz w:val="24"/>
          <w:szCs w:val="24"/>
          <w:highlight w:val="none"/>
          <w:lang w:eastAsia="zh-CN"/>
        </w:rPr>
        <w:t>附件</w:t>
      </w:r>
      <w:r>
        <w:rPr>
          <w:rFonts w:hint="eastAsia" w:ascii="Times New Roman" w:hAnsi="Times New Roman" w:eastAsia="宋体" w:cs="宋体"/>
          <w:bCs/>
          <w:snapToGrid w:val="0"/>
          <w:kern w:val="21"/>
          <w:sz w:val="24"/>
          <w:szCs w:val="24"/>
          <w:highlight w:val="none"/>
          <w:lang w:val="en-US" w:eastAsia="zh-CN"/>
        </w:rPr>
        <w:t>4</w:t>
      </w:r>
      <w:r>
        <w:rPr>
          <w:rFonts w:hint="eastAsia" w:ascii="Times New Roman" w:hAnsi="Times New Roman" w:eastAsia="宋体" w:cs="宋体"/>
          <w:bCs/>
          <w:snapToGrid w:val="0"/>
          <w:kern w:val="21"/>
          <w:sz w:val="24"/>
          <w:szCs w:val="24"/>
          <w:highlight w:val="none"/>
        </w:rPr>
        <w:t xml:space="preserve"> </w:t>
      </w:r>
      <w:r>
        <w:rPr>
          <w:rFonts w:hint="eastAsia" w:ascii="Times New Roman" w:hAnsi="Times New Roman" w:eastAsia="宋体" w:cs="宋体"/>
          <w:bCs/>
          <w:snapToGrid w:val="0"/>
          <w:kern w:val="21"/>
          <w:sz w:val="24"/>
          <w:szCs w:val="24"/>
          <w:highlight w:val="none"/>
          <w:lang w:eastAsia="zh-CN"/>
        </w:rPr>
        <w:t>煤矸石买卖合同</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_Toc9598 \h </w:instrText>
      </w:r>
      <w:r>
        <w:rPr>
          <w:rFonts w:ascii="Times New Roman" w:hAnsi="Times New Roman" w:eastAsia="宋体"/>
          <w:sz w:val="24"/>
          <w:szCs w:val="24"/>
        </w:rPr>
        <w:fldChar w:fldCharType="separate"/>
      </w:r>
      <w:r>
        <w:rPr>
          <w:rFonts w:ascii="Times New Roman" w:hAnsi="Times New Roman" w:eastAsia="宋体"/>
          <w:sz w:val="24"/>
          <w:szCs w:val="24"/>
        </w:rPr>
        <w:t>75</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4DD940FB">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_Toc3790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bCs/>
          <w:sz w:val="24"/>
          <w:szCs w:val="24"/>
          <w:highlight w:val="none"/>
          <w:lang w:eastAsia="zh-CN"/>
        </w:rPr>
        <w:t>附件</w:t>
      </w:r>
      <w:r>
        <w:rPr>
          <w:rFonts w:hint="eastAsia" w:ascii="Times New Roman" w:hAnsi="Times New Roman" w:eastAsia="宋体" w:cs="宋体"/>
          <w:bCs/>
          <w:snapToGrid w:val="0"/>
          <w:kern w:val="21"/>
          <w:sz w:val="24"/>
          <w:szCs w:val="24"/>
          <w:highlight w:val="none"/>
          <w:lang w:val="en-US" w:eastAsia="zh-CN"/>
        </w:rPr>
        <w:t>5</w:t>
      </w:r>
      <w:r>
        <w:rPr>
          <w:rFonts w:hint="eastAsia" w:ascii="Times New Roman" w:hAnsi="Times New Roman" w:eastAsia="宋体" w:cs="宋体"/>
          <w:bCs/>
          <w:snapToGrid w:val="0"/>
          <w:kern w:val="21"/>
          <w:sz w:val="24"/>
          <w:szCs w:val="24"/>
          <w:highlight w:val="none"/>
        </w:rPr>
        <w:t xml:space="preserve"> </w:t>
      </w:r>
      <w:r>
        <w:rPr>
          <w:rFonts w:hint="eastAsia" w:ascii="Times New Roman" w:hAnsi="Times New Roman" w:eastAsia="宋体" w:cs="宋体"/>
          <w:bCs/>
          <w:snapToGrid w:val="0"/>
          <w:kern w:val="21"/>
          <w:sz w:val="24"/>
          <w:szCs w:val="24"/>
          <w:highlight w:val="none"/>
          <w:lang w:eastAsia="zh-CN"/>
        </w:rPr>
        <w:t>煤泥石处置协议</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_Toc3790 \h </w:instrText>
      </w:r>
      <w:r>
        <w:rPr>
          <w:rFonts w:ascii="Times New Roman" w:hAnsi="Times New Roman" w:eastAsia="宋体"/>
          <w:sz w:val="24"/>
          <w:szCs w:val="24"/>
        </w:rPr>
        <w:fldChar w:fldCharType="separate"/>
      </w:r>
      <w:r>
        <w:rPr>
          <w:rFonts w:ascii="Times New Roman" w:hAnsi="Times New Roman" w:eastAsia="宋体"/>
          <w:sz w:val="24"/>
          <w:szCs w:val="24"/>
        </w:rPr>
        <w:t>76</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4BC3FCF4">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_Toc17924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bCs/>
          <w:sz w:val="24"/>
          <w:szCs w:val="24"/>
          <w:highlight w:val="none"/>
          <w:lang w:eastAsia="zh-CN"/>
        </w:rPr>
        <w:t>附件</w:t>
      </w:r>
      <w:r>
        <w:rPr>
          <w:rFonts w:hint="eastAsia" w:ascii="Times New Roman" w:hAnsi="Times New Roman" w:eastAsia="宋体" w:cs="宋体"/>
          <w:bCs/>
          <w:snapToGrid w:val="0"/>
          <w:kern w:val="21"/>
          <w:sz w:val="24"/>
          <w:szCs w:val="24"/>
          <w:highlight w:val="none"/>
          <w:lang w:val="en-US" w:eastAsia="zh-CN"/>
        </w:rPr>
        <w:t>6</w:t>
      </w:r>
      <w:r>
        <w:rPr>
          <w:rFonts w:hint="eastAsia" w:ascii="Times New Roman" w:hAnsi="Times New Roman" w:eastAsia="宋体" w:cs="宋体"/>
          <w:bCs/>
          <w:snapToGrid w:val="0"/>
          <w:kern w:val="21"/>
          <w:sz w:val="24"/>
          <w:szCs w:val="24"/>
          <w:highlight w:val="none"/>
        </w:rPr>
        <w:t xml:space="preserve"> </w:t>
      </w:r>
      <w:r>
        <w:rPr>
          <w:rFonts w:hint="eastAsia" w:ascii="Times New Roman" w:hAnsi="Times New Roman" w:eastAsia="宋体" w:cs="宋体"/>
          <w:bCs/>
          <w:snapToGrid w:val="0"/>
          <w:kern w:val="21"/>
          <w:sz w:val="24"/>
          <w:szCs w:val="24"/>
          <w:highlight w:val="none"/>
          <w:lang w:eastAsia="zh-CN"/>
        </w:rPr>
        <w:t>污水排放协议</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_Toc17924 \h </w:instrText>
      </w:r>
      <w:r>
        <w:rPr>
          <w:rFonts w:ascii="Times New Roman" w:hAnsi="Times New Roman" w:eastAsia="宋体"/>
          <w:sz w:val="24"/>
          <w:szCs w:val="24"/>
        </w:rPr>
        <w:fldChar w:fldCharType="separate"/>
      </w:r>
      <w:r>
        <w:rPr>
          <w:rFonts w:ascii="Times New Roman" w:hAnsi="Times New Roman" w:eastAsia="宋体"/>
          <w:sz w:val="24"/>
          <w:szCs w:val="24"/>
        </w:rPr>
        <w:t>77</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66A6DBC4">
      <w:pPr>
        <w:pStyle w:val="22"/>
        <w:keepNext w:val="0"/>
        <w:keepLines w:val="0"/>
        <w:pageBreakBefore w:val="0"/>
        <w:widowControl w:val="0"/>
        <w:tabs>
          <w:tab w:val="right" w:leader="dot" w:pos="8844"/>
          <w:tab w:val="clear" w:pos="9060"/>
        </w:tabs>
        <w:kinsoku/>
        <w:wordWrap/>
        <w:overflowPunct/>
        <w:topLinePunct w:val="0"/>
        <w:autoSpaceDE/>
        <w:autoSpaceDN/>
        <w:bidi w:val="0"/>
        <w:adjustRightInd/>
        <w:snapToGrid/>
        <w:spacing w:line="360" w:lineRule="auto"/>
        <w:textAlignment w:val="auto"/>
        <w:rPr>
          <w:rFonts w:ascii="Times New Roman" w:hAnsi="Times New Roman" w:eastAsia="宋体"/>
          <w:sz w:val="24"/>
          <w:szCs w:val="24"/>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sz w:val="24"/>
          <w:szCs w:val="24"/>
          <w:highlight w:val="none"/>
        </w:rPr>
        <w:instrText xml:space="preserve"> HYPERLINK \l _Toc27677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bCs/>
          <w:sz w:val="24"/>
          <w:szCs w:val="24"/>
          <w:highlight w:val="none"/>
          <w:lang w:eastAsia="zh-CN"/>
        </w:rPr>
        <w:t>附件</w:t>
      </w:r>
      <w:r>
        <w:rPr>
          <w:rFonts w:hint="eastAsia" w:ascii="Times New Roman" w:hAnsi="Times New Roman" w:eastAsia="宋体" w:cs="宋体"/>
          <w:bCs/>
          <w:snapToGrid w:val="0"/>
          <w:kern w:val="21"/>
          <w:sz w:val="24"/>
          <w:szCs w:val="24"/>
          <w:highlight w:val="none"/>
          <w:lang w:val="en-US" w:eastAsia="zh-CN"/>
        </w:rPr>
        <w:t>7</w:t>
      </w:r>
      <w:r>
        <w:rPr>
          <w:rFonts w:hint="eastAsia" w:ascii="Times New Roman" w:hAnsi="Times New Roman" w:eastAsia="宋体" w:cs="宋体"/>
          <w:bCs/>
          <w:snapToGrid w:val="0"/>
          <w:kern w:val="21"/>
          <w:sz w:val="24"/>
          <w:szCs w:val="24"/>
          <w:highlight w:val="none"/>
        </w:rPr>
        <w:t xml:space="preserve"> </w:t>
      </w:r>
      <w:r>
        <w:rPr>
          <w:rFonts w:hint="eastAsia" w:ascii="Times New Roman" w:hAnsi="Times New Roman" w:eastAsia="宋体" w:cs="宋体"/>
          <w:bCs/>
          <w:snapToGrid w:val="0"/>
          <w:kern w:val="21"/>
          <w:sz w:val="24"/>
          <w:szCs w:val="24"/>
          <w:highlight w:val="none"/>
          <w:lang w:eastAsia="zh-CN"/>
        </w:rPr>
        <w:t>生态环境分区管控分析报告</w:t>
      </w:r>
      <w:r>
        <w:rPr>
          <w:rFonts w:ascii="Times New Roman" w:hAnsi="Times New Roman" w:eastAsia="宋体"/>
          <w:sz w:val="24"/>
          <w:szCs w:val="24"/>
        </w:rPr>
        <w:tab/>
      </w:r>
      <w:r>
        <w:rPr>
          <w:rFonts w:ascii="Times New Roman" w:hAnsi="Times New Roman" w:eastAsia="宋体"/>
          <w:sz w:val="24"/>
          <w:szCs w:val="24"/>
        </w:rPr>
        <w:fldChar w:fldCharType="begin"/>
      </w:r>
      <w:r>
        <w:rPr>
          <w:rFonts w:ascii="Times New Roman" w:hAnsi="Times New Roman" w:eastAsia="宋体"/>
          <w:sz w:val="24"/>
          <w:szCs w:val="24"/>
        </w:rPr>
        <w:instrText xml:space="preserve"> PAGEREF _Toc27677 \h </w:instrText>
      </w:r>
      <w:r>
        <w:rPr>
          <w:rFonts w:ascii="Times New Roman" w:hAnsi="Times New Roman" w:eastAsia="宋体"/>
          <w:sz w:val="24"/>
          <w:szCs w:val="24"/>
        </w:rPr>
        <w:fldChar w:fldCharType="separate"/>
      </w:r>
      <w:r>
        <w:rPr>
          <w:rFonts w:ascii="Times New Roman" w:hAnsi="Times New Roman" w:eastAsia="宋体"/>
          <w:sz w:val="24"/>
          <w:szCs w:val="24"/>
        </w:rPr>
        <w:t>78</w:t>
      </w:r>
      <w:r>
        <w:rPr>
          <w:rFonts w:ascii="Times New Roman" w:hAnsi="Times New Roman" w:eastAsia="宋体"/>
          <w:sz w:val="24"/>
          <w:szCs w:val="24"/>
        </w:rPr>
        <w:fldChar w:fldCharType="end"/>
      </w:r>
      <w:r>
        <w:rPr>
          <w:rFonts w:hint="default" w:ascii="Times New Roman" w:hAnsi="Times New Roman" w:eastAsia="宋体" w:cs="Times New Roman"/>
          <w:color w:val="auto"/>
          <w:sz w:val="24"/>
          <w:szCs w:val="24"/>
          <w:highlight w:val="none"/>
        </w:rPr>
        <w:fldChar w:fldCharType="end"/>
      </w:r>
    </w:p>
    <w:p w14:paraId="0D53F889">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olor w:val="auto"/>
          <w:sz w:val="24"/>
          <w:szCs w:val="24"/>
          <w:highlight w:val="none"/>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default" w:ascii="Times New Roman" w:hAnsi="Times New Roman" w:eastAsia="宋体" w:cs="Times New Roman"/>
          <w:color w:val="auto"/>
          <w:sz w:val="24"/>
          <w:szCs w:val="24"/>
          <w:highlight w:val="none"/>
        </w:rPr>
        <w:fldChar w:fldCharType="end"/>
      </w:r>
    </w:p>
    <w:p w14:paraId="220E74A1">
      <w:pPr>
        <w:pStyle w:val="27"/>
        <w:jc w:val="center"/>
        <w:outlineLvl w:val="0"/>
        <w:rPr>
          <w:rFonts w:hint="default" w:ascii="Times New Roman" w:hAnsi="Times New Roman" w:eastAsia="黑体" w:cs="Times New Roman"/>
          <w:snapToGrid w:val="0"/>
          <w:color w:val="auto"/>
          <w:sz w:val="30"/>
          <w:szCs w:val="30"/>
          <w:highlight w:val="none"/>
        </w:rPr>
      </w:pPr>
      <w:bookmarkStart w:id="5" w:name="_Toc23203"/>
      <w:r>
        <w:rPr>
          <w:rFonts w:hint="default" w:ascii="Times New Roman" w:hAnsi="Times New Roman" w:eastAsia="黑体" w:cs="Times New Roman"/>
          <w:snapToGrid w:val="0"/>
          <w:color w:val="auto"/>
          <w:sz w:val="30"/>
          <w:szCs w:val="30"/>
          <w:highlight w:val="none"/>
        </w:rPr>
        <w:t>一、建设项目基本情况</w:t>
      </w:r>
      <w:bookmarkEnd w:id="5"/>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10"/>
        <w:gridCol w:w="2253"/>
        <w:gridCol w:w="2147"/>
        <w:gridCol w:w="3360"/>
      </w:tblGrid>
      <w:tr w14:paraId="3205D1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10" w:type="dxa"/>
            <w:noWrap w:val="0"/>
            <w:tcMar>
              <w:top w:w="16" w:type="dxa"/>
              <w:left w:w="16" w:type="dxa"/>
              <w:right w:w="16" w:type="dxa"/>
            </w:tcMar>
            <w:vAlign w:val="center"/>
          </w:tcPr>
          <w:p w14:paraId="66530B4B">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建设项目名称</w:t>
            </w:r>
          </w:p>
        </w:tc>
        <w:tc>
          <w:tcPr>
            <w:tcW w:w="7760" w:type="dxa"/>
            <w:gridSpan w:val="3"/>
            <w:noWrap w:val="0"/>
            <w:vAlign w:val="center"/>
          </w:tcPr>
          <w:p w14:paraId="0229D26B">
            <w:pPr>
              <w:adjustRightInd w:val="0"/>
              <w:snapToGrid w:val="0"/>
              <w:jc w:val="center"/>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val="en-US" w:eastAsia="zh-CN"/>
              </w:rPr>
              <w:t>鸡西市大福煤炭销售有限公司建设项目</w:t>
            </w:r>
          </w:p>
        </w:tc>
      </w:tr>
      <w:tr w14:paraId="41446A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10" w:type="dxa"/>
            <w:noWrap w:val="0"/>
            <w:tcMar>
              <w:top w:w="16" w:type="dxa"/>
              <w:left w:w="16" w:type="dxa"/>
              <w:right w:w="16" w:type="dxa"/>
            </w:tcMar>
            <w:vAlign w:val="center"/>
          </w:tcPr>
          <w:p w14:paraId="0E2AE3F3">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项目代码</w:t>
            </w:r>
          </w:p>
        </w:tc>
        <w:tc>
          <w:tcPr>
            <w:tcW w:w="7760" w:type="dxa"/>
            <w:gridSpan w:val="3"/>
            <w:noWrap w:val="0"/>
            <w:vAlign w:val="center"/>
          </w:tcPr>
          <w:p w14:paraId="4311A788">
            <w:pPr>
              <w:adjustRightInd w:val="0"/>
              <w:snapToGrid w:val="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无</w:t>
            </w:r>
          </w:p>
        </w:tc>
      </w:tr>
      <w:tr w14:paraId="1051CF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10" w:type="dxa"/>
            <w:noWrap w:val="0"/>
            <w:tcMar>
              <w:top w:w="16" w:type="dxa"/>
              <w:left w:w="16" w:type="dxa"/>
              <w:right w:w="16" w:type="dxa"/>
            </w:tcMar>
            <w:vAlign w:val="center"/>
          </w:tcPr>
          <w:p w14:paraId="4230F376">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建设单位联系人</w:t>
            </w:r>
          </w:p>
        </w:tc>
        <w:tc>
          <w:tcPr>
            <w:tcW w:w="2253" w:type="dxa"/>
            <w:noWrap w:val="0"/>
            <w:vAlign w:val="center"/>
          </w:tcPr>
          <w:p w14:paraId="1D03DD1E">
            <w:pPr>
              <w:adjustRightInd w:val="0"/>
              <w:snapToGrid w:val="0"/>
              <w:jc w:val="center"/>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刘长春</w:t>
            </w:r>
          </w:p>
        </w:tc>
        <w:tc>
          <w:tcPr>
            <w:tcW w:w="2147" w:type="dxa"/>
            <w:noWrap w:val="0"/>
            <w:vAlign w:val="center"/>
          </w:tcPr>
          <w:p w14:paraId="3B761A34">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3360" w:type="dxa"/>
            <w:noWrap w:val="0"/>
            <w:vAlign w:val="center"/>
          </w:tcPr>
          <w:p w14:paraId="5C4C71FB">
            <w:pPr>
              <w:adjustRightInd w:val="0"/>
              <w:snapToGrid w:val="0"/>
              <w:jc w:val="center"/>
              <w:rPr>
                <w:rFonts w:hint="default" w:ascii="Times New Roman" w:hAnsi="Times New Roman" w:cs="Times New Roman"/>
                <w:color w:val="auto"/>
                <w:sz w:val="24"/>
                <w:szCs w:val="24"/>
                <w:highlight w:val="none"/>
                <w:lang w:val="en-US"/>
              </w:rPr>
            </w:pPr>
            <w:r>
              <w:rPr>
                <w:rStyle w:val="89"/>
                <w:rFonts w:hint="eastAsia" w:ascii="Times New Roman" w:hAnsi="Times New Roman" w:eastAsia="仿宋_GB2312"/>
                <w:b w:val="0"/>
                <w:i w:val="0"/>
                <w:caps w:val="0"/>
                <w:color w:val="auto"/>
                <w:spacing w:val="0"/>
                <w:w w:val="100"/>
                <w:kern w:val="2"/>
                <w:sz w:val="24"/>
                <w:szCs w:val="24"/>
                <w:highlight w:val="none"/>
                <w:lang w:val="en-US" w:eastAsia="zh-CN" w:bidi="ar-SA"/>
              </w:rPr>
              <w:t>16593111111</w:t>
            </w:r>
          </w:p>
        </w:tc>
      </w:tr>
      <w:tr w14:paraId="59ECA7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10" w:type="dxa"/>
            <w:noWrap w:val="0"/>
            <w:tcMar>
              <w:top w:w="16" w:type="dxa"/>
              <w:left w:w="16" w:type="dxa"/>
              <w:right w:w="16" w:type="dxa"/>
            </w:tcMar>
            <w:vAlign w:val="center"/>
          </w:tcPr>
          <w:p w14:paraId="54B96CC7">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7760" w:type="dxa"/>
            <w:gridSpan w:val="3"/>
            <w:noWrap w:val="0"/>
            <w:vAlign w:val="center"/>
          </w:tcPr>
          <w:p w14:paraId="212F231C">
            <w:pPr>
              <w:adjustRightInd w:val="0"/>
              <w:snapToGrid w:val="0"/>
              <w:jc w:val="center"/>
              <w:rPr>
                <w:rFonts w:hint="eastAsia" w:ascii="Times New Roman" w:hAnsi="Times New Roman" w:eastAsia="宋体" w:cs="Times New Roman"/>
                <w:color w:val="auto"/>
                <w:sz w:val="24"/>
                <w:szCs w:val="24"/>
                <w:highlight w:val="none"/>
                <w:lang w:eastAsia="zh-CN"/>
              </w:rPr>
            </w:pPr>
            <w:r>
              <w:rPr>
                <w:rFonts w:hint="eastAsia" w:ascii="Times New Roman" w:hAnsi="Times New Roman" w:cs="Times New Roman"/>
                <w:color w:val="auto"/>
                <w:sz w:val="24"/>
                <w:szCs w:val="24"/>
                <w:highlight w:val="none"/>
                <w:lang w:eastAsia="zh-CN"/>
              </w:rPr>
              <w:t>鸡西市恒山区大恒山办合作委四组</w:t>
            </w:r>
          </w:p>
        </w:tc>
      </w:tr>
      <w:tr w14:paraId="3BD05A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10" w:type="dxa"/>
            <w:noWrap w:val="0"/>
            <w:tcMar>
              <w:top w:w="16" w:type="dxa"/>
              <w:left w:w="16" w:type="dxa"/>
              <w:right w:w="16" w:type="dxa"/>
            </w:tcMar>
            <w:vAlign w:val="center"/>
          </w:tcPr>
          <w:p w14:paraId="0BDA7BC2">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地理坐标</w:t>
            </w:r>
          </w:p>
        </w:tc>
        <w:tc>
          <w:tcPr>
            <w:tcW w:w="7760" w:type="dxa"/>
            <w:gridSpan w:val="3"/>
            <w:noWrap w:val="0"/>
            <w:vAlign w:val="center"/>
          </w:tcPr>
          <w:p w14:paraId="2907E65A">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u w:val="single"/>
              </w:rPr>
              <w:t xml:space="preserve"> </w:t>
            </w:r>
            <w:r>
              <w:rPr>
                <w:rFonts w:hint="eastAsia" w:ascii="Times New Roman" w:hAnsi="Times New Roman" w:cs="Times New Roman"/>
                <w:color w:val="auto"/>
                <w:sz w:val="24"/>
                <w:szCs w:val="24"/>
                <w:highlight w:val="none"/>
                <w:u w:val="single"/>
                <w:lang w:val="en-US" w:eastAsia="zh-CN"/>
              </w:rPr>
              <w:t>130</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度</w:t>
            </w:r>
            <w:r>
              <w:rPr>
                <w:rFonts w:hint="eastAsia" w:ascii="Times New Roman" w:hAnsi="Times New Roman" w:cs="Times New Roman"/>
                <w:color w:val="auto"/>
                <w:sz w:val="24"/>
                <w:szCs w:val="24"/>
                <w:highlight w:val="none"/>
                <w:u w:val="single"/>
                <w:lang w:val="en-US" w:eastAsia="zh-CN"/>
              </w:rPr>
              <w:t>54</w:t>
            </w:r>
            <w:r>
              <w:rPr>
                <w:rFonts w:hint="default" w:ascii="Times New Roman" w:hAnsi="Times New Roman" w:cs="Times New Roman"/>
                <w:color w:val="auto"/>
                <w:sz w:val="24"/>
                <w:szCs w:val="24"/>
                <w:highlight w:val="none"/>
              </w:rPr>
              <w:t>分</w:t>
            </w:r>
            <w:r>
              <w:rPr>
                <w:rFonts w:hint="default" w:ascii="Times New Roman" w:hAnsi="Times New Roman" w:cs="Times New Roman"/>
                <w:color w:val="auto"/>
                <w:sz w:val="24"/>
                <w:szCs w:val="24"/>
                <w:highlight w:val="none"/>
                <w:u w:val="single"/>
              </w:rPr>
              <w:t xml:space="preserve"> </w:t>
            </w:r>
            <w:r>
              <w:rPr>
                <w:rFonts w:hint="eastAsia" w:ascii="Times New Roman" w:hAnsi="Times New Roman" w:cs="Times New Roman"/>
                <w:color w:val="auto"/>
                <w:sz w:val="24"/>
                <w:szCs w:val="24"/>
                <w:highlight w:val="none"/>
                <w:u w:val="single"/>
                <w:lang w:val="en-US" w:eastAsia="zh-CN"/>
              </w:rPr>
              <w:t>13.378</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秒，</w:t>
            </w:r>
            <w:r>
              <w:rPr>
                <w:rFonts w:hint="default" w:ascii="Times New Roman" w:hAnsi="Times New Roman" w:cs="Times New Roman"/>
                <w:color w:val="auto"/>
                <w:sz w:val="24"/>
                <w:szCs w:val="24"/>
                <w:highlight w:val="none"/>
                <w:u w:val="single"/>
              </w:rPr>
              <w:t xml:space="preserve"> </w:t>
            </w:r>
            <w:r>
              <w:rPr>
                <w:rFonts w:hint="eastAsia" w:ascii="Times New Roman" w:hAnsi="Times New Roman" w:cs="Times New Roman"/>
                <w:color w:val="auto"/>
                <w:sz w:val="24"/>
                <w:szCs w:val="24"/>
                <w:highlight w:val="none"/>
                <w:u w:val="single"/>
                <w:lang w:val="en-US" w:eastAsia="zh-CN"/>
              </w:rPr>
              <w:t>45</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度</w:t>
            </w:r>
            <w:r>
              <w:rPr>
                <w:rFonts w:hint="eastAsia" w:ascii="Times New Roman" w:hAnsi="Times New Roman" w:cs="Times New Roman"/>
                <w:color w:val="auto"/>
                <w:sz w:val="24"/>
                <w:szCs w:val="24"/>
                <w:highlight w:val="none"/>
                <w:u w:val="single"/>
                <w:lang w:val="en-US" w:eastAsia="zh-CN"/>
              </w:rPr>
              <w:t>10</w:t>
            </w:r>
            <w:r>
              <w:rPr>
                <w:rFonts w:hint="default" w:ascii="Times New Roman" w:hAnsi="Times New Roman" w:cs="Times New Roman"/>
                <w:color w:val="auto"/>
                <w:sz w:val="24"/>
                <w:szCs w:val="24"/>
                <w:highlight w:val="none"/>
              </w:rPr>
              <w:t>分</w:t>
            </w:r>
            <w:r>
              <w:rPr>
                <w:rFonts w:hint="eastAsia" w:ascii="Times New Roman" w:hAnsi="Times New Roman" w:cs="Times New Roman"/>
                <w:color w:val="auto"/>
                <w:sz w:val="24"/>
                <w:szCs w:val="24"/>
                <w:highlight w:val="none"/>
                <w:u w:val="single"/>
                <w:lang w:val="en-US" w:eastAsia="zh-CN"/>
              </w:rPr>
              <w:t>7.529</w:t>
            </w:r>
            <w:r>
              <w:rPr>
                <w:rFonts w:hint="default" w:ascii="Times New Roman" w:hAnsi="Times New Roman" w:cs="Times New Roman"/>
                <w:color w:val="auto"/>
                <w:sz w:val="24"/>
                <w:szCs w:val="24"/>
                <w:highlight w:val="none"/>
              </w:rPr>
              <w:t>秒）</w:t>
            </w:r>
          </w:p>
        </w:tc>
      </w:tr>
      <w:tr w14:paraId="1C92F7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42" w:hRule="atLeast"/>
          <w:jc w:val="center"/>
        </w:trPr>
        <w:tc>
          <w:tcPr>
            <w:tcW w:w="1110" w:type="dxa"/>
            <w:noWrap w:val="0"/>
            <w:tcMar>
              <w:top w:w="16" w:type="dxa"/>
              <w:left w:w="16" w:type="dxa"/>
              <w:right w:w="16" w:type="dxa"/>
            </w:tcMar>
            <w:vAlign w:val="center"/>
          </w:tcPr>
          <w:p w14:paraId="4A738CCF">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14:paraId="0BF25C13">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2253" w:type="dxa"/>
            <w:noWrap w:val="0"/>
            <w:vAlign w:val="center"/>
          </w:tcPr>
          <w:p w14:paraId="6D160D52">
            <w:pPr>
              <w:adjustRightInd w:val="0"/>
              <w:snapToGrid w:val="0"/>
              <w:jc w:val="center"/>
              <w:rPr>
                <w:rFonts w:hint="default" w:ascii="Times New Roman" w:hAnsi="Times New Roman" w:cs="Times New Roman"/>
                <w:color w:val="auto"/>
                <w:sz w:val="24"/>
                <w:szCs w:val="24"/>
                <w:highlight w:val="none"/>
                <w:lang w:val="en-US"/>
              </w:rPr>
            </w:pPr>
            <w:r>
              <w:rPr>
                <w:rFonts w:hint="eastAsia" w:ascii="Times New Roman" w:hAnsi="Times New Roman" w:cs="Times New Roman"/>
                <w:color w:val="auto"/>
                <w:sz w:val="24"/>
                <w:szCs w:val="24"/>
                <w:highlight w:val="none"/>
                <w:lang w:val="en-US" w:eastAsia="zh-CN"/>
              </w:rPr>
              <w:t>B0610 烟煤和无烟煤开采洗选</w:t>
            </w:r>
          </w:p>
        </w:tc>
        <w:tc>
          <w:tcPr>
            <w:tcW w:w="2147" w:type="dxa"/>
            <w:noWrap w:val="0"/>
            <w:vAlign w:val="center"/>
          </w:tcPr>
          <w:p w14:paraId="0DAA2755">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0CF73665">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3360" w:type="dxa"/>
            <w:noWrap w:val="0"/>
            <w:vAlign w:val="center"/>
          </w:tcPr>
          <w:p w14:paraId="55D9B261">
            <w:pPr>
              <w:numPr>
                <w:ilvl w:val="0"/>
                <w:numId w:val="2"/>
              </w:numPr>
              <w:adjustRightInd w:val="0"/>
              <w:snapToGrid w:val="0"/>
              <w:jc w:val="center"/>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 xml:space="preserve">煤炭开采和洗选业06 </w:t>
            </w:r>
          </w:p>
          <w:p w14:paraId="3BC45FC1">
            <w:pPr>
              <w:numPr>
                <w:ilvl w:val="0"/>
                <w:numId w:val="0"/>
              </w:numPr>
              <w:adjustRightInd w:val="0"/>
              <w:snapToGrid w:val="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烟煤和无烟煤开采洗选061</w:t>
            </w:r>
          </w:p>
        </w:tc>
      </w:tr>
      <w:tr w14:paraId="25393E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10" w:type="dxa"/>
            <w:noWrap w:val="0"/>
            <w:tcMar>
              <w:top w:w="16" w:type="dxa"/>
              <w:left w:w="16" w:type="dxa"/>
              <w:right w:w="16" w:type="dxa"/>
            </w:tcMar>
            <w:vAlign w:val="center"/>
          </w:tcPr>
          <w:p w14:paraId="0089C46D">
            <w:pPr>
              <w:adjustRightInd w:val="0"/>
              <w:snapToGrid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建设性质</w:t>
            </w:r>
          </w:p>
        </w:tc>
        <w:tc>
          <w:tcPr>
            <w:tcW w:w="2253" w:type="dxa"/>
            <w:noWrap w:val="0"/>
            <w:vAlign w:val="center"/>
          </w:tcPr>
          <w:p w14:paraId="4CDF4F06">
            <w:pPr>
              <w:jc w:val="left"/>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sym w:font="Wingdings 2" w:char="0052"/>
            </w:r>
            <w:r>
              <w:rPr>
                <w:rFonts w:hint="default" w:ascii="Times New Roman" w:hAnsi="Times New Roman" w:eastAsia="宋体" w:cs="Times New Roman"/>
                <w:color w:val="auto"/>
                <w:sz w:val="24"/>
                <w:szCs w:val="24"/>
                <w:highlight w:val="none"/>
              </w:rPr>
              <w:t>新建（迁建）</w:t>
            </w:r>
          </w:p>
          <w:p w14:paraId="119AEB22">
            <w:pPr>
              <w:jc w:val="left"/>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改建</w:t>
            </w:r>
          </w:p>
          <w:p w14:paraId="5D37B23C">
            <w:pPr>
              <w:jc w:val="left"/>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sym w:font="Wingdings 2" w:char="00A3"/>
            </w:r>
            <w:r>
              <w:rPr>
                <w:rFonts w:hint="default" w:ascii="Times New Roman" w:hAnsi="Times New Roman" w:eastAsia="宋体" w:cs="Times New Roman"/>
                <w:color w:val="auto"/>
                <w:sz w:val="24"/>
                <w:szCs w:val="24"/>
                <w:highlight w:val="none"/>
              </w:rPr>
              <w:t>扩建</w:t>
            </w:r>
          </w:p>
          <w:p w14:paraId="6A181F86">
            <w:pPr>
              <w:jc w:val="left"/>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技术改造</w:t>
            </w:r>
          </w:p>
        </w:tc>
        <w:tc>
          <w:tcPr>
            <w:tcW w:w="2147" w:type="dxa"/>
            <w:noWrap w:val="0"/>
            <w:vAlign w:val="center"/>
          </w:tcPr>
          <w:p w14:paraId="6EE68F08">
            <w:pPr>
              <w:adjustRightInd w:val="0"/>
              <w:snapToGrid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w:t>
            </w:r>
          </w:p>
          <w:p w14:paraId="17305A6E">
            <w:pPr>
              <w:adjustRightInd w:val="0"/>
              <w:snapToGrid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申报情形</w:t>
            </w:r>
          </w:p>
        </w:tc>
        <w:tc>
          <w:tcPr>
            <w:tcW w:w="3360" w:type="dxa"/>
            <w:noWrap w:val="0"/>
            <w:vAlign w:val="center"/>
          </w:tcPr>
          <w:p w14:paraId="5A7D9CE0">
            <w:pPr>
              <w:jc w:val="left"/>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 xml:space="preserve">首次申报项目             </w:t>
            </w:r>
          </w:p>
          <w:p w14:paraId="6E3DFBE0">
            <w:pPr>
              <w:jc w:val="left"/>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不予批准后再次申报项目</w:t>
            </w:r>
          </w:p>
          <w:p w14:paraId="433B3A46">
            <w:pPr>
              <w:jc w:val="left"/>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 xml:space="preserve">超五年重新审核项目     </w:t>
            </w:r>
          </w:p>
          <w:p w14:paraId="59BA4CB9">
            <w:pPr>
              <w:jc w:val="left"/>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重大变动重新报批项目</w:t>
            </w:r>
          </w:p>
        </w:tc>
      </w:tr>
      <w:tr w14:paraId="2A9A0F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110" w:type="dxa"/>
            <w:noWrap w:val="0"/>
            <w:tcMar>
              <w:top w:w="16" w:type="dxa"/>
              <w:left w:w="16" w:type="dxa"/>
              <w:right w:w="16" w:type="dxa"/>
            </w:tcMar>
            <w:vAlign w:val="center"/>
          </w:tcPr>
          <w:p w14:paraId="56C3D0F8">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w:t>
            </w:r>
          </w:p>
          <w:p w14:paraId="29AE2F5D">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备案）部门（选填）</w:t>
            </w:r>
          </w:p>
        </w:tc>
        <w:tc>
          <w:tcPr>
            <w:tcW w:w="2253" w:type="dxa"/>
            <w:noWrap w:val="0"/>
            <w:vAlign w:val="center"/>
          </w:tcPr>
          <w:p w14:paraId="5B197A0F">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w:t>
            </w:r>
          </w:p>
        </w:tc>
        <w:tc>
          <w:tcPr>
            <w:tcW w:w="2147" w:type="dxa"/>
            <w:noWrap w:val="0"/>
            <w:vAlign w:val="center"/>
          </w:tcPr>
          <w:p w14:paraId="3D132239">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w:t>
            </w:r>
          </w:p>
          <w:p w14:paraId="19C3189E">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备案）文号（选填）</w:t>
            </w:r>
          </w:p>
        </w:tc>
        <w:tc>
          <w:tcPr>
            <w:tcW w:w="3360" w:type="dxa"/>
            <w:noWrap w:val="0"/>
            <w:vAlign w:val="center"/>
          </w:tcPr>
          <w:p w14:paraId="677DEBCC">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w:t>
            </w:r>
          </w:p>
        </w:tc>
      </w:tr>
      <w:tr w14:paraId="5B408A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10" w:type="dxa"/>
            <w:noWrap w:val="0"/>
            <w:tcMar>
              <w:top w:w="16" w:type="dxa"/>
              <w:left w:w="16" w:type="dxa"/>
              <w:right w:w="16" w:type="dxa"/>
            </w:tcMar>
            <w:vAlign w:val="center"/>
          </w:tcPr>
          <w:p w14:paraId="68C9B304">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总投资（万元）</w:t>
            </w:r>
          </w:p>
        </w:tc>
        <w:tc>
          <w:tcPr>
            <w:tcW w:w="2253" w:type="dxa"/>
            <w:noWrap w:val="0"/>
            <w:vAlign w:val="center"/>
          </w:tcPr>
          <w:p w14:paraId="45768806">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105</w:t>
            </w:r>
          </w:p>
        </w:tc>
        <w:tc>
          <w:tcPr>
            <w:tcW w:w="2147" w:type="dxa"/>
            <w:noWrap w:val="0"/>
            <w:tcMar>
              <w:top w:w="16" w:type="dxa"/>
              <w:left w:w="16" w:type="dxa"/>
              <w:right w:w="16" w:type="dxa"/>
            </w:tcMar>
            <w:vAlign w:val="center"/>
          </w:tcPr>
          <w:p w14:paraId="0FE2BB4B">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环保投资（万元）</w:t>
            </w:r>
          </w:p>
        </w:tc>
        <w:tc>
          <w:tcPr>
            <w:tcW w:w="3360" w:type="dxa"/>
            <w:noWrap w:val="0"/>
            <w:vAlign w:val="center"/>
          </w:tcPr>
          <w:p w14:paraId="135704F5">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26</w:t>
            </w:r>
          </w:p>
        </w:tc>
      </w:tr>
      <w:tr w14:paraId="2DFD99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10" w:type="dxa"/>
            <w:noWrap w:val="0"/>
            <w:tcMar>
              <w:top w:w="16" w:type="dxa"/>
              <w:left w:w="16" w:type="dxa"/>
              <w:right w:w="16" w:type="dxa"/>
            </w:tcMar>
            <w:vAlign w:val="center"/>
          </w:tcPr>
          <w:p w14:paraId="346EF5B0">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环保投资占比（%）</w:t>
            </w:r>
          </w:p>
        </w:tc>
        <w:tc>
          <w:tcPr>
            <w:tcW w:w="2253" w:type="dxa"/>
            <w:noWrap w:val="0"/>
            <w:vAlign w:val="center"/>
          </w:tcPr>
          <w:p w14:paraId="0076DD89">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25</w:t>
            </w:r>
          </w:p>
        </w:tc>
        <w:tc>
          <w:tcPr>
            <w:tcW w:w="2147" w:type="dxa"/>
            <w:noWrap w:val="0"/>
            <w:tcMar>
              <w:top w:w="16" w:type="dxa"/>
              <w:left w:w="16" w:type="dxa"/>
              <w:right w:w="16" w:type="dxa"/>
            </w:tcMar>
            <w:vAlign w:val="center"/>
          </w:tcPr>
          <w:p w14:paraId="599D5B79">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3360" w:type="dxa"/>
            <w:noWrap w:val="0"/>
            <w:vAlign w:val="center"/>
          </w:tcPr>
          <w:p w14:paraId="50200260">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个月</w:t>
            </w:r>
          </w:p>
        </w:tc>
      </w:tr>
      <w:tr w14:paraId="7BCA90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10" w:type="dxa"/>
            <w:noWrap w:val="0"/>
            <w:tcMar>
              <w:top w:w="16" w:type="dxa"/>
              <w:left w:w="16" w:type="dxa"/>
              <w:right w:w="16" w:type="dxa"/>
            </w:tcMar>
            <w:vAlign w:val="center"/>
          </w:tcPr>
          <w:p w14:paraId="7AC51BA1">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是否开工建设</w:t>
            </w:r>
          </w:p>
        </w:tc>
        <w:tc>
          <w:tcPr>
            <w:tcW w:w="2253" w:type="dxa"/>
            <w:noWrap w:val="0"/>
            <w:vAlign w:val="center"/>
          </w:tcPr>
          <w:p w14:paraId="5170AEE4">
            <w:pPr>
              <w:adjustRightInd w:val="0"/>
              <w:snapToGrid w:val="0"/>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sym w:font="Wingdings 2" w:char="00A3"/>
            </w:r>
            <w:r>
              <w:rPr>
                <w:rFonts w:hint="default" w:ascii="Times New Roman" w:hAnsi="Times New Roman" w:cs="Times New Roman"/>
                <w:color w:val="auto"/>
                <w:sz w:val="21"/>
                <w:szCs w:val="21"/>
                <w:highlight w:val="none"/>
              </w:rPr>
              <w:t>否</w:t>
            </w:r>
          </w:p>
          <w:p w14:paraId="34C59824">
            <w:pPr>
              <w:adjustRightInd w:val="0"/>
              <w:snapToGrid w:val="0"/>
              <w:rPr>
                <w:rFonts w:hint="eastAsia" w:ascii="Times New Roman" w:hAnsi="Times New Roman" w:eastAsia="宋体" w:cs="Times New Roman"/>
                <w:color w:val="auto"/>
                <w:sz w:val="24"/>
                <w:szCs w:val="24"/>
                <w:highlight w:val="none"/>
                <w:lang w:eastAsia="zh-CN"/>
              </w:rPr>
            </w:pPr>
            <w:r>
              <w:rPr>
                <w:rFonts w:hint="eastAsia" w:ascii="Times New Roman" w:hAnsi="Times New Roman" w:cs="Times New Roman"/>
                <w:color w:val="auto"/>
                <w:sz w:val="21"/>
                <w:szCs w:val="21"/>
                <w:highlight w:val="none"/>
                <w:lang w:eastAsia="zh-CN"/>
              </w:rPr>
              <w:sym w:font="Wingdings 2" w:char="0052"/>
            </w:r>
            <w:r>
              <w:rPr>
                <w:rFonts w:hint="default" w:ascii="Times New Roman" w:hAnsi="Times New Roman" w:cs="Times New Roman"/>
                <w:color w:val="auto"/>
                <w:sz w:val="21"/>
                <w:szCs w:val="21"/>
                <w:highlight w:val="none"/>
              </w:rPr>
              <w:t>是</w:t>
            </w:r>
            <w:r>
              <w:rPr>
                <w:rFonts w:hint="default" w:ascii="Times New Roman" w:hAnsi="Times New Roman" w:cs="Times New Roman"/>
                <w:color w:val="auto"/>
                <w:sz w:val="24"/>
                <w:szCs w:val="24"/>
                <w:highlight w:val="none"/>
              </w:rPr>
              <w:t>：</w:t>
            </w:r>
            <w:r>
              <w:rPr>
                <w:rFonts w:hint="eastAsia" w:ascii="Times New Roman" w:hAnsi="Times New Roman" w:eastAsia="宋体" w:cs="Times New Roman"/>
                <w:color w:val="auto"/>
                <w:sz w:val="21"/>
                <w:szCs w:val="21"/>
                <w:u w:val="single"/>
                <w:lang w:val="en-US" w:eastAsia="zh-CN"/>
              </w:rPr>
              <w:t>已</w:t>
            </w:r>
            <w:r>
              <w:rPr>
                <w:rFonts w:hint="eastAsia" w:cs="Times New Roman"/>
                <w:color w:val="auto"/>
                <w:sz w:val="21"/>
                <w:szCs w:val="21"/>
                <w:u w:val="single"/>
                <w:lang w:val="en-US" w:eastAsia="zh-CN"/>
              </w:rPr>
              <w:t>于</w:t>
            </w:r>
            <w:r>
              <w:rPr>
                <w:rFonts w:hint="eastAsia" w:ascii="Times New Roman" w:hAnsi="Times New Roman" w:eastAsia="宋体" w:cs="Times New Roman"/>
                <w:color w:val="auto"/>
                <w:sz w:val="21"/>
                <w:szCs w:val="21"/>
                <w:u w:val="single"/>
                <w:lang w:val="en-US" w:eastAsia="zh-CN"/>
              </w:rPr>
              <w:t>200</w:t>
            </w:r>
            <w:r>
              <w:rPr>
                <w:rFonts w:hint="eastAsia" w:cs="Times New Roman"/>
                <w:color w:val="auto"/>
                <w:sz w:val="21"/>
                <w:szCs w:val="21"/>
                <w:u w:val="single"/>
                <w:lang w:val="en-US" w:eastAsia="zh-CN"/>
              </w:rPr>
              <w:t>9</w:t>
            </w:r>
            <w:r>
              <w:rPr>
                <w:rFonts w:hint="eastAsia" w:ascii="Times New Roman" w:hAnsi="Times New Roman" w:eastAsia="宋体" w:cs="Times New Roman"/>
                <w:color w:val="auto"/>
                <w:sz w:val="21"/>
                <w:szCs w:val="21"/>
                <w:u w:val="single"/>
                <w:lang w:val="en-US" w:eastAsia="zh-CN"/>
              </w:rPr>
              <w:t>年建设完成年选洗120万吨煤炭生产线及其配套设备</w:t>
            </w:r>
            <w:r>
              <w:rPr>
                <w:rFonts w:hint="eastAsia" w:cs="Times New Roman"/>
                <w:color w:val="auto"/>
                <w:sz w:val="21"/>
                <w:szCs w:val="21"/>
                <w:u w:val="single"/>
                <w:lang w:val="en-US" w:eastAsia="zh-CN"/>
              </w:rPr>
              <w:t>、车间及附属用房</w:t>
            </w:r>
            <w:r>
              <w:rPr>
                <w:rFonts w:hint="eastAsia" w:ascii="Times New Roman" w:hAnsi="Times New Roman" w:eastAsia="宋体" w:cs="Times New Roman"/>
                <w:color w:val="auto"/>
                <w:sz w:val="21"/>
                <w:szCs w:val="21"/>
                <w:u w:val="single"/>
                <w:lang w:val="en-US" w:eastAsia="zh-CN"/>
              </w:rPr>
              <w:t>；现该企业</w:t>
            </w:r>
            <w:r>
              <w:rPr>
                <w:rFonts w:hint="eastAsia" w:cs="Times New Roman"/>
                <w:color w:val="auto"/>
                <w:sz w:val="21"/>
                <w:szCs w:val="21"/>
                <w:u w:val="single"/>
                <w:lang w:val="en-US" w:eastAsia="zh-CN"/>
              </w:rPr>
              <w:t>停产</w:t>
            </w:r>
            <w:r>
              <w:rPr>
                <w:rFonts w:hint="eastAsia" w:ascii="Times New Roman" w:hAnsi="Times New Roman" w:eastAsia="宋体" w:cs="Times New Roman"/>
                <w:color w:val="auto"/>
                <w:sz w:val="21"/>
                <w:szCs w:val="21"/>
                <w:u w:val="single"/>
                <w:lang w:val="en-US" w:eastAsia="zh-CN"/>
              </w:rPr>
              <w:t>，并积极主动补办环评审批手续。</w:t>
            </w:r>
          </w:p>
        </w:tc>
        <w:tc>
          <w:tcPr>
            <w:tcW w:w="2147" w:type="dxa"/>
            <w:noWrap w:val="0"/>
            <w:tcMar>
              <w:top w:w="16" w:type="dxa"/>
              <w:left w:w="16" w:type="dxa"/>
              <w:right w:w="16" w:type="dxa"/>
            </w:tcMar>
            <w:vAlign w:val="center"/>
          </w:tcPr>
          <w:p w14:paraId="30AFCA3C">
            <w:pPr>
              <w:adjustRightInd w:val="0"/>
              <w:snapToGrid w:val="0"/>
              <w:jc w:val="center"/>
              <w:rPr>
                <w:rFonts w:hint="default" w:ascii="Times New Roman" w:hAnsi="Times New Roman" w:cs="Times New Roman"/>
                <w:color w:val="auto"/>
                <w:spacing w:val="-6"/>
                <w:sz w:val="24"/>
                <w:szCs w:val="24"/>
                <w:highlight w:val="none"/>
              </w:rPr>
            </w:pPr>
            <w:r>
              <w:rPr>
                <w:rFonts w:hint="default" w:ascii="Times New Roman" w:hAnsi="Times New Roman" w:cs="Times New Roman"/>
                <w:color w:val="auto"/>
                <w:spacing w:val="-6"/>
                <w:sz w:val="24"/>
                <w:szCs w:val="24"/>
                <w:highlight w:val="none"/>
              </w:rPr>
              <w:t>用地（用海）</w:t>
            </w:r>
          </w:p>
          <w:p w14:paraId="4E8E679A">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6"/>
                <w:sz w:val="24"/>
                <w:szCs w:val="24"/>
                <w:highlight w:val="none"/>
              </w:rPr>
              <w:t>面积（m</w:t>
            </w:r>
            <w:r>
              <w:rPr>
                <w:rFonts w:hint="default" w:ascii="Times New Roman" w:hAnsi="Times New Roman" w:cs="Times New Roman"/>
                <w:color w:val="auto"/>
                <w:spacing w:val="-6"/>
                <w:sz w:val="24"/>
                <w:szCs w:val="24"/>
                <w:highlight w:val="none"/>
                <w:vertAlign w:val="superscript"/>
              </w:rPr>
              <w:t>2</w:t>
            </w:r>
            <w:r>
              <w:rPr>
                <w:rFonts w:hint="default" w:ascii="Times New Roman" w:hAnsi="Times New Roman" w:cs="Times New Roman"/>
                <w:color w:val="auto"/>
                <w:spacing w:val="-6"/>
                <w:sz w:val="24"/>
                <w:szCs w:val="24"/>
                <w:highlight w:val="none"/>
              </w:rPr>
              <w:t>）</w:t>
            </w:r>
          </w:p>
        </w:tc>
        <w:tc>
          <w:tcPr>
            <w:tcW w:w="3360" w:type="dxa"/>
            <w:noWrap w:val="0"/>
            <w:vAlign w:val="center"/>
          </w:tcPr>
          <w:p w14:paraId="4E654367">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仿宋_GB2312" w:cs="Times New Roman"/>
                <w:color w:val="auto"/>
                <w:sz w:val="24"/>
                <w:highlight w:val="none"/>
                <w:lang w:val="en-US" w:eastAsia="zh-CN"/>
              </w:rPr>
              <w:t>1</w:t>
            </w:r>
            <w:r>
              <w:rPr>
                <w:rFonts w:hint="eastAsia" w:eastAsia="仿宋_GB2312" w:cs="Times New Roman"/>
                <w:color w:val="auto"/>
                <w:sz w:val="24"/>
                <w:highlight w:val="none"/>
                <w:lang w:val="en-US" w:eastAsia="zh-CN"/>
              </w:rPr>
              <w:t>8</w:t>
            </w:r>
            <w:r>
              <w:rPr>
                <w:rFonts w:hint="eastAsia" w:ascii="Times New Roman" w:hAnsi="Times New Roman" w:eastAsia="仿宋_GB2312" w:cs="Times New Roman"/>
                <w:color w:val="auto"/>
                <w:sz w:val="24"/>
                <w:highlight w:val="none"/>
                <w:lang w:val="en-US" w:eastAsia="zh-CN"/>
              </w:rPr>
              <w:t>000</w:t>
            </w:r>
          </w:p>
        </w:tc>
      </w:tr>
      <w:tr w14:paraId="37BA72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10" w:type="dxa"/>
            <w:noWrap w:val="0"/>
            <w:vAlign w:val="center"/>
          </w:tcPr>
          <w:p w14:paraId="504BCC34">
            <w:pPr>
              <w:autoSpaceDE w:val="0"/>
              <w:autoSpaceDN w:val="0"/>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专项评价设置情况</w:t>
            </w:r>
          </w:p>
        </w:tc>
        <w:tc>
          <w:tcPr>
            <w:tcW w:w="7760" w:type="dxa"/>
            <w:gridSpan w:val="3"/>
            <w:noWrap w:val="0"/>
            <w:vAlign w:val="center"/>
          </w:tcPr>
          <w:p w14:paraId="653B2729">
            <w:pPr>
              <w:pageBreakBefore w:val="0"/>
              <w:kinsoku/>
              <w:wordWrap/>
              <w:topLinePunct w:val="0"/>
              <w:autoSpaceDE w:val="0"/>
              <w:autoSpaceDN w:val="0"/>
              <w:bidi w:val="0"/>
              <w:adjustRightInd w:val="0"/>
              <w:snapToGrid w:val="0"/>
              <w:spacing w:beforeAutospacing="0" w:afterAutospacing="0" w:line="360" w:lineRule="auto"/>
              <w:ind w:left="0" w:leftChars="0" w:right="0" w:right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b/>
                <w:bCs/>
                <w:color w:val="auto"/>
                <w:kern w:val="0"/>
                <w:sz w:val="21"/>
                <w:szCs w:val="21"/>
                <w:highlight w:val="none"/>
                <w:lang w:eastAsia="zh-CN"/>
              </w:rPr>
              <w:t>表</w:t>
            </w:r>
            <w:r>
              <w:rPr>
                <w:rFonts w:hint="default" w:ascii="Times New Roman" w:hAnsi="Times New Roman" w:eastAsia="宋体" w:cs="Times New Roman"/>
                <w:b/>
                <w:bCs/>
                <w:color w:val="auto"/>
                <w:kern w:val="0"/>
                <w:sz w:val="21"/>
                <w:szCs w:val="21"/>
                <w:highlight w:val="none"/>
                <w:lang w:val="en-US" w:eastAsia="zh-CN"/>
              </w:rPr>
              <w:t>1-1</w:t>
            </w:r>
            <w:r>
              <w:rPr>
                <w:rFonts w:hint="eastAsia" w:ascii="Times New Roman" w:hAnsi="Times New Roman" w:cs="Times New Roman"/>
                <w:b/>
                <w:bCs/>
                <w:color w:val="auto"/>
                <w:kern w:val="0"/>
                <w:sz w:val="21"/>
                <w:szCs w:val="21"/>
                <w:highlight w:val="none"/>
                <w:lang w:val="en-US" w:eastAsia="zh-CN"/>
              </w:rPr>
              <w:t xml:space="preserve"> </w:t>
            </w:r>
            <w:r>
              <w:rPr>
                <w:rFonts w:hint="default" w:ascii="Times New Roman" w:hAnsi="Times New Roman" w:eastAsia="宋体" w:cs="Times New Roman"/>
                <w:b/>
                <w:bCs/>
                <w:color w:val="auto"/>
                <w:kern w:val="0"/>
                <w:sz w:val="21"/>
                <w:szCs w:val="21"/>
                <w:highlight w:val="none"/>
                <w:lang w:val="en-US" w:eastAsia="zh-CN"/>
              </w:rPr>
              <w:t>专项设置原则表</w:t>
            </w:r>
          </w:p>
          <w:tbl>
            <w:tblPr>
              <w:tblStyle w:val="31"/>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9"/>
              <w:gridCol w:w="3210"/>
              <w:gridCol w:w="3083"/>
            </w:tblGrid>
            <w:tr w14:paraId="48E018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noWrap w:val="0"/>
                  <w:vAlign w:val="center"/>
                </w:tcPr>
                <w:p w14:paraId="181956C2">
                  <w:pPr>
                    <w:autoSpaceDE w:val="0"/>
                    <w:autoSpaceDN w:val="0"/>
                    <w:adjustRightInd w:val="0"/>
                    <w:snapToGrid w:val="0"/>
                    <w:jc w:val="center"/>
                    <w:rPr>
                      <w:rFonts w:hint="eastAsia" w:ascii="Times New Roman" w:hAnsi="Times New Roman" w:cs="Times New Roman"/>
                      <w:b/>
                      <w:bCs/>
                      <w:color w:val="auto"/>
                      <w:kern w:val="0"/>
                      <w:szCs w:val="21"/>
                      <w:lang w:val="en-US" w:eastAsia="zh-CN"/>
                    </w:rPr>
                  </w:pPr>
                  <w:r>
                    <w:rPr>
                      <w:rFonts w:hint="eastAsia" w:ascii="Times New Roman" w:hAnsi="Times New Roman" w:cs="Times New Roman"/>
                      <w:b/>
                      <w:bCs/>
                      <w:color w:val="auto"/>
                      <w:kern w:val="0"/>
                      <w:szCs w:val="21"/>
                      <w:lang w:val="en-US" w:eastAsia="zh-CN"/>
                    </w:rPr>
                    <w:t>专项评价的类别</w:t>
                  </w:r>
                </w:p>
              </w:tc>
              <w:tc>
                <w:tcPr>
                  <w:tcW w:w="2127" w:type="pct"/>
                  <w:noWrap w:val="0"/>
                  <w:vAlign w:val="center"/>
                </w:tcPr>
                <w:p w14:paraId="1A8F65AC">
                  <w:pPr>
                    <w:autoSpaceDE w:val="0"/>
                    <w:autoSpaceDN w:val="0"/>
                    <w:adjustRightInd w:val="0"/>
                    <w:snapToGrid w:val="0"/>
                    <w:jc w:val="center"/>
                    <w:rPr>
                      <w:rFonts w:hint="eastAsia" w:ascii="Times New Roman" w:hAnsi="Times New Roman" w:cs="Times New Roman"/>
                      <w:b/>
                      <w:bCs/>
                      <w:color w:val="auto"/>
                      <w:kern w:val="0"/>
                      <w:szCs w:val="21"/>
                      <w:lang w:val="en-US" w:eastAsia="zh-CN"/>
                    </w:rPr>
                  </w:pPr>
                  <w:r>
                    <w:rPr>
                      <w:rFonts w:hint="eastAsia" w:ascii="Times New Roman" w:hAnsi="Times New Roman" w:cs="Times New Roman"/>
                      <w:b/>
                      <w:bCs/>
                      <w:color w:val="auto"/>
                      <w:kern w:val="0"/>
                      <w:szCs w:val="21"/>
                      <w:lang w:val="en-US" w:eastAsia="zh-CN"/>
                    </w:rPr>
                    <w:t>设置原则</w:t>
                  </w:r>
                </w:p>
              </w:tc>
              <w:tc>
                <w:tcPr>
                  <w:tcW w:w="2043" w:type="pct"/>
                  <w:noWrap w:val="0"/>
                  <w:vAlign w:val="center"/>
                </w:tcPr>
                <w:p w14:paraId="3C5E7C4C">
                  <w:pPr>
                    <w:autoSpaceDE w:val="0"/>
                    <w:autoSpaceDN w:val="0"/>
                    <w:adjustRightInd w:val="0"/>
                    <w:snapToGrid w:val="0"/>
                    <w:jc w:val="center"/>
                    <w:rPr>
                      <w:rFonts w:hint="eastAsia" w:ascii="Times New Roman" w:hAnsi="Times New Roman" w:cs="Times New Roman"/>
                      <w:b/>
                      <w:bCs/>
                      <w:color w:val="auto"/>
                      <w:kern w:val="0"/>
                      <w:szCs w:val="21"/>
                      <w:lang w:val="en-US" w:eastAsia="zh-CN"/>
                    </w:rPr>
                  </w:pPr>
                  <w:r>
                    <w:rPr>
                      <w:rFonts w:hint="eastAsia" w:ascii="Times New Roman" w:hAnsi="Times New Roman" w:cs="Times New Roman"/>
                      <w:b/>
                      <w:bCs/>
                      <w:color w:val="auto"/>
                      <w:kern w:val="0"/>
                      <w:szCs w:val="21"/>
                      <w:lang w:val="en-US" w:eastAsia="zh-CN"/>
                    </w:rPr>
                    <w:t>本项目情况</w:t>
                  </w:r>
                </w:p>
              </w:tc>
            </w:tr>
            <w:tr w14:paraId="1F5983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noWrap w:val="0"/>
                  <w:vAlign w:val="center"/>
                </w:tcPr>
                <w:p w14:paraId="369E85B3">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大气</w:t>
                  </w:r>
                </w:p>
              </w:tc>
              <w:tc>
                <w:tcPr>
                  <w:tcW w:w="2127" w:type="pct"/>
                  <w:noWrap w:val="0"/>
                  <w:vAlign w:val="center"/>
                </w:tcPr>
                <w:p w14:paraId="575826BA">
                  <w:pPr>
                    <w:tabs>
                      <w:tab w:val="left" w:pos="2310"/>
                      <w:tab w:val="left" w:pos="2520"/>
                    </w:tabs>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排放废气含有毒有害污染物、二噁英、苯并[a]芘、氰化物、氯气且厂界500米范围内有环境空气保护目标的建设项目</w:t>
                  </w:r>
                </w:p>
              </w:tc>
              <w:tc>
                <w:tcPr>
                  <w:tcW w:w="2043" w:type="pct"/>
                  <w:noWrap w:val="0"/>
                  <w:vAlign w:val="center"/>
                </w:tcPr>
                <w:p w14:paraId="665651AD">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无</w:t>
                  </w:r>
                </w:p>
              </w:tc>
            </w:tr>
            <w:tr w14:paraId="09341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28" w:type="pct"/>
                  <w:noWrap w:val="0"/>
                  <w:vAlign w:val="center"/>
                </w:tcPr>
                <w:p w14:paraId="24B9DA2D">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地表水</w:t>
                  </w:r>
                </w:p>
              </w:tc>
              <w:tc>
                <w:tcPr>
                  <w:tcW w:w="2127" w:type="pct"/>
                  <w:noWrap w:val="0"/>
                  <w:vAlign w:val="center"/>
                </w:tcPr>
                <w:p w14:paraId="0B1F8FF2">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新增工业废水直排建设项目（槽罐车外送污水处理厂的除外）；新增废水直排的污水集中处理厂</w:t>
                  </w:r>
                </w:p>
              </w:tc>
              <w:tc>
                <w:tcPr>
                  <w:tcW w:w="2043" w:type="pct"/>
                  <w:noWrap w:val="0"/>
                  <w:vAlign w:val="center"/>
                </w:tcPr>
                <w:p w14:paraId="6067433E">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无</w:t>
                  </w:r>
                </w:p>
              </w:tc>
            </w:tr>
            <w:tr w14:paraId="1D69B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28" w:type="pct"/>
                  <w:noWrap w:val="0"/>
                  <w:vAlign w:val="center"/>
                </w:tcPr>
                <w:p w14:paraId="03071980">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环境风险</w:t>
                  </w:r>
                </w:p>
              </w:tc>
              <w:tc>
                <w:tcPr>
                  <w:tcW w:w="2127" w:type="pct"/>
                  <w:noWrap w:val="0"/>
                  <w:vAlign w:val="center"/>
                </w:tcPr>
                <w:p w14:paraId="3BD4F255">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有毒有害易燃易爆危险物质存储量超过临界量的建设项目</w:t>
                  </w:r>
                </w:p>
              </w:tc>
              <w:tc>
                <w:tcPr>
                  <w:tcW w:w="2043" w:type="pct"/>
                  <w:noWrap w:val="0"/>
                  <w:vAlign w:val="center"/>
                </w:tcPr>
                <w:p w14:paraId="0F13FEAD">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无</w:t>
                  </w:r>
                </w:p>
              </w:tc>
            </w:tr>
            <w:tr w14:paraId="0534B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noWrap w:val="0"/>
                  <w:vAlign w:val="center"/>
                </w:tcPr>
                <w:p w14:paraId="502C96C9">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生态</w:t>
                  </w:r>
                </w:p>
              </w:tc>
              <w:tc>
                <w:tcPr>
                  <w:tcW w:w="2127" w:type="pct"/>
                  <w:noWrap w:val="0"/>
                  <w:vAlign w:val="center"/>
                </w:tcPr>
                <w:p w14:paraId="69CDFE5F">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取水口下游500米范围内有重要水生生物的自然产卵场、索饵场、越冬场和洄游通道的新增河道取水的污染类建设项目</w:t>
                  </w:r>
                </w:p>
              </w:tc>
              <w:tc>
                <w:tcPr>
                  <w:tcW w:w="2043" w:type="pct"/>
                  <w:noWrap w:val="0"/>
                  <w:vAlign w:val="center"/>
                </w:tcPr>
                <w:p w14:paraId="40367506">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无</w:t>
                  </w:r>
                </w:p>
              </w:tc>
            </w:tr>
            <w:tr w14:paraId="712276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noWrap w:val="0"/>
                  <w:vAlign w:val="center"/>
                </w:tcPr>
                <w:p w14:paraId="49A3074E">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辐射</w:t>
                  </w:r>
                </w:p>
              </w:tc>
              <w:tc>
                <w:tcPr>
                  <w:tcW w:w="2127" w:type="pct"/>
                  <w:noWrap w:val="0"/>
                  <w:vAlign w:val="center"/>
                </w:tcPr>
                <w:p w14:paraId="7E3BB722">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涉及放射性污染影响的采选项目</w:t>
                  </w:r>
                </w:p>
              </w:tc>
              <w:tc>
                <w:tcPr>
                  <w:tcW w:w="2043" w:type="pct"/>
                  <w:noWrap w:val="0"/>
                  <w:vAlign w:val="center"/>
                </w:tcPr>
                <w:p w14:paraId="0D76C103">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无</w:t>
                  </w:r>
                </w:p>
              </w:tc>
            </w:tr>
            <w:tr w14:paraId="00EAE7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noWrap w:val="0"/>
                  <w:vAlign w:val="center"/>
                </w:tcPr>
                <w:p w14:paraId="652797C6">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海洋</w:t>
                  </w:r>
                </w:p>
              </w:tc>
              <w:tc>
                <w:tcPr>
                  <w:tcW w:w="2127" w:type="pct"/>
                  <w:noWrap w:val="0"/>
                  <w:vAlign w:val="center"/>
                </w:tcPr>
                <w:p w14:paraId="28DCB3DD">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直接向海排放污染物的海洋工程建设项目</w:t>
                  </w:r>
                </w:p>
              </w:tc>
              <w:tc>
                <w:tcPr>
                  <w:tcW w:w="2043" w:type="pct"/>
                  <w:noWrap w:val="0"/>
                  <w:vAlign w:val="center"/>
                </w:tcPr>
                <w:p w14:paraId="20A5C2E5">
                  <w:pPr>
                    <w:autoSpaceDE w:val="0"/>
                    <w:autoSpaceDN w:val="0"/>
                    <w:adjustRightInd w:val="0"/>
                    <w:snapToGrid w:val="0"/>
                    <w:jc w:val="center"/>
                    <w:rPr>
                      <w:rFonts w:hint="eastAsia" w:ascii="Times New Roman" w:hAnsi="Times New Roman" w:cs="Times New Roman"/>
                      <w:color w:val="auto"/>
                      <w:kern w:val="0"/>
                      <w:szCs w:val="21"/>
                      <w:lang w:val="en-US" w:eastAsia="zh-CN"/>
                    </w:rPr>
                  </w:pPr>
                  <w:r>
                    <w:rPr>
                      <w:rFonts w:hint="eastAsia" w:ascii="Times New Roman" w:hAnsi="Times New Roman" w:cs="Times New Roman"/>
                      <w:color w:val="auto"/>
                      <w:kern w:val="0"/>
                      <w:szCs w:val="21"/>
                      <w:lang w:val="en-US" w:eastAsia="zh-CN"/>
                    </w:rPr>
                    <w:t>无</w:t>
                  </w:r>
                </w:p>
              </w:tc>
            </w:tr>
          </w:tbl>
          <w:p w14:paraId="604BFBC5">
            <w:pPr>
              <w:pStyle w:val="12"/>
              <w:tabs>
                <w:tab w:val="left" w:pos="3880"/>
              </w:tabs>
              <w:rPr>
                <w:rFonts w:hint="default" w:ascii="Times New Roman" w:hAnsi="Times New Roman" w:cs="Times New Roman"/>
                <w:color w:val="auto"/>
                <w:highlight w:val="none"/>
                <w:lang w:eastAsia="zh-CN"/>
              </w:rPr>
            </w:pPr>
          </w:p>
        </w:tc>
      </w:tr>
      <w:tr w14:paraId="25C6C8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110" w:type="dxa"/>
            <w:noWrap w:val="0"/>
            <w:vAlign w:val="center"/>
          </w:tcPr>
          <w:p w14:paraId="7748C160">
            <w:pPr>
              <w:autoSpaceDE w:val="0"/>
              <w:autoSpaceDN w:val="0"/>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规划情况</w:t>
            </w:r>
          </w:p>
        </w:tc>
        <w:tc>
          <w:tcPr>
            <w:tcW w:w="7760" w:type="dxa"/>
            <w:gridSpan w:val="3"/>
            <w:noWrap w:val="0"/>
            <w:vAlign w:val="center"/>
          </w:tcPr>
          <w:p w14:paraId="6CD95BFE">
            <w:pPr>
              <w:pStyle w:val="23"/>
              <w:spacing w:line="360" w:lineRule="auto"/>
              <w:ind w:left="0" w:leftChars="0" w:firstLine="0" w:firstLineChars="0"/>
              <w:jc w:val="center"/>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w:t>
            </w:r>
          </w:p>
        </w:tc>
      </w:tr>
      <w:tr w14:paraId="4F2945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1110" w:type="dxa"/>
            <w:noWrap w:val="0"/>
            <w:vAlign w:val="center"/>
          </w:tcPr>
          <w:p w14:paraId="6D4D9A95">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规划环境影响</w:t>
            </w:r>
          </w:p>
          <w:p w14:paraId="73335F5D">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评价情况</w:t>
            </w:r>
          </w:p>
        </w:tc>
        <w:tc>
          <w:tcPr>
            <w:tcW w:w="7760" w:type="dxa"/>
            <w:gridSpan w:val="3"/>
            <w:noWrap w:val="0"/>
            <w:vAlign w:val="center"/>
          </w:tcPr>
          <w:p w14:paraId="5CCA07CB">
            <w:pPr>
              <w:widowControl/>
              <w:spacing w:line="360" w:lineRule="auto"/>
              <w:jc w:val="center"/>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cs="Times New Roman"/>
                <w:color w:val="auto"/>
                <w:sz w:val="24"/>
                <w:szCs w:val="24"/>
                <w:highlight w:val="none"/>
                <w:lang w:val="en-US" w:eastAsia="zh-CN"/>
              </w:rPr>
              <w:t>/</w:t>
            </w:r>
          </w:p>
        </w:tc>
      </w:tr>
      <w:tr w14:paraId="3EABD7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3" w:hRule="atLeast"/>
          <w:jc w:val="center"/>
        </w:trPr>
        <w:tc>
          <w:tcPr>
            <w:tcW w:w="1110" w:type="dxa"/>
            <w:noWrap w:val="0"/>
            <w:vAlign w:val="center"/>
          </w:tcPr>
          <w:p w14:paraId="21851F1F">
            <w:pPr>
              <w:autoSpaceDE w:val="0"/>
              <w:autoSpaceDN w:val="0"/>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规划及规划环境影响评价符合性分析</w:t>
            </w:r>
          </w:p>
        </w:tc>
        <w:tc>
          <w:tcPr>
            <w:tcW w:w="7760" w:type="dxa"/>
            <w:gridSpan w:val="3"/>
            <w:noWrap w:val="0"/>
            <w:vAlign w:val="center"/>
          </w:tcPr>
          <w:p w14:paraId="540E7217">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lang w:val="en-US" w:eastAsia="zh-CN"/>
              </w:rPr>
              <w:t>/</w:t>
            </w:r>
          </w:p>
        </w:tc>
      </w:tr>
      <w:tr w14:paraId="7BA35B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3" w:hRule="atLeast"/>
          <w:jc w:val="center"/>
        </w:trPr>
        <w:tc>
          <w:tcPr>
            <w:tcW w:w="1110" w:type="dxa"/>
            <w:noWrap w:val="0"/>
            <w:vAlign w:val="center"/>
          </w:tcPr>
          <w:p w14:paraId="24AB9B1A">
            <w:pPr>
              <w:autoSpaceDE w:val="0"/>
              <w:autoSpaceDN w:val="0"/>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其他符合性分析</w:t>
            </w:r>
          </w:p>
        </w:tc>
        <w:tc>
          <w:tcPr>
            <w:tcW w:w="7760" w:type="dxa"/>
            <w:gridSpan w:val="3"/>
            <w:noWrap w:val="0"/>
            <w:vAlign w:val="center"/>
          </w:tcPr>
          <w:p w14:paraId="0032729F">
            <w:pPr>
              <w:spacing w:line="360" w:lineRule="auto"/>
              <w:rPr>
                <w:rFonts w:hint="default" w:ascii="Times New Roman" w:hAnsi="Times New Roman" w:eastAsia="宋体" w:cs="Times New Roman"/>
                <w:b/>
                <w:bCs/>
                <w:color w:val="auto"/>
                <w:kern w:val="0"/>
                <w:sz w:val="24"/>
                <w:szCs w:val="24"/>
                <w:highlight w:val="none"/>
                <w:lang w:val="en-US" w:eastAsia="zh-CN"/>
              </w:rPr>
            </w:pPr>
            <w:r>
              <w:rPr>
                <w:rFonts w:hint="eastAsia" w:ascii="Times New Roman" w:hAnsi="Times New Roman" w:cs="Times New Roman"/>
                <w:b/>
                <w:bCs/>
                <w:color w:val="auto"/>
                <w:kern w:val="0"/>
                <w:sz w:val="24"/>
                <w:szCs w:val="24"/>
                <w:highlight w:val="none"/>
                <w:lang w:val="en-US" w:eastAsia="zh-CN"/>
              </w:rPr>
              <w:t>1</w:t>
            </w:r>
            <w:r>
              <w:rPr>
                <w:rFonts w:hint="default" w:ascii="Times New Roman" w:hAnsi="Times New Roman" w:eastAsia="宋体" w:cs="Times New Roman"/>
                <w:b/>
                <w:bCs/>
                <w:color w:val="auto"/>
                <w:kern w:val="0"/>
                <w:sz w:val="24"/>
                <w:szCs w:val="24"/>
                <w:highlight w:val="none"/>
                <w:lang w:val="en-US" w:eastAsia="zh-CN"/>
              </w:rPr>
              <w:t>、产业政策符合性分析</w:t>
            </w:r>
          </w:p>
          <w:p w14:paraId="3074AA72">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sz w:val="24"/>
              </w:rPr>
              <w:t>根据《产业结构调整指导目录（20</w:t>
            </w:r>
            <w:r>
              <w:rPr>
                <w:rFonts w:hint="eastAsia" w:ascii="Times New Roman" w:hAnsi="Times New Roman" w:cs="Times New Roman"/>
                <w:color w:val="auto"/>
                <w:sz w:val="24"/>
                <w:lang w:val="en-US" w:eastAsia="zh-CN"/>
              </w:rPr>
              <w:t>24</w:t>
            </w:r>
            <w:r>
              <w:rPr>
                <w:rFonts w:hint="default" w:ascii="Times New Roman" w:hAnsi="Times New Roman" w:eastAsia="宋体" w:cs="Times New Roman"/>
                <w:color w:val="auto"/>
                <w:sz w:val="24"/>
              </w:rPr>
              <w:t>年本）》</w:t>
            </w:r>
            <w:r>
              <w:rPr>
                <w:rFonts w:hint="default" w:ascii="Times New Roman" w:hAnsi="Times New Roman" w:eastAsia="宋体" w:cs="Times New Roman"/>
                <w:color w:val="auto"/>
                <w:kern w:val="0"/>
                <w:sz w:val="24"/>
                <w:szCs w:val="24"/>
                <w:highlight w:val="none"/>
                <w:lang w:val="en-US" w:eastAsia="zh-CN" w:bidi="ar"/>
              </w:rPr>
              <w:t>，本项目洗煤</w:t>
            </w:r>
            <w:r>
              <w:rPr>
                <w:rFonts w:hint="eastAsia" w:ascii="Times New Roman" w:hAnsi="Times New Roman" w:eastAsia="宋体" w:cs="Times New Roman"/>
                <w:color w:val="auto"/>
                <w:kern w:val="0"/>
                <w:sz w:val="24"/>
                <w:szCs w:val="24"/>
                <w:highlight w:val="none"/>
                <w:lang w:val="en-US" w:eastAsia="zh-CN" w:bidi="ar"/>
              </w:rPr>
              <w:t>厂</w:t>
            </w:r>
            <w:r>
              <w:rPr>
                <w:rFonts w:hint="default" w:ascii="Times New Roman" w:hAnsi="Times New Roman" w:eastAsia="宋体" w:cs="Times New Roman"/>
                <w:color w:val="auto"/>
                <w:kern w:val="0"/>
                <w:sz w:val="24"/>
                <w:szCs w:val="24"/>
                <w:highlight w:val="none"/>
                <w:lang w:val="en-US" w:eastAsia="zh-CN" w:bidi="ar"/>
              </w:rPr>
              <w:t>不属于淘汰类项目，属于允许类，因此本项目的建设符合产业政策的要求。</w:t>
            </w:r>
          </w:p>
          <w:p w14:paraId="5342495F">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根据《煤炭产业政策》（2013年修订稿）</w:t>
            </w:r>
            <w:r>
              <w:rPr>
                <w:rFonts w:hint="eastAsia"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产业布局篇章（第二章）第十三条内容为：新建大中型煤矿应当配套建设相应规模的选煤厂，鼓励在中小型煤矿集中矿区建设群矿选煤厂，提高原煤洗选比例和洗选效率。</w:t>
            </w:r>
          </w:p>
          <w:p w14:paraId="628A76E1">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本工程为煤炭洗选项目，属于“鼓励在中小型煤矿集中矿区建设群矿选煤厂，提高原煤洗选比例和洗选效率。”范畴。为此，本工程建设与煤炭产业政策内容是相符的。</w:t>
            </w:r>
          </w:p>
          <w:p w14:paraId="4834B3DF">
            <w:pPr>
              <w:spacing w:line="360" w:lineRule="auto"/>
              <w:rPr>
                <w:rFonts w:hint="default" w:ascii="Times New Roman" w:hAnsi="Times New Roman" w:eastAsia="宋体" w:cs="Times New Roman"/>
                <w:b/>
                <w:bCs/>
                <w:color w:val="auto"/>
                <w:kern w:val="0"/>
                <w:sz w:val="24"/>
                <w:szCs w:val="24"/>
                <w:highlight w:val="none"/>
                <w:lang w:val="en-US" w:eastAsia="zh-CN"/>
              </w:rPr>
            </w:pPr>
            <w:r>
              <w:rPr>
                <w:rFonts w:hint="eastAsia" w:ascii="Times New Roman" w:hAnsi="Times New Roman" w:cs="Times New Roman"/>
                <w:b/>
                <w:bCs/>
                <w:color w:val="auto"/>
                <w:kern w:val="0"/>
                <w:sz w:val="24"/>
                <w:szCs w:val="24"/>
                <w:highlight w:val="none"/>
                <w:lang w:val="en-US" w:eastAsia="zh-CN"/>
              </w:rPr>
              <w:t>2</w:t>
            </w:r>
            <w:r>
              <w:rPr>
                <w:rFonts w:hint="default" w:ascii="Times New Roman" w:hAnsi="Times New Roman" w:eastAsia="宋体" w:cs="Times New Roman"/>
                <w:b/>
                <w:bCs/>
                <w:color w:val="auto"/>
                <w:kern w:val="0"/>
                <w:sz w:val="24"/>
                <w:szCs w:val="24"/>
                <w:highlight w:val="none"/>
                <w:lang w:val="en-US" w:eastAsia="zh-CN"/>
              </w:rPr>
              <w:t xml:space="preserve">、选址合理性分析 </w:t>
            </w:r>
          </w:p>
          <w:p w14:paraId="286AEA6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根据《煤炭洗选工程设计规范》（GB50359-2016）</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工业场地总平面</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中关于选煤厂厂址选择符合性分析见表1-</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rPr>
              <w:t>。</w:t>
            </w:r>
          </w:p>
          <w:p w14:paraId="351D6DA7">
            <w:pPr>
              <w:pStyle w:val="16"/>
              <w:rPr>
                <w:rFonts w:hint="default" w:ascii="Times New Roman" w:hAnsi="Times New Roman" w:eastAsia="宋体" w:cs="Times New Roman"/>
                <w:color w:val="auto"/>
                <w:sz w:val="24"/>
                <w:szCs w:val="24"/>
              </w:rPr>
            </w:pPr>
          </w:p>
          <w:p w14:paraId="4DD4BE97">
            <w:pPr>
              <w:jc w:val="center"/>
              <w:rPr>
                <w:rFonts w:hint="default" w:ascii="Times New Roman" w:hAnsi="Times New Roman" w:eastAsia="宋体" w:cs="Times New Roman"/>
                <w:b/>
                <w:bCs/>
                <w:color w:val="auto"/>
                <w:sz w:val="21"/>
                <w:szCs w:val="21"/>
              </w:rPr>
            </w:pPr>
          </w:p>
          <w:p w14:paraId="30593AF4">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eastAsia" w:ascii="Times New Roman" w:hAnsi="Times New Roman" w:cs="Times New Roman"/>
                <w:b/>
                <w:bCs/>
                <w:color w:val="auto"/>
                <w:sz w:val="21"/>
                <w:szCs w:val="21"/>
                <w:lang w:val="en-US" w:eastAsia="zh-CN"/>
              </w:rPr>
              <w:t>2</w:t>
            </w:r>
            <w:r>
              <w:rPr>
                <w:rFonts w:hint="default" w:ascii="Times New Roman" w:hAnsi="Times New Roman" w:eastAsia="宋体" w:cs="Times New Roman"/>
                <w:b/>
                <w:bCs/>
                <w:color w:val="auto"/>
                <w:sz w:val="21"/>
                <w:szCs w:val="21"/>
              </w:rPr>
              <w:t xml:space="preserve"> 《煤炭洗选工程设计规范》（GB50359-2016）</w:t>
            </w:r>
            <w:r>
              <w:rPr>
                <w:rFonts w:hint="eastAsia" w:ascii="Times New Roman" w:hAnsi="Times New Roman" w:cs="Times New Roman"/>
                <w:b/>
                <w:bCs/>
                <w:color w:val="auto"/>
                <w:sz w:val="21"/>
                <w:szCs w:val="21"/>
                <w:lang w:eastAsia="zh-CN"/>
              </w:rPr>
              <w:t>“</w:t>
            </w:r>
            <w:r>
              <w:rPr>
                <w:rFonts w:hint="default" w:ascii="Times New Roman" w:hAnsi="Times New Roman" w:eastAsia="宋体" w:cs="Times New Roman"/>
                <w:b/>
                <w:bCs/>
                <w:color w:val="auto"/>
                <w:sz w:val="21"/>
                <w:szCs w:val="21"/>
              </w:rPr>
              <w:t>工业场地总平面</w:t>
            </w:r>
            <w:r>
              <w:rPr>
                <w:rFonts w:hint="eastAsia" w:ascii="Times New Roman" w:hAnsi="Times New Roman" w:cs="Times New Roman"/>
                <w:b/>
                <w:bCs/>
                <w:color w:val="auto"/>
                <w:sz w:val="21"/>
                <w:szCs w:val="21"/>
                <w:lang w:eastAsia="zh-CN"/>
              </w:rPr>
              <w:t>”</w:t>
            </w:r>
            <w:r>
              <w:rPr>
                <w:rFonts w:hint="default" w:ascii="Times New Roman" w:hAnsi="Times New Roman" w:eastAsia="宋体" w:cs="Times New Roman"/>
                <w:b/>
                <w:bCs/>
                <w:color w:val="auto"/>
                <w:sz w:val="21"/>
                <w:szCs w:val="21"/>
              </w:rPr>
              <w:t>中关于选煤厂厂址选择符合性</w:t>
            </w:r>
          </w:p>
          <w:tbl>
            <w:tblPr>
              <w:tblStyle w:val="31"/>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7"/>
              <w:gridCol w:w="3971"/>
              <w:gridCol w:w="2418"/>
              <w:gridCol w:w="708"/>
            </w:tblGrid>
            <w:tr w14:paraId="46842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 w:type="pct"/>
                  <w:noWrap w:val="0"/>
                  <w:vAlign w:val="center"/>
                </w:tcPr>
                <w:p w14:paraId="5C2D7C07">
                  <w:pPr>
                    <w:pStyle w:val="23"/>
                    <w:ind w:left="0" w:lef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631" w:type="pct"/>
                  <w:noWrap w:val="0"/>
                  <w:vAlign w:val="center"/>
                </w:tcPr>
                <w:p w14:paraId="059BE701">
                  <w:pPr>
                    <w:pStyle w:val="23"/>
                    <w:ind w:left="0" w:lef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《煤炭洗选工程设计规范》（GB50359-2016）</w:t>
                  </w:r>
                  <w:r>
                    <w:rPr>
                      <w:rFonts w:hint="eastAsia" w:ascii="Times New Roman" w:hAnsi="Times New Roman" w:cs="Times New Roman"/>
                      <w:b/>
                      <w:bCs/>
                      <w:color w:val="auto"/>
                      <w:sz w:val="21"/>
                      <w:szCs w:val="21"/>
                      <w:lang w:eastAsia="zh-CN"/>
                    </w:rPr>
                    <w:t>“</w:t>
                  </w:r>
                  <w:r>
                    <w:rPr>
                      <w:rFonts w:hint="default" w:ascii="Times New Roman" w:hAnsi="Times New Roman" w:eastAsia="宋体" w:cs="Times New Roman"/>
                      <w:b/>
                      <w:bCs/>
                      <w:color w:val="auto"/>
                      <w:sz w:val="21"/>
                      <w:szCs w:val="21"/>
                    </w:rPr>
                    <w:t>工业场地总平面</w:t>
                  </w:r>
                  <w:r>
                    <w:rPr>
                      <w:rFonts w:hint="eastAsia" w:ascii="Times New Roman" w:hAnsi="Times New Roman" w:cs="Times New Roman"/>
                      <w:b/>
                      <w:bCs/>
                      <w:color w:val="auto"/>
                      <w:sz w:val="21"/>
                      <w:szCs w:val="21"/>
                      <w:lang w:eastAsia="zh-CN"/>
                    </w:rPr>
                    <w:t>”</w:t>
                  </w:r>
                  <w:r>
                    <w:rPr>
                      <w:rFonts w:hint="default" w:ascii="Times New Roman" w:hAnsi="Times New Roman" w:eastAsia="宋体" w:cs="Times New Roman"/>
                      <w:b/>
                      <w:bCs/>
                      <w:color w:val="auto"/>
                      <w:sz w:val="21"/>
                      <w:szCs w:val="21"/>
                    </w:rPr>
                    <w:t>中关于选煤厂厂址选择的规定</w:t>
                  </w:r>
                </w:p>
              </w:tc>
              <w:tc>
                <w:tcPr>
                  <w:tcW w:w="1602" w:type="pct"/>
                  <w:noWrap w:val="0"/>
                  <w:vAlign w:val="center"/>
                </w:tcPr>
                <w:p w14:paraId="1B15D1B9">
                  <w:pPr>
                    <w:pStyle w:val="23"/>
                    <w:ind w:left="0" w:lef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本项目厂址选择情况</w:t>
                  </w:r>
                </w:p>
              </w:tc>
              <w:tc>
                <w:tcPr>
                  <w:tcW w:w="469" w:type="pct"/>
                  <w:noWrap w:val="0"/>
                  <w:vAlign w:val="center"/>
                </w:tcPr>
                <w:p w14:paraId="3E844F75">
                  <w:pPr>
                    <w:pStyle w:val="23"/>
                    <w:ind w:left="0" w:lef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符合性</w:t>
                  </w:r>
                </w:p>
              </w:tc>
            </w:tr>
            <w:tr w14:paraId="0538D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5" w:hRule="atLeast"/>
              </w:trPr>
              <w:tc>
                <w:tcPr>
                  <w:tcW w:w="296" w:type="pct"/>
                  <w:noWrap w:val="0"/>
                  <w:vAlign w:val="center"/>
                </w:tcPr>
                <w:p w14:paraId="1C62323E">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631" w:type="pct"/>
                  <w:noWrap w:val="0"/>
                  <w:vAlign w:val="center"/>
                </w:tcPr>
                <w:p w14:paraId="0CDCDBF6">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应根据国家的工业布局、城镇（乡）总体规划、土地利用总体规划以及矿区总体规划的要求，按项目建设前期工作的有关规定进行</w:t>
                  </w:r>
                </w:p>
              </w:tc>
              <w:tc>
                <w:tcPr>
                  <w:tcW w:w="1602" w:type="pct"/>
                  <w:noWrap w:val="0"/>
                  <w:vAlign w:val="center"/>
                </w:tcPr>
                <w:p w14:paraId="552E1304">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w:t>
                  </w:r>
                  <w:r>
                    <w:rPr>
                      <w:rFonts w:hint="eastAsia" w:ascii="Times New Roman" w:hAnsi="Times New Roman" w:cs="Times New Roman"/>
                      <w:color w:val="auto"/>
                      <w:sz w:val="21"/>
                      <w:szCs w:val="21"/>
                      <w:lang w:eastAsia="zh-CN"/>
                    </w:rPr>
                    <w:t>鸡西市恒山区大恒山办合作委四组</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厂界四周均为空地</w:t>
                  </w:r>
                  <w:r>
                    <w:rPr>
                      <w:rFonts w:hint="default" w:ascii="Times New Roman" w:hAnsi="Times New Roman" w:eastAsia="宋体" w:cs="Times New Roman"/>
                      <w:color w:val="auto"/>
                      <w:sz w:val="21"/>
                      <w:szCs w:val="21"/>
                    </w:rPr>
                    <w:t>。规划土地用途为工业用地</w:t>
                  </w:r>
                </w:p>
              </w:tc>
              <w:tc>
                <w:tcPr>
                  <w:tcW w:w="469" w:type="pct"/>
                  <w:noWrap w:val="0"/>
                  <w:vAlign w:val="center"/>
                </w:tcPr>
                <w:p w14:paraId="55E01AAA">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35536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 w:type="pct"/>
                  <w:noWrap w:val="0"/>
                  <w:vAlign w:val="center"/>
                </w:tcPr>
                <w:p w14:paraId="1E95CE52">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631" w:type="pct"/>
                  <w:noWrap w:val="0"/>
                  <w:vAlign w:val="center"/>
                </w:tcPr>
                <w:p w14:paraId="0D924325">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厂址应靠近原料基地，应有便利和经济的交通运输条件，并应与厂外铁路、公路连接便捷、工程量小</w:t>
                  </w:r>
                </w:p>
              </w:tc>
              <w:tc>
                <w:tcPr>
                  <w:tcW w:w="1602" w:type="pct"/>
                  <w:noWrap w:val="0"/>
                  <w:vAlign w:val="center"/>
                </w:tcPr>
                <w:p w14:paraId="542B2C19">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本项目选煤原料依托附近煤矿，交通便利</w:t>
                  </w:r>
                </w:p>
              </w:tc>
              <w:tc>
                <w:tcPr>
                  <w:tcW w:w="469" w:type="pct"/>
                  <w:noWrap w:val="0"/>
                  <w:vAlign w:val="center"/>
                </w:tcPr>
                <w:p w14:paraId="5B08990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607E8A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 w:type="pct"/>
                  <w:noWrap w:val="0"/>
                  <w:vAlign w:val="center"/>
                </w:tcPr>
                <w:p w14:paraId="68D9EE66">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631" w:type="pct"/>
                  <w:noWrap w:val="0"/>
                  <w:vAlign w:val="center"/>
                </w:tcPr>
                <w:p w14:paraId="40488008">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厂址应具有满足生产、生活及发展所必需的水源和电源。水源和电源与厂址之间的管线连接应短捷</w:t>
                  </w:r>
                </w:p>
              </w:tc>
              <w:tc>
                <w:tcPr>
                  <w:tcW w:w="1602" w:type="pct"/>
                  <w:noWrap w:val="0"/>
                  <w:vAlign w:val="center"/>
                </w:tcPr>
                <w:p w14:paraId="6288BB96">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本项目拟建厂区所在位置为</w:t>
                  </w:r>
                  <w:r>
                    <w:rPr>
                      <w:rFonts w:hint="default" w:ascii="Times New Roman" w:hAnsi="Times New Roman" w:eastAsia="宋体" w:cs="Times New Roman"/>
                      <w:color w:val="auto"/>
                      <w:sz w:val="21"/>
                      <w:szCs w:val="21"/>
                      <w:lang w:eastAsia="zh-CN"/>
                    </w:rPr>
                    <w:t>工业用地</w:t>
                  </w:r>
                  <w:r>
                    <w:rPr>
                      <w:rFonts w:hint="default" w:ascii="Times New Roman" w:hAnsi="Times New Roman" w:eastAsia="宋体" w:cs="Times New Roman"/>
                      <w:color w:val="auto"/>
                      <w:sz w:val="21"/>
                      <w:szCs w:val="21"/>
                    </w:rPr>
                    <w:t>，利用原厂址办公区具备满足生产、生活及发展所必需的水源和电源。</w:t>
                  </w:r>
                </w:p>
              </w:tc>
              <w:tc>
                <w:tcPr>
                  <w:tcW w:w="469" w:type="pct"/>
                  <w:noWrap w:val="0"/>
                  <w:vAlign w:val="center"/>
                </w:tcPr>
                <w:p w14:paraId="58D832F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4A7DF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 w:type="pct"/>
                  <w:noWrap w:val="0"/>
                  <w:vAlign w:val="center"/>
                </w:tcPr>
                <w:p w14:paraId="78D7F1CF">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631" w:type="pct"/>
                  <w:noWrap w:val="0"/>
                  <w:vAlign w:val="center"/>
                </w:tcPr>
                <w:p w14:paraId="56047932">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厂址应具有满足建设工程需要的工程地质条件和水文地质条件。在抗震设防烈度6度及以上的地震区，应避开抗震不利地段，当无法避开时，应采取地基处理及抗震措施</w:t>
                  </w:r>
                </w:p>
              </w:tc>
              <w:tc>
                <w:tcPr>
                  <w:tcW w:w="1602" w:type="pct"/>
                  <w:noWrap w:val="0"/>
                  <w:vAlign w:val="center"/>
                </w:tcPr>
                <w:p w14:paraId="18C26A6A">
                  <w:pPr>
                    <w:pStyle w:val="23"/>
                    <w:ind w:left="0" w:left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本项目厂址</w:t>
                  </w:r>
                  <w:r>
                    <w:rPr>
                      <w:rFonts w:hint="eastAsia" w:ascii="Times New Roman" w:hAnsi="Times New Roman" w:cs="Times New Roman"/>
                      <w:color w:val="auto"/>
                      <w:sz w:val="21"/>
                      <w:szCs w:val="21"/>
                      <w:lang w:eastAsia="zh-CN"/>
                    </w:rPr>
                    <w:t>地区</w:t>
                  </w:r>
                  <w:r>
                    <w:rPr>
                      <w:rFonts w:hint="default" w:ascii="Times New Roman" w:hAnsi="Times New Roman" w:eastAsia="宋体" w:cs="Times New Roman"/>
                      <w:color w:val="auto"/>
                      <w:sz w:val="21"/>
                      <w:szCs w:val="21"/>
                    </w:rPr>
                    <w:t>抗震设防烈度6度</w:t>
                  </w:r>
                </w:p>
              </w:tc>
              <w:tc>
                <w:tcPr>
                  <w:tcW w:w="469" w:type="pct"/>
                  <w:noWrap w:val="0"/>
                  <w:vAlign w:val="center"/>
                </w:tcPr>
                <w:p w14:paraId="508E16B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38C13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 w:type="pct"/>
                  <w:noWrap w:val="0"/>
                  <w:vAlign w:val="center"/>
                </w:tcPr>
                <w:p w14:paraId="464761CE">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631" w:type="pct"/>
                  <w:noWrap w:val="0"/>
                  <w:vAlign w:val="center"/>
                </w:tcPr>
                <w:p w14:paraId="0589D370">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厂址应具有满足近期建设所必需的场地面积和适宜的建厂地形，并应根据选煤厂远期发展规划的需要，留有适当的发展余地</w:t>
                  </w:r>
                </w:p>
              </w:tc>
              <w:tc>
                <w:tcPr>
                  <w:tcW w:w="1602" w:type="pct"/>
                  <w:noWrap w:val="0"/>
                  <w:vAlign w:val="center"/>
                </w:tcPr>
                <w:p w14:paraId="49E29CD4">
                  <w:pPr>
                    <w:pStyle w:val="23"/>
                    <w:ind w:left="0" w:lef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本项目占地面积为</w:t>
                  </w:r>
                  <w:r>
                    <w:rPr>
                      <w:rFonts w:hint="eastAsia" w:cs="Times New Roman"/>
                      <w:color w:val="auto"/>
                      <w:sz w:val="21"/>
                      <w:szCs w:val="21"/>
                      <w:highlight w:val="none"/>
                      <w:lang w:val="en-US" w:eastAsia="zh-CN"/>
                    </w:rPr>
                    <w:t>18000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，有适当的发展余地</w:t>
                  </w:r>
                </w:p>
              </w:tc>
              <w:tc>
                <w:tcPr>
                  <w:tcW w:w="469" w:type="pct"/>
                  <w:noWrap w:val="0"/>
                  <w:vAlign w:val="center"/>
                </w:tcPr>
                <w:p w14:paraId="52E34D0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14:paraId="4B7CF3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 w:type="pct"/>
                  <w:noWrap w:val="0"/>
                  <w:vAlign w:val="center"/>
                </w:tcPr>
                <w:p w14:paraId="193C31BD">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2631" w:type="pct"/>
                  <w:noWrap w:val="0"/>
                  <w:vAlign w:val="center"/>
                </w:tcPr>
                <w:p w14:paraId="78842867">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厂址应有适宜的地形坡度，应避开自然地形复杂、坡度大的地段，并应避免将盆地、集水洼地作为厂址</w:t>
                  </w:r>
                </w:p>
              </w:tc>
              <w:tc>
                <w:tcPr>
                  <w:tcW w:w="1602" w:type="pct"/>
                  <w:noWrap w:val="0"/>
                  <w:vAlign w:val="center"/>
                </w:tcPr>
                <w:p w14:paraId="53655A26">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本项目厂址有适宜的地形坡度</w:t>
                  </w:r>
                </w:p>
              </w:tc>
              <w:tc>
                <w:tcPr>
                  <w:tcW w:w="469" w:type="pct"/>
                  <w:noWrap w:val="0"/>
                  <w:vAlign w:val="center"/>
                </w:tcPr>
                <w:p w14:paraId="443DD773">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046638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 w:type="pct"/>
                  <w:noWrap w:val="0"/>
                  <w:vAlign w:val="center"/>
                </w:tcPr>
                <w:p w14:paraId="2A2201DC">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2631" w:type="pct"/>
                  <w:noWrap w:val="0"/>
                  <w:vAlign w:val="center"/>
                </w:tcPr>
                <w:p w14:paraId="226540AF">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在山区建厂时，当厂址位于山坡或山脚处时，应对场地的稳定性等做出地质灾害危险性评估报告。</w:t>
                  </w:r>
                </w:p>
              </w:tc>
              <w:tc>
                <w:tcPr>
                  <w:tcW w:w="1602" w:type="pct"/>
                  <w:noWrap w:val="0"/>
                  <w:vAlign w:val="center"/>
                </w:tcPr>
                <w:p w14:paraId="0EEB8C01">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本项目厂址位于平缓地带</w:t>
                  </w:r>
                </w:p>
              </w:tc>
              <w:tc>
                <w:tcPr>
                  <w:tcW w:w="469" w:type="pct"/>
                  <w:noWrap w:val="0"/>
                  <w:vAlign w:val="center"/>
                </w:tcPr>
                <w:p w14:paraId="0E065E8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54A3CA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 w:type="pct"/>
                  <w:noWrap w:val="0"/>
                  <w:vAlign w:val="center"/>
                </w:tcPr>
                <w:p w14:paraId="6A52BCC5">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2631" w:type="pct"/>
                  <w:noWrap w:val="0"/>
                  <w:vAlign w:val="center"/>
                </w:tcPr>
                <w:p w14:paraId="32E26536">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厂址应不占或少占农田、林地以及基本农田，并应不压和少压煤炭和有开采价值的</w:t>
                  </w:r>
                </w:p>
                <w:p w14:paraId="4AD79075">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矿产资源</w:t>
                  </w:r>
                </w:p>
              </w:tc>
              <w:tc>
                <w:tcPr>
                  <w:tcW w:w="1602" w:type="pct"/>
                  <w:noWrap w:val="0"/>
                  <w:vAlign w:val="center"/>
                </w:tcPr>
                <w:p w14:paraId="05E2AAFC">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本项目厂址规划土地用途为工业用地，不占农田、林地以及基本农田</w:t>
                  </w:r>
                </w:p>
              </w:tc>
              <w:tc>
                <w:tcPr>
                  <w:tcW w:w="469" w:type="pct"/>
                  <w:noWrap w:val="0"/>
                  <w:vAlign w:val="center"/>
                </w:tcPr>
                <w:p w14:paraId="54685D3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602F08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 w:type="pct"/>
                  <w:noWrap w:val="0"/>
                  <w:vAlign w:val="center"/>
                </w:tcPr>
                <w:p w14:paraId="71482625">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2631" w:type="pct"/>
                  <w:noWrap w:val="0"/>
                  <w:vAlign w:val="center"/>
                </w:tcPr>
                <w:p w14:paraId="5EF38274">
                  <w:pPr>
                    <w:pStyle w:val="12"/>
                    <w:widowControl w:val="0"/>
                    <w:snapToGrid/>
                    <w:spacing w:before="0" w:after="0" w:line="240" w:lineRule="auto"/>
                    <w:ind w:right="0"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下列地段和地区不得选作选煤厂建设场地：</w:t>
                  </w:r>
                </w:p>
                <w:p w14:paraId="107AB9E3">
                  <w:pPr>
                    <w:pStyle w:val="12"/>
                    <w:widowControl w:val="0"/>
                    <w:snapToGrid/>
                    <w:spacing w:before="0" w:after="0" w:line="240" w:lineRule="auto"/>
                    <w:ind w:right="0"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抗震危险地段；2）有泥石流、滑坡、沙害、溶洞、采空区、Ⅳ级自重湿陷性黄土等不良地质现象，且采取治理措施的工程投资巨大；3）矿井开采后可能引发场地的环境地质问题；4）爆破危险范围内，地面炸药库的外部安全距离范围内；5）受到洪水威胁，而采取防洪措施的工程投资特别巨大；6）法定的文物保护区、风景名胜区、自然保护区、水源卫生</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防护区范围内7）航空、通信、气象地震观测、军事设施及其他重要设施的影响范围内。</w:t>
                  </w:r>
                </w:p>
              </w:tc>
              <w:tc>
                <w:tcPr>
                  <w:tcW w:w="1602" w:type="pct"/>
                  <w:noWrap w:val="0"/>
                  <w:vAlign w:val="center"/>
                </w:tcPr>
                <w:p w14:paraId="6431868C">
                  <w:pPr>
                    <w:pStyle w:val="23"/>
                    <w:ind w:left="0" w:lef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本项目规划土地用途为工业用地</w:t>
                  </w:r>
                </w:p>
              </w:tc>
              <w:tc>
                <w:tcPr>
                  <w:tcW w:w="469" w:type="pct"/>
                  <w:noWrap w:val="0"/>
                  <w:vAlign w:val="center"/>
                </w:tcPr>
                <w:p w14:paraId="6F65EC2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26FEB7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6" w:type="pct"/>
                  <w:noWrap w:val="0"/>
                  <w:vAlign w:val="center"/>
                </w:tcPr>
                <w:p w14:paraId="249388EF">
                  <w:pPr>
                    <w:pStyle w:val="23"/>
                    <w:ind w:left="0" w:lef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2631" w:type="pct"/>
                  <w:noWrap w:val="0"/>
                  <w:vAlign w:val="center"/>
                </w:tcPr>
                <w:p w14:paraId="23A11261">
                  <w:pPr>
                    <w:pStyle w:val="12"/>
                    <w:widowControl w:val="0"/>
                    <w:snapToGrid/>
                    <w:spacing w:before="0" w:after="0" w:line="240" w:lineRule="auto"/>
                    <w:ind w:right="0" w:firstLine="420" w:firstLineChars="200"/>
                    <w:jc w:val="left"/>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矿区、中心和用户选煤厂工业场地防洪标准，应符合现行国家标准《煤炭工业矿区总体规划规范》（GB 50465-2008）的有关规定</w:t>
                  </w:r>
                </w:p>
              </w:tc>
              <w:tc>
                <w:tcPr>
                  <w:tcW w:w="1602" w:type="pct"/>
                  <w:noWrap w:val="0"/>
                  <w:vAlign w:val="center"/>
                </w:tcPr>
                <w:p w14:paraId="083ACC32">
                  <w:pPr>
                    <w:pStyle w:val="23"/>
                    <w:ind w:left="0" w:lef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本项目洗煤厂符合</w:t>
                  </w:r>
                  <w:r>
                    <w:rPr>
                      <w:rFonts w:hint="eastAsia" w:ascii="Times New Roman" w:hAnsi="Times New Roman" w:cs="Times New Roman"/>
                      <w:color w:val="auto"/>
                      <w:sz w:val="21"/>
                      <w:szCs w:val="21"/>
                      <w:lang w:val="en-US" w:eastAsia="zh-CN"/>
                    </w:rPr>
                    <w:t>《煤炭工业矿区总体规划规范》</w:t>
                  </w:r>
                  <w:r>
                    <w:rPr>
                      <w:rFonts w:hint="default" w:ascii="Times New Roman" w:hAnsi="Times New Roman" w:cs="Times New Roman"/>
                      <w:color w:val="auto"/>
                      <w:sz w:val="21"/>
                      <w:szCs w:val="21"/>
                      <w:lang w:val="en-US" w:eastAsia="zh-CN"/>
                    </w:rPr>
                    <w:t>（GB 50465-2008）中5.3.2防护对象的防洪标准50（a）</w:t>
                  </w:r>
                  <w:r>
                    <w:rPr>
                      <w:rFonts w:hint="eastAsia" w:ascii="Times New Roman" w:hAnsi="Times New Roman" w:cs="Times New Roman"/>
                      <w:color w:val="auto"/>
                      <w:sz w:val="21"/>
                      <w:szCs w:val="21"/>
                      <w:lang w:val="en-US" w:eastAsia="zh-CN"/>
                    </w:rPr>
                    <w:t>。</w:t>
                  </w:r>
                </w:p>
              </w:tc>
              <w:tc>
                <w:tcPr>
                  <w:tcW w:w="469" w:type="pct"/>
                  <w:noWrap w:val="0"/>
                  <w:vAlign w:val="center"/>
                </w:tcPr>
                <w:p w14:paraId="373F1392">
                  <w:pPr>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符合</w:t>
                  </w:r>
                </w:p>
              </w:tc>
            </w:tr>
          </w:tbl>
          <w:p w14:paraId="3258F91D">
            <w:pPr>
              <w:pStyle w:val="12"/>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80" w:firstLineChars="200"/>
              <w:jc w:val="left"/>
              <w:textAlignment w:val="auto"/>
              <w:outlineLvl w:val="9"/>
              <w:rPr>
                <w:rFonts w:hint="default" w:ascii="Times New Roman" w:hAnsi="Times New Roman" w:eastAsia="宋体" w:cs="Times New Roman"/>
                <w:color w:val="auto"/>
                <w:spacing w:val="12"/>
                <w:sz w:val="24"/>
                <w:szCs w:val="24"/>
                <w:highlight w:val="none"/>
                <w:lang w:val="en-US" w:eastAsia="zh-Hans" w:bidi="ar-SA"/>
              </w:rPr>
            </w:pPr>
            <w:r>
              <w:rPr>
                <w:rFonts w:hint="default" w:ascii="Times New Roman" w:hAnsi="Times New Roman" w:eastAsia="宋体" w:cs="Times New Roman"/>
                <w:color w:val="auto"/>
                <w:spacing w:val="0"/>
                <w:w w:val="100"/>
                <w:kern w:val="21"/>
                <w:sz w:val="24"/>
                <w:highlight w:val="none"/>
              </w:rPr>
              <w:t>本项目位于</w:t>
            </w:r>
            <w:r>
              <w:rPr>
                <w:rFonts w:hint="default" w:ascii="Times New Roman" w:hAnsi="Times New Roman" w:cs="Times New Roman"/>
                <w:color w:val="auto"/>
                <w:spacing w:val="0"/>
                <w:w w:val="100"/>
                <w:kern w:val="21"/>
                <w:sz w:val="24"/>
                <w:highlight w:val="none"/>
                <w:lang w:val="en-US" w:eastAsia="zh-CN"/>
              </w:rPr>
              <w:t>鸡西市恒山区大恒山办合作委四组</w:t>
            </w:r>
            <w:r>
              <w:rPr>
                <w:rFonts w:hint="default" w:ascii="Times New Roman" w:hAnsi="Times New Roman" w:eastAsia="宋体" w:cs="Times New Roman"/>
                <w:color w:val="auto"/>
                <w:spacing w:val="0"/>
                <w:w w:val="100"/>
                <w:kern w:val="21"/>
                <w:sz w:val="24"/>
                <w:highlight w:val="none"/>
                <w:lang w:val="en-US" w:eastAsia="zh-CN"/>
              </w:rPr>
              <w:t>，</w:t>
            </w:r>
            <w:r>
              <w:rPr>
                <w:rFonts w:hint="eastAsia" w:ascii="Times New Roman" w:hAnsi="Times New Roman" w:cs="Times New Roman"/>
                <w:color w:val="auto"/>
                <w:spacing w:val="0"/>
                <w:w w:val="100"/>
                <w:kern w:val="21"/>
                <w:sz w:val="24"/>
                <w:highlight w:val="none"/>
                <w:lang w:val="en-US" w:eastAsia="zh-CN"/>
              </w:rPr>
              <w:t>该项目原址为大恒山矿工业场地，现状土地用途为采矿用地，规划土地用途为独立工矿区，大恒山矿闭矿后，</w:t>
            </w:r>
            <w:r>
              <w:rPr>
                <w:rFonts w:hint="default" w:ascii="Times New Roman" w:hAnsi="Times New Roman" w:eastAsia="宋体" w:cs="Times New Roman"/>
                <w:color w:val="auto"/>
                <w:spacing w:val="0"/>
                <w:w w:val="100"/>
                <w:kern w:val="21"/>
                <w:sz w:val="24"/>
                <w:highlight w:val="none"/>
                <w:lang w:val="en-US" w:eastAsia="zh-CN"/>
              </w:rPr>
              <w:t>鸡西市大福煤炭销售有限公司</w:t>
            </w:r>
            <w:r>
              <w:rPr>
                <w:rFonts w:hint="eastAsia" w:ascii="Times New Roman" w:hAnsi="Times New Roman" w:cs="Times New Roman"/>
                <w:color w:val="auto"/>
                <w:spacing w:val="0"/>
                <w:w w:val="100"/>
                <w:kern w:val="21"/>
                <w:sz w:val="24"/>
                <w:highlight w:val="none"/>
                <w:lang w:val="en-US" w:eastAsia="zh-CN"/>
              </w:rPr>
              <w:t>购买该矿工业场地使用权。</w:t>
            </w:r>
          </w:p>
          <w:p w14:paraId="6CD0B673">
            <w:pPr>
              <w:pStyle w:val="12"/>
              <w:keepNext w:val="0"/>
              <w:keepLines w:val="0"/>
              <w:pageBreakBefore w:val="0"/>
              <w:widowControl w:val="0"/>
              <w:numPr>
                <w:ilvl w:val="0"/>
                <w:numId w:val="3"/>
              </w:numPr>
              <w:kinsoku/>
              <w:wordWrap/>
              <w:overflowPunct/>
              <w:topLinePunct w:val="0"/>
              <w:autoSpaceDE/>
              <w:autoSpaceDN/>
              <w:bidi w:val="0"/>
              <w:adjustRightInd/>
              <w:snapToGrid/>
              <w:spacing w:before="0" w:after="0" w:line="360" w:lineRule="auto"/>
              <w:ind w:right="0" w:rightChars="0" w:firstLine="480" w:firstLineChars="200"/>
              <w:jc w:val="both"/>
              <w:textAlignment w:val="auto"/>
              <w:outlineLvl w:val="9"/>
              <w:rPr>
                <w:rFonts w:hint="eastAsia" w:ascii="Times New Roman" w:hAnsi="Times New Roman" w:cs="Times New Roman"/>
                <w:color w:val="auto"/>
                <w:spacing w:val="0"/>
                <w:w w:val="100"/>
                <w:kern w:val="21"/>
                <w:sz w:val="24"/>
                <w:highlight w:val="none"/>
                <w:lang w:val="en-US" w:eastAsia="zh-CN"/>
              </w:rPr>
            </w:pPr>
            <w:r>
              <w:rPr>
                <w:rFonts w:hint="default" w:ascii="Times New Roman" w:hAnsi="Times New Roman" w:eastAsia="宋体" w:cs="Times New Roman"/>
                <w:color w:val="auto"/>
                <w:spacing w:val="0"/>
                <w:w w:val="100"/>
                <w:kern w:val="21"/>
                <w:sz w:val="24"/>
                <w:highlight w:val="none"/>
                <w:lang w:val="en-US" w:eastAsia="zh-CN"/>
              </w:rPr>
              <w:t>项目的选址不在自然保护区、风景名胜区及饮用水水源保护区内，且项目的选址不在基本农田保护区、重要湿地、野生动物重要栖息地内，评价区域内无国家级、省级保护野生动物、植物及古木名树</w:t>
            </w:r>
            <w:r>
              <w:rPr>
                <w:rFonts w:hint="eastAsia" w:ascii="Times New Roman" w:hAnsi="Times New Roman" w:cs="Times New Roman"/>
                <w:color w:val="auto"/>
                <w:spacing w:val="0"/>
                <w:w w:val="100"/>
                <w:kern w:val="21"/>
                <w:sz w:val="24"/>
                <w:highlight w:val="none"/>
                <w:lang w:val="en-US" w:eastAsia="zh-CN"/>
              </w:rPr>
              <w:t>。</w:t>
            </w:r>
          </w:p>
          <w:p w14:paraId="027B3E26">
            <w:pPr>
              <w:pStyle w:val="12"/>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80" w:firstLineChars="200"/>
              <w:jc w:val="both"/>
              <w:textAlignment w:val="auto"/>
              <w:outlineLvl w:val="9"/>
              <w:rPr>
                <w:rFonts w:hint="default" w:ascii="Times New Roman" w:hAnsi="Times New Roman" w:eastAsia="宋体" w:cs="Times New Roman"/>
                <w:color w:val="auto"/>
                <w:spacing w:val="0"/>
                <w:w w:val="100"/>
                <w:kern w:val="21"/>
                <w:sz w:val="24"/>
                <w:highlight w:val="none"/>
                <w:lang w:val="en-US" w:eastAsia="zh-CN"/>
              </w:rPr>
            </w:pPr>
            <w:r>
              <w:rPr>
                <w:rFonts w:hint="default" w:ascii="Times New Roman" w:hAnsi="Times New Roman" w:cs="Times New Roman"/>
                <w:color w:val="auto"/>
                <w:spacing w:val="0"/>
                <w:w w:val="100"/>
                <w:kern w:val="21"/>
                <w:sz w:val="24"/>
                <w:highlight w:val="none"/>
                <w:lang w:val="en-US" w:eastAsia="zh-CN"/>
              </w:rPr>
              <w:t>（2）</w:t>
            </w:r>
            <w:r>
              <w:rPr>
                <w:rFonts w:hint="default" w:ascii="Times New Roman" w:hAnsi="Times New Roman" w:eastAsia="宋体" w:cs="Times New Roman"/>
                <w:color w:val="auto"/>
                <w:kern w:val="0"/>
                <w:sz w:val="24"/>
                <w:szCs w:val="24"/>
                <w:highlight w:val="none"/>
                <w:lang w:val="en-US" w:eastAsia="zh-CN" w:bidi="ar"/>
              </w:rPr>
              <w:t>通过工程分析，项目在营运期产生的污染类型主要有废气、噪声以及固废等，所产生的污染物经采取有效措施后能够达标排放，对厂区周围区域的环境影响较小。</w:t>
            </w:r>
          </w:p>
          <w:p w14:paraId="62ED1FD7">
            <w:pPr>
              <w:pStyle w:val="73"/>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color w:val="auto"/>
                <w:spacing w:val="0"/>
                <w:w w:val="100"/>
                <w:kern w:val="21"/>
                <w:sz w:val="24"/>
                <w:szCs w:val="20"/>
                <w:highlight w:val="none"/>
                <w:lang w:val="en-US" w:eastAsia="zh-CN" w:bidi="ar-SA"/>
              </w:rPr>
            </w:pPr>
            <w:r>
              <w:rPr>
                <w:rFonts w:hint="eastAsia" w:ascii="Times New Roman" w:hAnsi="Times New Roman" w:cs="Times New Roman"/>
                <w:color w:val="auto"/>
                <w:spacing w:val="0"/>
                <w:w w:val="100"/>
                <w:kern w:val="21"/>
                <w:sz w:val="24"/>
                <w:szCs w:val="20"/>
                <w:highlight w:val="none"/>
                <w:lang w:val="en-US" w:eastAsia="zh-CN" w:bidi="ar-SA"/>
              </w:rPr>
              <w:t>（3）平面布置：</w:t>
            </w:r>
            <w:r>
              <w:rPr>
                <w:rFonts w:hint="default" w:ascii="Times New Roman" w:hAnsi="Times New Roman" w:eastAsia="宋体" w:cs="Times New Roman"/>
                <w:color w:val="auto"/>
                <w:spacing w:val="0"/>
                <w:w w:val="100"/>
                <w:kern w:val="21"/>
                <w:sz w:val="24"/>
                <w:szCs w:val="20"/>
                <w:highlight w:val="none"/>
                <w:lang w:val="en-US" w:eastAsia="zh-CN" w:bidi="ar-SA"/>
              </w:rPr>
              <w:t>本项目厂区平面布设结合《煤炭洗选工程设计规范》（GB50359-2016）要求，</w:t>
            </w:r>
            <w:r>
              <w:rPr>
                <w:rFonts w:hint="eastAsia" w:ascii="Times New Roman" w:hAnsi="Times New Roman" w:eastAsia="宋体" w:cs="Times New Roman"/>
                <w:color w:val="auto"/>
                <w:spacing w:val="0"/>
                <w:w w:val="100"/>
                <w:kern w:val="21"/>
                <w:sz w:val="24"/>
                <w:szCs w:val="20"/>
                <w:highlight w:val="none"/>
                <w:lang w:val="en-US" w:eastAsia="zh-CN" w:bidi="ar-SA"/>
              </w:rPr>
              <w:t>洗煤厂</w:t>
            </w:r>
            <w:r>
              <w:rPr>
                <w:rFonts w:hint="default" w:ascii="Times New Roman" w:hAnsi="Times New Roman" w:eastAsia="宋体" w:cs="Times New Roman"/>
                <w:color w:val="auto"/>
                <w:spacing w:val="0"/>
                <w:w w:val="100"/>
                <w:kern w:val="21"/>
                <w:sz w:val="24"/>
                <w:szCs w:val="20"/>
                <w:highlight w:val="none"/>
                <w:lang w:val="en-US" w:eastAsia="zh-CN" w:bidi="ar-SA"/>
              </w:rPr>
              <w:t>房位于厂区中部，堆场等环绕主体工程布设，厂区分</w:t>
            </w:r>
            <w:r>
              <w:rPr>
                <w:rFonts w:hint="eastAsia" w:ascii="Times New Roman" w:hAnsi="Times New Roman" w:cs="Times New Roman"/>
                <w:color w:val="auto"/>
                <w:spacing w:val="0"/>
                <w:w w:val="100"/>
                <w:kern w:val="21"/>
                <w:sz w:val="24"/>
                <w:szCs w:val="20"/>
                <w:highlight w:val="none"/>
                <w:lang w:val="en-US" w:eastAsia="zh-CN" w:bidi="ar-SA"/>
              </w:rPr>
              <w:t>区</w:t>
            </w:r>
            <w:r>
              <w:rPr>
                <w:rFonts w:hint="default" w:ascii="Times New Roman" w:hAnsi="Times New Roman" w:eastAsia="宋体" w:cs="Times New Roman"/>
                <w:color w:val="auto"/>
                <w:spacing w:val="0"/>
                <w:w w:val="100"/>
                <w:kern w:val="21"/>
                <w:sz w:val="24"/>
                <w:szCs w:val="20"/>
                <w:highlight w:val="none"/>
                <w:lang w:val="en-US" w:eastAsia="zh-CN" w:bidi="ar-SA"/>
              </w:rPr>
              <w:t>合理，生活办公区与生产区分开，厂内道路、输煤廊道最大程度减少了物料流转途径。平面布置图见附图</w:t>
            </w:r>
            <w:r>
              <w:rPr>
                <w:rFonts w:hint="eastAsia" w:ascii="Times New Roman" w:hAnsi="Times New Roman" w:cs="Times New Roman"/>
                <w:color w:val="auto"/>
                <w:spacing w:val="0"/>
                <w:w w:val="100"/>
                <w:kern w:val="21"/>
                <w:sz w:val="24"/>
                <w:szCs w:val="20"/>
                <w:highlight w:val="none"/>
                <w:lang w:val="en-US" w:eastAsia="zh-CN" w:bidi="ar-SA"/>
              </w:rPr>
              <w:t>4</w:t>
            </w:r>
            <w:r>
              <w:rPr>
                <w:rFonts w:hint="default" w:ascii="Times New Roman" w:hAnsi="Times New Roman" w:eastAsia="宋体" w:cs="Times New Roman"/>
                <w:color w:val="auto"/>
                <w:spacing w:val="0"/>
                <w:w w:val="100"/>
                <w:kern w:val="21"/>
                <w:sz w:val="24"/>
                <w:szCs w:val="20"/>
                <w:highlight w:val="none"/>
                <w:lang w:val="en-US" w:eastAsia="zh-CN" w:bidi="ar-SA"/>
              </w:rPr>
              <w:t>。</w:t>
            </w:r>
          </w:p>
          <w:p w14:paraId="4EAD7B9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pacing w:val="0"/>
                <w:w w:val="100"/>
                <w:kern w:val="21"/>
                <w:sz w:val="24"/>
                <w:szCs w:val="20"/>
                <w:highlight w:val="none"/>
                <w:lang w:val="en-US" w:eastAsia="zh-CN" w:bidi="ar-SA"/>
              </w:rPr>
            </w:pPr>
            <w:r>
              <w:rPr>
                <w:rFonts w:hint="default" w:ascii="Times New Roman" w:hAnsi="Times New Roman" w:eastAsia="宋体" w:cs="Times New Roman"/>
                <w:color w:val="auto"/>
                <w:spacing w:val="0"/>
                <w:w w:val="100"/>
                <w:kern w:val="21"/>
                <w:sz w:val="24"/>
                <w:szCs w:val="20"/>
                <w:highlight w:val="none"/>
                <w:lang w:val="en-US" w:eastAsia="zh-CN" w:bidi="ar-SA"/>
              </w:rPr>
              <w:t>综上所述，项目选址符合规划，无明显的环境制约因素，公辅设施配套条件完备，交通便捷，项目选址合理。</w:t>
            </w:r>
          </w:p>
          <w:p w14:paraId="2692C253">
            <w:pPr>
              <w:spacing w:line="360" w:lineRule="auto"/>
              <w:rPr>
                <w:rFonts w:hint="default" w:ascii="Times New Roman" w:hAnsi="Times New Roman" w:cs="Times New Roman"/>
                <w:b/>
                <w:bCs/>
                <w:color w:val="auto"/>
                <w:kern w:val="0"/>
                <w:sz w:val="24"/>
                <w:szCs w:val="24"/>
                <w:highlight w:val="none"/>
                <w:lang w:val="en-US" w:eastAsia="zh-CN"/>
              </w:rPr>
            </w:pPr>
            <w:r>
              <w:rPr>
                <w:rFonts w:hint="eastAsia" w:ascii="Times New Roman" w:hAnsi="Times New Roman" w:cs="Times New Roman"/>
                <w:b/>
                <w:bCs/>
                <w:color w:val="auto"/>
                <w:kern w:val="0"/>
                <w:sz w:val="24"/>
                <w:szCs w:val="24"/>
                <w:highlight w:val="none"/>
                <w:lang w:val="en-US" w:eastAsia="zh-CN"/>
              </w:rPr>
              <w:t>3</w:t>
            </w:r>
            <w:r>
              <w:rPr>
                <w:rFonts w:hint="default" w:ascii="Times New Roman" w:hAnsi="Times New Roman" w:cs="Times New Roman"/>
                <w:b/>
                <w:bCs/>
                <w:color w:val="auto"/>
                <w:kern w:val="0"/>
                <w:sz w:val="24"/>
                <w:szCs w:val="24"/>
                <w:highlight w:val="none"/>
                <w:lang w:val="en-US" w:eastAsia="zh-CN"/>
              </w:rPr>
              <w:t>、“三线一单”符合性分析</w:t>
            </w:r>
          </w:p>
          <w:p w14:paraId="01BEAB2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位于鸡西市恒山区大恒山办合作委四组，根据《鸡西市人民政府关于实施“三线一单”生态环境分区管控的意见》（鸡政发[2021]7号）、《黑龙江省区域空间生态环境评价报告（鸡西市）》和《黑龙江省生态环境准入清单（鸡西市）》，结合本项目生产工艺、排污状况和区域环境及环境质量现状进行调查的基础上，本项目与“三线一单”的符合性如下：</w:t>
            </w:r>
          </w:p>
          <w:p w14:paraId="34FAB25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olor w:val="auto"/>
                <w:sz w:val="24"/>
                <w:szCs w:val="24"/>
                <w:highlight w:val="none"/>
              </w:rPr>
            </w:pPr>
            <w:r>
              <w:rPr>
                <w:rFonts w:ascii="Times New Roman" w:hAnsi="Times New Roman"/>
                <w:color w:val="auto"/>
                <w:sz w:val="24"/>
                <w:szCs w:val="24"/>
                <w:highlight w:val="none"/>
              </w:rPr>
              <w:t>（1）</w:t>
            </w:r>
            <w:r>
              <w:rPr>
                <w:rFonts w:hint="default" w:ascii="Times New Roman" w:hAnsi="Times New Roman"/>
                <w:color w:val="auto"/>
                <w:sz w:val="24"/>
                <w:szCs w:val="24"/>
                <w:highlight w:val="none"/>
              </w:rPr>
              <w:t>生态保护红线符合性分析</w:t>
            </w:r>
          </w:p>
          <w:p w14:paraId="7CF1655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位于鸡西市恒山区大恒山办合作委四组，所在区域不属于生态空间和有优先保护区，周边无不涉及自然保护区、地质公园、风景名胜区、森林公园、水产种质资源保护区、饮用水水源保护区、湿地公园和一级国家级工公益生态林等生态保护红线区等生态保护目标。</w:t>
            </w:r>
          </w:p>
          <w:p w14:paraId="794733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环境质量底线</w:t>
            </w:r>
          </w:p>
          <w:p w14:paraId="54647DB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kern w:val="0"/>
                <w:sz w:val="24"/>
                <w:szCs w:val="24"/>
                <w:highlight w:val="none"/>
                <w:lang w:val="en-US" w:eastAsia="zh-CN"/>
              </w:rPr>
            </w:pPr>
            <w:r>
              <w:rPr>
                <w:rFonts w:hint="default" w:ascii="Times New Roman" w:hAnsi="Times New Roman" w:cs="Times New Roman"/>
                <w:color w:val="000000"/>
                <w:sz w:val="24"/>
                <w:szCs w:val="24"/>
                <w:highlight w:val="none"/>
                <w:lang w:val="en-US"/>
              </w:rPr>
              <w:t>根据</w:t>
            </w:r>
            <w:r>
              <w:rPr>
                <w:rFonts w:hint="default" w:ascii="Times New Roman" w:hAnsi="Times New Roman" w:cs="Times New Roman"/>
                <w:snapToGrid w:val="0"/>
                <w:color w:val="000000"/>
                <w:kern w:val="0"/>
                <w:sz w:val="24"/>
                <w:szCs w:val="24"/>
                <w:highlight w:val="none"/>
                <w:lang w:val="en-US"/>
              </w:rPr>
              <w:t>《</w:t>
            </w:r>
            <w:r>
              <w:rPr>
                <w:rFonts w:hint="default" w:ascii="Times New Roman" w:hAnsi="Times New Roman" w:cs="Times New Roman"/>
                <w:snapToGrid w:val="0"/>
                <w:color w:val="000000"/>
                <w:kern w:val="0"/>
                <w:sz w:val="24"/>
                <w:szCs w:val="24"/>
                <w:highlight w:val="none"/>
                <w:lang w:val="en-US" w:eastAsia="zh-CN"/>
              </w:rPr>
              <w:t>2023年黑龙江省生态环境状况公报</w:t>
            </w:r>
            <w:r>
              <w:rPr>
                <w:rFonts w:hint="default" w:ascii="Times New Roman" w:hAnsi="Times New Roman" w:cs="Times New Roman"/>
                <w:snapToGrid w:val="0"/>
                <w:color w:val="000000"/>
                <w:kern w:val="0"/>
                <w:sz w:val="24"/>
                <w:szCs w:val="24"/>
                <w:highlight w:val="none"/>
                <w:lang w:val="en-US"/>
              </w:rPr>
              <w:t>》，</w:t>
            </w:r>
            <w:r>
              <w:rPr>
                <w:rFonts w:hint="default" w:ascii="Times New Roman" w:hAnsi="Times New Roman" w:cs="Times New Roman"/>
                <w:snapToGrid w:val="0"/>
                <w:color w:val="000000"/>
                <w:kern w:val="0"/>
                <w:sz w:val="24"/>
                <w:szCs w:val="24"/>
                <w:highlight w:val="none"/>
              </w:rPr>
              <w:t>鸡西市202</w:t>
            </w:r>
            <w:r>
              <w:rPr>
                <w:rFonts w:hint="default" w:ascii="Times New Roman" w:hAnsi="Times New Roman" w:cs="Times New Roman"/>
                <w:snapToGrid w:val="0"/>
                <w:color w:val="000000"/>
                <w:kern w:val="0"/>
                <w:sz w:val="24"/>
                <w:szCs w:val="24"/>
                <w:highlight w:val="none"/>
                <w:lang w:val="en-US" w:eastAsia="zh-CN"/>
              </w:rPr>
              <w:t>3</w:t>
            </w:r>
            <w:r>
              <w:rPr>
                <w:rFonts w:hint="default" w:ascii="Times New Roman" w:hAnsi="Times New Roman" w:cs="Times New Roman"/>
                <w:snapToGrid w:val="0"/>
                <w:color w:val="000000"/>
                <w:kern w:val="0"/>
                <w:sz w:val="24"/>
                <w:szCs w:val="24"/>
                <w:highlight w:val="none"/>
              </w:rPr>
              <w:t>年各</w:t>
            </w:r>
            <w:r>
              <w:rPr>
                <w:rFonts w:hint="default" w:ascii="Times New Roman" w:hAnsi="Times New Roman" w:eastAsia="宋体" w:cs="Times New Roman"/>
                <w:color w:val="000000"/>
                <w:kern w:val="0"/>
                <w:sz w:val="24"/>
                <w:szCs w:val="24"/>
                <w:highlight w:val="none"/>
                <w:lang w:val="en-US" w:eastAsia="zh-CN"/>
              </w:rPr>
              <w:t>污染物平均浓度均优于《环境空气质量标准》（GB3095-2012）及其修改单中二级标准限值，判定结果为达标区。根据鸡西市生态环境局网站公布的2023年1月～12月《鸡西市地表水国控考核断面水质信息公开》，穆棱河河口内断面全年达到Ⅲ类水质类别标准。</w:t>
            </w:r>
            <w:r>
              <w:rPr>
                <w:rFonts w:hint="eastAsia" w:ascii="Times New Roman" w:hAnsi="Times New Roman" w:eastAsia="宋体" w:cs="Times New Roman"/>
                <w:color w:val="000000"/>
                <w:sz w:val="24"/>
                <w:highlight w:val="none"/>
                <w:lang w:val="en-US" w:eastAsia="zh-CN"/>
              </w:rPr>
              <w:t>根据《2023年黑龙江省生态环境质量状况》，项目区域声环境质量良好</w:t>
            </w:r>
            <w:r>
              <w:rPr>
                <w:rFonts w:hint="default" w:ascii="Times New Roman" w:hAnsi="Times New Roman" w:eastAsia="宋体" w:cs="Times New Roman"/>
                <w:color w:val="000000"/>
                <w:kern w:val="0"/>
                <w:sz w:val="24"/>
                <w:szCs w:val="24"/>
                <w:highlight w:val="none"/>
                <w:lang w:val="en-US" w:eastAsia="zh-CN"/>
              </w:rPr>
              <w:t>，满足《声环境质量标准》（GB3096-2008）2类标准。</w:t>
            </w:r>
          </w:p>
          <w:p w14:paraId="11CF59B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rPr>
              <w:t>本项目建成后虽然会产生一定的污染物，在采取有效的污染防治措施后，各类污染物的排放对周边环境影响可接受，本项目废水不外排，主要大气污染物为颗粒物，采取相应治理措施后，不会改变区域环境功能区质量要求；本项目用地性质为工业用地，不属于建设用地污染风险管控区，因此本项目能够满足环境质量底线。</w:t>
            </w:r>
            <w:r>
              <w:rPr>
                <w:rFonts w:hint="default" w:ascii="Times New Roman" w:hAnsi="Times New Roman" w:cs="Times New Roman"/>
                <w:color w:val="auto"/>
                <w:sz w:val="24"/>
                <w:szCs w:val="24"/>
                <w:highlight w:val="none"/>
                <w:lang w:val="en-US" w:eastAsia="zh-CN"/>
              </w:rPr>
              <w:t xml:space="preserve"> </w:t>
            </w:r>
          </w:p>
          <w:p w14:paraId="1262E06F">
            <w:pPr>
              <w:pStyle w:val="93"/>
              <w:keepNext w:val="0"/>
              <w:keepLines w:val="0"/>
              <w:pageBreakBefore w:val="0"/>
              <w:kinsoku/>
              <w:wordWrap/>
              <w:overflowPunct/>
              <w:topLinePunct w:val="0"/>
              <w:autoSpaceDE/>
              <w:autoSpaceDN/>
              <w:bidi w:val="0"/>
              <w:adjustRightInd/>
              <w:snapToGrid/>
              <w:spacing w:line="360" w:lineRule="auto"/>
              <w:ind w:firstLine="480"/>
              <w:textAlignment w:val="auto"/>
              <w:rPr>
                <w:rFonts w:ascii="Times New Roman" w:hAnsi="Times New Roman"/>
                <w:color w:val="auto"/>
                <w:highlight w:val="none"/>
                <w:lang w:bidi="ar"/>
              </w:rPr>
            </w:pPr>
            <w:r>
              <w:rPr>
                <w:rFonts w:hint="eastAsia" w:ascii="Times New Roman" w:hAnsi="Times New Roman"/>
                <w:color w:val="auto"/>
                <w:highlight w:val="none"/>
                <w:lang w:bidi="ar"/>
              </w:rPr>
              <w:t>（</w:t>
            </w:r>
            <w:r>
              <w:rPr>
                <w:rFonts w:ascii="Times New Roman" w:hAnsi="Times New Roman"/>
                <w:color w:val="auto"/>
                <w:highlight w:val="none"/>
                <w:lang w:bidi="ar"/>
              </w:rPr>
              <w:t>3）资源利用上线</w:t>
            </w:r>
          </w:p>
          <w:p w14:paraId="65D9EAB8">
            <w:pPr>
              <w:pStyle w:val="93"/>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本项目利用现有工业用地进行建设，满足土地资源要求。项目不消耗煤炭资源，</w:t>
            </w:r>
            <w:r>
              <w:rPr>
                <w:rFonts w:hint="eastAsia" w:ascii="Times New Roman" w:hAnsi="Times New Roman" w:cs="Times New Roman"/>
                <w:color w:val="auto"/>
                <w:sz w:val="24"/>
                <w:lang w:eastAsia="zh-CN"/>
              </w:rPr>
              <w:t>并且</w:t>
            </w:r>
            <w:r>
              <w:rPr>
                <w:rFonts w:hint="default" w:ascii="Times New Roman" w:hAnsi="Times New Roman" w:eastAsia="宋体" w:cs="Times New Roman"/>
                <w:color w:val="auto"/>
                <w:sz w:val="24"/>
              </w:rPr>
              <w:t>根据黑区域环评办（2019）4号关于印发</w:t>
            </w:r>
            <w:r>
              <w:rPr>
                <w:rFonts w:hint="default" w:ascii="Times New Roman" w:hAnsi="Times New Roman" w:eastAsia="宋体" w:cs="Times New Roman"/>
                <w:color w:val="auto"/>
                <w:sz w:val="24"/>
                <w:highlight w:val="none"/>
              </w:rPr>
              <w:t>《黑龙江省区域空间生态环境评价技术方案》的</w:t>
            </w:r>
            <w:r>
              <w:rPr>
                <w:rFonts w:hint="default" w:ascii="Times New Roman" w:hAnsi="Times New Roman" w:eastAsia="宋体" w:cs="Times New Roman"/>
                <w:color w:val="auto"/>
                <w:sz w:val="24"/>
              </w:rPr>
              <w:t>通知的要求，</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评价现状水资源承载状况，对水资源承载负荷超过承载能力或接近承载能力的地区，划定为重点管控区，鸡西市的虎林市地下水严重超载，将虎林市划为地下水开采重点管控区，其他市县区为一般管控区。</w:t>
            </w:r>
            <w:r>
              <w:rPr>
                <w:rFonts w:hint="eastAsia" w:ascii="Times New Roman" w:hAnsi="Times New Roman" w:cs="Times New Roman"/>
                <w:color w:val="auto"/>
                <w:sz w:val="24"/>
                <w:lang w:eastAsia="zh-CN"/>
              </w:rPr>
              <w:t>”则本项目所使用的地下水地区为地下水开采一般管控区；且地下水使用</w:t>
            </w:r>
            <w:r>
              <w:rPr>
                <w:rFonts w:hint="default" w:ascii="Times New Roman" w:hAnsi="Times New Roman" w:eastAsia="宋体" w:cs="Times New Roman"/>
                <w:color w:val="auto"/>
                <w:sz w:val="24"/>
              </w:rPr>
              <w:t>满足</w:t>
            </w:r>
            <w:r>
              <w:rPr>
                <w:rFonts w:hint="eastAsia" w:ascii="Times New Roman" w:hAnsi="Times New Roman" w:cs="Times New Roman"/>
                <w:color w:val="auto"/>
                <w:sz w:val="24"/>
                <w:lang w:eastAsia="zh-CN"/>
              </w:rPr>
              <w:t>《地下水管理条例》中的管理条例，符合</w:t>
            </w:r>
            <w:r>
              <w:rPr>
                <w:rFonts w:hint="default" w:ascii="Times New Roman" w:hAnsi="Times New Roman" w:eastAsia="宋体" w:cs="Times New Roman"/>
                <w:color w:val="auto"/>
                <w:sz w:val="24"/>
              </w:rPr>
              <w:t>区域资源利用上限要求，故本项目资源在区域承载能力范围内，满足资源利用上限要求。</w:t>
            </w:r>
          </w:p>
          <w:p w14:paraId="7D2ABDB6">
            <w:pPr>
              <w:jc w:val="center"/>
              <w:rPr>
                <w:rFonts w:hint="eastAsia" w:ascii="Times New Roman" w:hAnsi="Times New Roman" w:eastAsia="宋体" w:cs="Times New Roman"/>
                <w:b/>
                <w:bCs/>
                <w:color w:val="auto"/>
                <w:sz w:val="21"/>
                <w:szCs w:val="21"/>
                <w:lang w:eastAsia="zh-CN"/>
              </w:rPr>
            </w:pPr>
            <w:r>
              <w:rPr>
                <w:rFonts w:hint="eastAsia" w:ascii="Times New Roman" w:hAnsi="Times New Roman" w:eastAsia="宋体" w:cs="Times New Roman"/>
                <w:b/>
                <w:bCs/>
                <w:color w:val="auto"/>
                <w:sz w:val="21"/>
                <w:szCs w:val="21"/>
                <w:lang w:eastAsia="zh-CN"/>
              </w:rPr>
              <w:t>表</w:t>
            </w:r>
            <w:r>
              <w:rPr>
                <w:rFonts w:hint="eastAsia" w:ascii="Times New Roman" w:hAnsi="Times New Roman" w:eastAsia="宋体" w:cs="Times New Roman"/>
                <w:b/>
                <w:bCs/>
                <w:color w:val="auto"/>
                <w:sz w:val="21"/>
                <w:szCs w:val="21"/>
                <w:lang w:val="en-US" w:eastAsia="zh-CN"/>
              </w:rPr>
              <w:t>1-</w:t>
            </w:r>
            <w:r>
              <w:rPr>
                <w:rFonts w:hint="eastAsia" w:cs="Times New Roman"/>
                <w:b/>
                <w:bCs/>
                <w:color w:val="auto"/>
                <w:sz w:val="21"/>
                <w:szCs w:val="21"/>
                <w:lang w:val="en-US" w:eastAsia="zh-CN"/>
              </w:rPr>
              <w:t>3</w:t>
            </w:r>
            <w:r>
              <w:rPr>
                <w:rFonts w:hint="eastAsia" w:ascii="Times New Roman" w:hAnsi="Times New Roman" w:eastAsia="宋体" w:cs="Times New Roman"/>
                <w:b/>
                <w:bCs/>
                <w:color w:val="auto"/>
                <w:sz w:val="21"/>
                <w:szCs w:val="21"/>
                <w:lang w:val="en-US" w:eastAsia="zh-CN"/>
              </w:rPr>
              <w:t xml:space="preserve"> </w:t>
            </w:r>
            <w:r>
              <w:rPr>
                <w:rFonts w:hint="eastAsia" w:ascii="Times New Roman" w:hAnsi="Times New Roman" w:eastAsia="宋体" w:cs="Times New Roman"/>
                <w:b/>
                <w:bCs/>
                <w:color w:val="auto"/>
                <w:sz w:val="21"/>
                <w:szCs w:val="21"/>
                <w:lang w:eastAsia="zh-CN"/>
              </w:rPr>
              <w:t>与《鸡西市人民政府关于实施“三线一单”生态环境分区管控的意见》（鸡政发[2021]7号）中地下水符合性分析</w:t>
            </w:r>
          </w:p>
          <w:tbl>
            <w:tblPr>
              <w:tblStyle w:val="32"/>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03"/>
              <w:gridCol w:w="1840"/>
              <w:gridCol w:w="798"/>
            </w:tblGrid>
            <w:tr w14:paraId="2C3E2A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3250" w:type="pct"/>
                  <w:tcBorders>
                    <w:tl2br w:val="nil"/>
                    <w:tr2bl w:val="nil"/>
                  </w:tcBorders>
                  <w:vAlign w:val="center"/>
                </w:tcPr>
                <w:p w14:paraId="3BED5070">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b/>
                      <w:bCs/>
                      <w:color w:val="auto"/>
                      <w:sz w:val="21"/>
                      <w:szCs w:val="21"/>
                      <w:vertAlign w:val="baseline"/>
                      <w:lang w:eastAsia="zh-CN"/>
                    </w:rPr>
                  </w:pPr>
                  <w:r>
                    <w:rPr>
                      <w:rFonts w:hint="eastAsia" w:ascii="Times New Roman" w:hAnsi="Times New Roman"/>
                      <w:b/>
                      <w:bCs/>
                      <w:color w:val="auto"/>
                      <w:sz w:val="21"/>
                      <w:szCs w:val="21"/>
                      <w:vertAlign w:val="baseline"/>
                      <w:lang w:eastAsia="zh-CN"/>
                    </w:rPr>
                    <w:t>管控要求</w:t>
                  </w:r>
                </w:p>
              </w:tc>
              <w:tc>
                <w:tcPr>
                  <w:tcW w:w="1220" w:type="pct"/>
                  <w:tcBorders>
                    <w:tl2br w:val="nil"/>
                    <w:tr2bl w:val="nil"/>
                  </w:tcBorders>
                  <w:vAlign w:val="center"/>
                </w:tcPr>
                <w:p w14:paraId="3E4209D5">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b/>
                      <w:bCs/>
                      <w:color w:val="auto"/>
                      <w:sz w:val="21"/>
                      <w:szCs w:val="21"/>
                      <w:vertAlign w:val="baseline"/>
                      <w:lang w:eastAsia="zh-CN"/>
                    </w:rPr>
                  </w:pPr>
                  <w:r>
                    <w:rPr>
                      <w:rFonts w:hint="eastAsia" w:ascii="Times New Roman" w:hAnsi="Times New Roman"/>
                      <w:b/>
                      <w:bCs/>
                      <w:color w:val="auto"/>
                      <w:sz w:val="21"/>
                      <w:szCs w:val="21"/>
                      <w:vertAlign w:val="baseline"/>
                      <w:lang w:eastAsia="zh-CN"/>
                    </w:rPr>
                    <w:t>项目情况</w:t>
                  </w:r>
                </w:p>
              </w:tc>
              <w:tc>
                <w:tcPr>
                  <w:tcW w:w="529" w:type="pct"/>
                  <w:tcBorders>
                    <w:tl2br w:val="nil"/>
                    <w:tr2bl w:val="nil"/>
                  </w:tcBorders>
                  <w:vAlign w:val="center"/>
                </w:tcPr>
                <w:p w14:paraId="090BD1E1">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b/>
                      <w:bCs/>
                      <w:color w:val="auto"/>
                      <w:sz w:val="21"/>
                      <w:szCs w:val="21"/>
                      <w:vertAlign w:val="baseline"/>
                      <w:lang w:eastAsia="zh-CN"/>
                    </w:rPr>
                  </w:pPr>
                  <w:r>
                    <w:rPr>
                      <w:rFonts w:hint="eastAsia" w:ascii="Times New Roman" w:hAnsi="Times New Roman"/>
                      <w:b/>
                      <w:bCs/>
                      <w:color w:val="auto"/>
                      <w:sz w:val="21"/>
                      <w:szCs w:val="21"/>
                      <w:vertAlign w:val="baseline"/>
                      <w:lang w:eastAsia="zh-CN"/>
                    </w:rPr>
                    <w:t>符合性</w:t>
                  </w:r>
                </w:p>
              </w:tc>
            </w:tr>
            <w:tr w14:paraId="26E5D2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50" w:type="pct"/>
                  <w:tcBorders>
                    <w:tl2br w:val="nil"/>
                    <w:tr2bl w:val="nil"/>
                  </w:tcBorders>
                  <w:vAlign w:val="center"/>
                </w:tcPr>
                <w:p w14:paraId="28CD7203">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严格实行地下水水量和水位双控，对于地下水超采区、临界超载及以上区域，制定地下水压采方案并严格落实。</w:t>
                  </w:r>
                </w:p>
              </w:tc>
              <w:tc>
                <w:tcPr>
                  <w:tcW w:w="1220" w:type="pct"/>
                  <w:tcBorders>
                    <w:tl2br w:val="nil"/>
                    <w:tr2bl w:val="nil"/>
                  </w:tcBorders>
                  <w:vAlign w:val="center"/>
                </w:tcPr>
                <w:p w14:paraId="360493DA">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本项目所在地区为地下水开采一般区，符合管控要求</w:t>
                  </w:r>
                </w:p>
              </w:tc>
              <w:tc>
                <w:tcPr>
                  <w:tcW w:w="529" w:type="pct"/>
                  <w:tcBorders>
                    <w:tl2br w:val="nil"/>
                    <w:tr2bl w:val="nil"/>
                  </w:tcBorders>
                  <w:vAlign w:val="center"/>
                </w:tcPr>
                <w:p w14:paraId="5545555D">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符合</w:t>
                  </w:r>
                </w:p>
              </w:tc>
            </w:tr>
            <w:tr w14:paraId="147651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50" w:type="pct"/>
                  <w:tcBorders>
                    <w:tl2br w:val="nil"/>
                    <w:tr2bl w:val="nil"/>
                  </w:tcBorders>
                  <w:vAlign w:val="center"/>
                </w:tcPr>
                <w:p w14:paraId="69D50301">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禁止地下水超采区工业建设项目和服务业新增取用</w:t>
                  </w:r>
                </w:p>
                <w:p w14:paraId="618451C8">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地下水。</w:t>
                  </w:r>
                </w:p>
              </w:tc>
              <w:tc>
                <w:tcPr>
                  <w:tcW w:w="1220" w:type="pct"/>
                  <w:tcBorders>
                    <w:tl2br w:val="nil"/>
                    <w:tr2bl w:val="nil"/>
                  </w:tcBorders>
                  <w:vAlign w:val="center"/>
                </w:tcPr>
                <w:p w14:paraId="1D241BC8">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本项目所在地区为地下水开采一般区</w:t>
                  </w:r>
                </w:p>
              </w:tc>
              <w:tc>
                <w:tcPr>
                  <w:tcW w:w="529" w:type="pct"/>
                  <w:tcBorders>
                    <w:tl2br w:val="nil"/>
                    <w:tr2bl w:val="nil"/>
                  </w:tcBorders>
                  <w:vAlign w:val="center"/>
                </w:tcPr>
                <w:p w14:paraId="7F07B853">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符合</w:t>
                  </w:r>
                </w:p>
              </w:tc>
            </w:tr>
            <w:tr w14:paraId="70385B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50" w:type="pct"/>
                  <w:tcBorders>
                    <w:tl2br w:val="nil"/>
                    <w:tr2bl w:val="nil"/>
                  </w:tcBorders>
                  <w:vAlign w:val="center"/>
                </w:tcPr>
                <w:p w14:paraId="01F415A5">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强化节水，加快制定节水行动实施方案，逐级建立节约用水工作联席会议制度，加强非常规水利用，对主要用水行业领城实施最严格的节水标准；退减不合理灌溉面积，优化调整产业结构。</w:t>
                  </w:r>
                </w:p>
              </w:tc>
              <w:tc>
                <w:tcPr>
                  <w:tcW w:w="1220" w:type="pct"/>
                  <w:tcBorders>
                    <w:tl2br w:val="nil"/>
                    <w:tr2bl w:val="nil"/>
                  </w:tcBorders>
                  <w:vAlign w:val="center"/>
                </w:tcPr>
                <w:p w14:paraId="34A6117A">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本项目生产用水实现闭路循环，生活污水排入相邻矿井的污水处理系统</w:t>
                  </w:r>
                </w:p>
              </w:tc>
              <w:tc>
                <w:tcPr>
                  <w:tcW w:w="529" w:type="pct"/>
                  <w:tcBorders>
                    <w:tl2br w:val="nil"/>
                    <w:tr2bl w:val="nil"/>
                  </w:tcBorders>
                  <w:vAlign w:val="center"/>
                </w:tcPr>
                <w:p w14:paraId="606C4360">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符合</w:t>
                  </w:r>
                </w:p>
              </w:tc>
            </w:tr>
            <w:tr w14:paraId="22A3F3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50" w:type="pct"/>
                  <w:tcBorders>
                    <w:tl2br w:val="nil"/>
                    <w:tr2bl w:val="nil"/>
                  </w:tcBorders>
                  <w:vAlign w:val="center"/>
                </w:tcPr>
                <w:p w14:paraId="37AEC887">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地下水超采区确需新建、改扩建地下水取水工程的，报省级水行政主管部门批准。</w:t>
                  </w:r>
                </w:p>
              </w:tc>
              <w:tc>
                <w:tcPr>
                  <w:tcW w:w="1220" w:type="pct"/>
                  <w:tcBorders>
                    <w:tl2br w:val="nil"/>
                    <w:tr2bl w:val="nil"/>
                  </w:tcBorders>
                  <w:vAlign w:val="center"/>
                </w:tcPr>
                <w:p w14:paraId="6B63D9B2">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本项目所在地区为地下水开采一般区</w:t>
                  </w:r>
                </w:p>
              </w:tc>
              <w:tc>
                <w:tcPr>
                  <w:tcW w:w="529" w:type="pct"/>
                  <w:tcBorders>
                    <w:tl2br w:val="nil"/>
                    <w:tr2bl w:val="nil"/>
                  </w:tcBorders>
                  <w:vAlign w:val="center"/>
                </w:tcPr>
                <w:p w14:paraId="4BCF7B91">
                  <w:pPr>
                    <w:pStyle w:val="29"/>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color w:val="auto"/>
                      <w:sz w:val="21"/>
                      <w:szCs w:val="21"/>
                      <w:vertAlign w:val="baseline"/>
                      <w:lang w:eastAsia="zh-CN"/>
                    </w:rPr>
                  </w:pPr>
                  <w:r>
                    <w:rPr>
                      <w:rFonts w:hint="eastAsia" w:ascii="Times New Roman" w:hAnsi="Times New Roman"/>
                      <w:color w:val="auto"/>
                      <w:sz w:val="21"/>
                      <w:szCs w:val="21"/>
                      <w:vertAlign w:val="baseline"/>
                      <w:lang w:eastAsia="zh-CN"/>
                    </w:rPr>
                    <w:t>符合</w:t>
                  </w:r>
                </w:p>
              </w:tc>
            </w:tr>
          </w:tbl>
          <w:p w14:paraId="03B8A5BA">
            <w:pPr>
              <w:jc w:val="center"/>
              <w:rPr>
                <w:rFonts w:hint="eastAsia" w:ascii="Times New Roman" w:hAnsi="Times New Roman" w:eastAsia="宋体" w:cs="Times New Roman"/>
                <w:b/>
                <w:bCs/>
                <w:color w:val="auto"/>
                <w:sz w:val="21"/>
                <w:szCs w:val="21"/>
                <w:lang w:eastAsia="zh-CN"/>
              </w:rPr>
            </w:pPr>
            <w:r>
              <w:rPr>
                <w:rFonts w:hint="eastAsia" w:ascii="Times New Roman" w:hAnsi="Times New Roman" w:eastAsia="宋体" w:cs="Times New Roman"/>
                <w:b/>
                <w:bCs/>
                <w:color w:val="auto"/>
                <w:sz w:val="21"/>
                <w:szCs w:val="21"/>
                <w:lang w:eastAsia="zh-CN"/>
              </w:rPr>
              <w:t>表</w:t>
            </w:r>
            <w:r>
              <w:rPr>
                <w:rFonts w:hint="eastAsia" w:ascii="Times New Roman" w:hAnsi="Times New Roman" w:eastAsia="宋体" w:cs="Times New Roman"/>
                <w:b/>
                <w:bCs/>
                <w:color w:val="auto"/>
                <w:sz w:val="21"/>
                <w:szCs w:val="21"/>
                <w:lang w:val="en-US" w:eastAsia="zh-CN"/>
              </w:rPr>
              <w:t>1-</w:t>
            </w:r>
            <w:r>
              <w:rPr>
                <w:rFonts w:hint="eastAsia" w:cs="Times New Roman"/>
                <w:b/>
                <w:bCs/>
                <w:color w:val="auto"/>
                <w:sz w:val="21"/>
                <w:szCs w:val="21"/>
                <w:lang w:val="en-US" w:eastAsia="zh-CN"/>
              </w:rPr>
              <w:t>4</w:t>
            </w:r>
            <w:r>
              <w:rPr>
                <w:rFonts w:hint="eastAsia" w:ascii="Times New Roman" w:hAnsi="Times New Roman" w:eastAsia="宋体" w:cs="Times New Roman"/>
                <w:b/>
                <w:bCs/>
                <w:color w:val="auto"/>
                <w:sz w:val="21"/>
                <w:szCs w:val="21"/>
                <w:lang w:val="en-US" w:eastAsia="zh-CN"/>
              </w:rPr>
              <w:t xml:space="preserve"> </w:t>
            </w:r>
            <w:r>
              <w:rPr>
                <w:rFonts w:hint="eastAsia" w:ascii="Times New Roman" w:hAnsi="Times New Roman" w:eastAsia="宋体" w:cs="Times New Roman"/>
                <w:b/>
                <w:bCs/>
                <w:color w:val="auto"/>
                <w:sz w:val="21"/>
                <w:szCs w:val="21"/>
                <w:lang w:eastAsia="zh-CN"/>
              </w:rPr>
              <w:t>本项目与《地下水管理条例》中管理条例符合性分析</w:t>
            </w:r>
          </w:p>
          <w:tbl>
            <w:tblPr>
              <w:tblStyle w:val="32"/>
              <w:tblW w:w="4998"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59"/>
              <w:gridCol w:w="1489"/>
              <w:gridCol w:w="1293"/>
            </w:tblGrid>
            <w:tr w14:paraId="17789D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55" w:type="pct"/>
                  <w:tcBorders>
                    <w:tl2br w:val="nil"/>
                    <w:tr2bl w:val="nil"/>
                  </w:tcBorders>
                </w:tcPr>
                <w:p w14:paraId="4632D667">
                  <w:pPr>
                    <w:keepNext w:val="0"/>
                    <w:keepLines w:val="0"/>
                    <w:pageBreakBefore w:val="0"/>
                    <w:widowControl w:val="0"/>
                    <w:tabs>
                      <w:tab w:val="left" w:pos="6480"/>
                    </w:tabs>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eastAsia="zh-CN"/>
                    </w:rPr>
                  </w:pPr>
                  <w:r>
                    <w:rPr>
                      <w:rFonts w:hint="eastAsia" w:ascii="Times New Roman" w:hAnsi="Times New Roman" w:cs="Times New Roman"/>
                      <w:b/>
                      <w:bCs/>
                      <w:color w:val="auto"/>
                      <w:sz w:val="21"/>
                      <w:szCs w:val="21"/>
                      <w:vertAlign w:val="baseline"/>
                      <w:lang w:eastAsia="zh-CN"/>
                    </w:rPr>
                    <w:t>文件要求</w:t>
                  </w:r>
                </w:p>
              </w:tc>
              <w:tc>
                <w:tcPr>
                  <w:tcW w:w="987" w:type="pct"/>
                  <w:tcBorders>
                    <w:tl2br w:val="nil"/>
                    <w:tr2bl w:val="nil"/>
                  </w:tcBorders>
                </w:tcPr>
                <w:p w14:paraId="08C45317">
                  <w:pPr>
                    <w:keepNext w:val="0"/>
                    <w:keepLines w:val="0"/>
                    <w:pageBreakBefore w:val="0"/>
                    <w:widowControl w:val="0"/>
                    <w:tabs>
                      <w:tab w:val="left" w:pos="6480"/>
                    </w:tabs>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eastAsia="zh-CN"/>
                    </w:rPr>
                  </w:pPr>
                  <w:r>
                    <w:rPr>
                      <w:rFonts w:hint="eastAsia" w:ascii="Times New Roman" w:hAnsi="Times New Roman" w:cs="Times New Roman"/>
                      <w:b/>
                      <w:bCs/>
                      <w:color w:val="auto"/>
                      <w:sz w:val="21"/>
                      <w:szCs w:val="21"/>
                      <w:vertAlign w:val="baseline"/>
                      <w:lang w:eastAsia="zh-CN"/>
                    </w:rPr>
                    <w:t>本项目情况</w:t>
                  </w:r>
                </w:p>
              </w:tc>
              <w:tc>
                <w:tcPr>
                  <w:tcW w:w="857" w:type="pct"/>
                  <w:tcBorders>
                    <w:tl2br w:val="nil"/>
                    <w:tr2bl w:val="nil"/>
                  </w:tcBorders>
                </w:tcPr>
                <w:p w14:paraId="1CB79868">
                  <w:pPr>
                    <w:keepNext w:val="0"/>
                    <w:keepLines w:val="0"/>
                    <w:pageBreakBefore w:val="0"/>
                    <w:widowControl w:val="0"/>
                    <w:tabs>
                      <w:tab w:val="left" w:pos="6480"/>
                    </w:tabs>
                    <w:kinsoku/>
                    <w:wordWrap/>
                    <w:overflowPunct/>
                    <w:topLinePunct w:val="0"/>
                    <w:autoSpaceDE w:val="0"/>
                    <w:autoSpaceDN w:val="0"/>
                    <w:bidi w:val="0"/>
                    <w:adjustRightInd/>
                    <w:snapToGrid/>
                    <w:spacing w:line="240" w:lineRule="auto"/>
                    <w:jc w:val="center"/>
                    <w:textAlignment w:val="auto"/>
                    <w:rPr>
                      <w:rFonts w:hint="eastAsia" w:ascii="Times New Roman" w:hAnsi="Times New Roman" w:cs="Times New Roman"/>
                      <w:b/>
                      <w:bCs/>
                      <w:color w:val="auto"/>
                      <w:sz w:val="21"/>
                      <w:szCs w:val="21"/>
                      <w:vertAlign w:val="baseline"/>
                      <w:lang w:eastAsia="zh-CN"/>
                    </w:rPr>
                  </w:pPr>
                  <w:r>
                    <w:rPr>
                      <w:rFonts w:hint="eastAsia" w:ascii="Times New Roman" w:hAnsi="Times New Roman" w:cs="Times New Roman"/>
                      <w:b/>
                      <w:bCs/>
                      <w:color w:val="auto"/>
                      <w:sz w:val="21"/>
                      <w:szCs w:val="21"/>
                      <w:vertAlign w:val="baseline"/>
                      <w:lang w:eastAsia="zh-CN"/>
                    </w:rPr>
                    <w:t>符合性分析</w:t>
                  </w:r>
                </w:p>
              </w:tc>
            </w:tr>
            <w:tr w14:paraId="050836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55" w:type="pct"/>
                  <w:tcBorders>
                    <w:tl2br w:val="nil"/>
                    <w:tr2bl w:val="nil"/>
                  </w:tcBorders>
                  <w:vAlign w:val="center"/>
                </w:tcPr>
                <w:p w14:paraId="11E63A86">
                  <w:pPr>
                    <w:keepNext w:val="0"/>
                    <w:keepLines w:val="0"/>
                    <w:pageBreakBefore w:val="0"/>
                    <w:widowControl w:val="0"/>
                    <w:tabs>
                      <w:tab w:val="left" w:pos="6480"/>
                    </w:tabs>
                    <w:kinsoku/>
                    <w:wordWrap/>
                    <w:overflowPunct/>
                    <w:topLinePunct w:val="0"/>
                    <w:autoSpaceDE w:val="0"/>
                    <w:autoSpaceDN w:val="0"/>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第二十一条</w:t>
                  </w:r>
                  <w:r>
                    <w:rPr>
                      <w:rFonts w:hint="eastAsia" w:ascii="Times New Roman" w:hAnsi="Times New Roman"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lang w:val="en-US" w:eastAsia="zh-CN"/>
                    </w:rPr>
                    <w:t>取用地下水的单位和个人应当遵守取水总量控制和定额管理要求，使用先进节约用水技术、工艺和设备，采取循环用水、综合利用及废水处理回用等措施，实施技术改造，降低用水消耗。对下列工艺、设备和产品，应当在规定的期限内停止生产、销售、进口或者使用：</w:t>
                  </w:r>
                </w:p>
                <w:p w14:paraId="2FA04D17">
                  <w:pPr>
                    <w:keepNext w:val="0"/>
                    <w:keepLines w:val="0"/>
                    <w:pageBreakBefore w:val="0"/>
                    <w:widowControl w:val="0"/>
                    <w:tabs>
                      <w:tab w:val="left" w:pos="6480"/>
                    </w:tabs>
                    <w:kinsoku/>
                    <w:wordWrap/>
                    <w:overflowPunct/>
                    <w:topLinePunct w:val="0"/>
                    <w:autoSpaceDE w:val="0"/>
                    <w:autoSpaceDN w:val="0"/>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val="en-US" w:eastAsia="zh-CN"/>
                    </w:rPr>
                    <w:t xml:space="preserve">（一）列入淘汰落后的、耗水量高的工艺、设备和产品名录的； </w:t>
                  </w:r>
                </w:p>
                <w:p w14:paraId="5263B69F">
                  <w:pPr>
                    <w:keepNext w:val="0"/>
                    <w:keepLines w:val="0"/>
                    <w:pageBreakBefore w:val="0"/>
                    <w:widowControl w:val="0"/>
                    <w:tabs>
                      <w:tab w:val="left" w:pos="6480"/>
                    </w:tabs>
                    <w:kinsoku/>
                    <w:wordWrap/>
                    <w:overflowPunct/>
                    <w:topLinePunct w:val="0"/>
                    <w:autoSpaceDE w:val="0"/>
                    <w:autoSpaceDN w:val="0"/>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val="en-US" w:eastAsia="zh-CN"/>
                    </w:rPr>
                    <w:t>（二）列入限期禁止采用的严重污染水环境的工艺名录和限期禁止生产、销售、进口、使用的严重污染水环境的设备名录的。</w:t>
                  </w:r>
                </w:p>
              </w:tc>
              <w:tc>
                <w:tcPr>
                  <w:tcW w:w="987" w:type="pct"/>
                  <w:tcBorders>
                    <w:tl2br w:val="nil"/>
                    <w:tr2bl w:val="nil"/>
                  </w:tcBorders>
                  <w:vAlign w:val="center"/>
                </w:tcPr>
                <w:p w14:paraId="5A0AAA1B">
                  <w:pPr>
                    <w:keepNext w:val="0"/>
                    <w:keepLines w:val="0"/>
                    <w:pageBreakBefore w:val="0"/>
                    <w:widowControl w:val="0"/>
                    <w:tabs>
                      <w:tab w:val="left" w:pos="6480"/>
                    </w:tabs>
                    <w:kinsoku/>
                    <w:wordWrap/>
                    <w:overflowPunct/>
                    <w:topLinePunct w:val="0"/>
                    <w:autoSpaceDE w:val="0"/>
                    <w:autoSpaceDN w:val="0"/>
                    <w:bidi w:val="0"/>
                    <w:adjustRightInd/>
                    <w:snapToGrid/>
                    <w:spacing w:line="240" w:lineRule="auto"/>
                    <w:jc w:val="both"/>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cs="Times New Roman"/>
                      <w:color w:val="auto"/>
                      <w:sz w:val="21"/>
                      <w:szCs w:val="21"/>
                      <w:vertAlign w:val="baseline"/>
                      <w:lang w:eastAsia="zh-CN"/>
                    </w:rPr>
                    <w:t>本项目为洗煤厂项目，水实现循环用水且不存在淘汰和严重污染的工艺、设备和产品名录。</w:t>
                  </w:r>
                </w:p>
              </w:tc>
              <w:tc>
                <w:tcPr>
                  <w:tcW w:w="857" w:type="pct"/>
                  <w:tcBorders>
                    <w:tl2br w:val="nil"/>
                    <w:tr2bl w:val="nil"/>
                  </w:tcBorders>
                  <w:vAlign w:val="center"/>
                </w:tcPr>
                <w:p w14:paraId="3BD974A8">
                  <w:pPr>
                    <w:keepNext w:val="0"/>
                    <w:keepLines w:val="0"/>
                    <w:pageBreakBefore w:val="0"/>
                    <w:widowControl w:val="0"/>
                    <w:tabs>
                      <w:tab w:val="left" w:pos="6480"/>
                    </w:tabs>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cs="Times New Roman"/>
                      <w:color w:val="auto"/>
                      <w:sz w:val="21"/>
                      <w:szCs w:val="21"/>
                      <w:vertAlign w:val="baseline"/>
                      <w:lang w:eastAsia="zh-CN"/>
                    </w:rPr>
                    <w:t>符合</w:t>
                  </w:r>
                </w:p>
              </w:tc>
            </w:tr>
          </w:tbl>
          <w:p w14:paraId="78F61734">
            <w:pPr>
              <w:pStyle w:val="93"/>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olor w:val="auto"/>
                <w:highlight w:val="none"/>
                <w:lang w:bidi="ar"/>
              </w:rPr>
            </w:pPr>
            <w:r>
              <w:rPr>
                <w:rFonts w:hint="eastAsia" w:ascii="Times New Roman" w:hAnsi="Times New Roman"/>
                <w:color w:val="auto"/>
                <w:highlight w:val="none"/>
                <w:lang w:bidi="ar"/>
              </w:rPr>
              <w:t>（</w:t>
            </w:r>
            <w:r>
              <w:rPr>
                <w:rFonts w:ascii="Times New Roman" w:hAnsi="Times New Roman"/>
                <w:color w:val="auto"/>
                <w:highlight w:val="none"/>
                <w:lang w:bidi="ar"/>
              </w:rPr>
              <w:t>4）生态环境准入清单</w:t>
            </w:r>
          </w:p>
          <w:p w14:paraId="57ABD1B7">
            <w:pPr>
              <w:pStyle w:val="9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rPr>
            </w:pPr>
            <w:r>
              <w:rPr>
                <w:rFonts w:hint="default" w:ascii="Times New Roman" w:hAnsi="Times New Roman" w:eastAsia="宋体" w:cs="Times New Roman"/>
                <w:color w:val="auto"/>
                <w:sz w:val="24"/>
              </w:rPr>
              <w:t>根</w:t>
            </w:r>
            <w:r>
              <w:rPr>
                <w:rFonts w:hint="default" w:ascii="Times New Roman" w:hAnsi="Times New Roman" w:eastAsia="宋体" w:cs="Times New Roman"/>
                <w:color w:val="auto"/>
                <w:sz w:val="24"/>
                <w:highlight w:val="none"/>
              </w:rPr>
              <w:t>据</w:t>
            </w:r>
            <w:r>
              <w:rPr>
                <w:rFonts w:hint="eastAsia" w:ascii="Times New Roman" w:hAnsi="Times New Roman" w:eastAsia="宋体" w:cs="Times New Roman"/>
                <w:color w:val="auto"/>
                <w:sz w:val="24"/>
                <w:highlight w:val="none"/>
              </w:rPr>
              <w:t>《鸡西市生态环境准入清单</w:t>
            </w:r>
            <w:r>
              <w:rPr>
                <w:rFonts w:hint="eastAsia" w:cs="Times New Roman"/>
                <w:color w:val="auto"/>
                <w:sz w:val="24"/>
                <w:highlight w:val="none"/>
                <w:lang w:eastAsia="zh-CN"/>
              </w:rPr>
              <w:t>（</w:t>
            </w:r>
            <w:r>
              <w:rPr>
                <w:rFonts w:hint="eastAsia" w:cs="Times New Roman"/>
                <w:color w:val="auto"/>
                <w:sz w:val="24"/>
                <w:highlight w:val="none"/>
                <w:lang w:val="en-US" w:eastAsia="zh-CN"/>
              </w:rPr>
              <w:t>2023年版</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》中</w:t>
            </w:r>
            <w:r>
              <w:rPr>
                <w:rFonts w:hint="eastAsia" w:ascii="Times New Roman" w:hAnsi="Times New Roman" w:eastAsia="宋体" w:cs="Times New Roman"/>
                <w:color w:val="auto"/>
                <w:sz w:val="24"/>
              </w:rPr>
              <w:t>环境管控单元划分情况，本项目属于</w:t>
            </w:r>
            <w:r>
              <w:rPr>
                <w:rFonts w:hint="eastAsia" w:ascii="Times New Roman" w:hAnsi="Times New Roman" w:eastAsia="宋体" w:cs="Times New Roman"/>
                <w:color w:val="auto"/>
                <w:sz w:val="24"/>
                <w:lang w:eastAsia="zh-CN"/>
              </w:rPr>
              <w:t>恒山区大气环境布局敏感重点管控区</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rPr>
              <w:t>本项目与生态环境准入清单符合性分析见表1</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w:t>
            </w:r>
          </w:p>
          <w:p w14:paraId="5385337D">
            <w:pPr>
              <w:keepNext w:val="0"/>
              <w:keepLines w:val="0"/>
              <w:pageBreakBefore w:val="0"/>
              <w:widowControl w:val="0"/>
              <w:kinsoku/>
              <w:wordWrap/>
              <w:overflowPunct/>
              <w:topLinePunct w:val="0"/>
              <w:autoSpaceDE/>
              <w:autoSpaceDN/>
              <w:bidi w:val="0"/>
              <w:adjustRightInd/>
              <w:snapToGrid/>
              <w:spacing w:line="480" w:lineRule="exact"/>
              <w:ind w:left="0" w:firstLine="482"/>
              <w:jc w:val="center"/>
              <w:textAlignment w:val="auto"/>
              <w:rPr>
                <w:rFonts w:hint="default" w:ascii="Times New Roman" w:hAnsi="Times New Roman" w:eastAsia="宋体" w:cs="Times New Roman"/>
                <w:b/>
                <w:bCs/>
                <w:color w:val="auto"/>
                <w:sz w:val="21"/>
                <w:szCs w:val="21"/>
                <w:lang w:val="en-US" w:eastAsia="zh-CN"/>
              </w:rPr>
            </w:pPr>
          </w:p>
          <w:p w14:paraId="73FA4BA4">
            <w:pPr>
              <w:keepNext w:val="0"/>
              <w:keepLines w:val="0"/>
              <w:pageBreakBefore w:val="0"/>
              <w:widowControl w:val="0"/>
              <w:kinsoku/>
              <w:wordWrap/>
              <w:overflowPunct/>
              <w:topLinePunct w:val="0"/>
              <w:autoSpaceDE/>
              <w:autoSpaceDN/>
              <w:bidi w:val="0"/>
              <w:adjustRightInd/>
              <w:snapToGrid/>
              <w:spacing w:line="480" w:lineRule="exact"/>
              <w:ind w:left="0" w:firstLine="482"/>
              <w:jc w:val="center"/>
              <w:textAlignment w:val="auto"/>
              <w:rPr>
                <w:rFonts w:hint="default" w:ascii="Times New Roman" w:hAnsi="Times New Roman" w:eastAsia="宋体" w:cs="Times New Roman"/>
                <w:b/>
                <w:bCs/>
                <w:color w:val="auto"/>
                <w:sz w:val="21"/>
                <w:szCs w:val="21"/>
                <w:lang w:val="en-US" w:eastAsia="zh-CN"/>
              </w:rPr>
            </w:pPr>
          </w:p>
          <w:p w14:paraId="5A663216">
            <w:pPr>
              <w:keepNext w:val="0"/>
              <w:keepLines w:val="0"/>
              <w:pageBreakBefore w:val="0"/>
              <w:widowControl w:val="0"/>
              <w:kinsoku/>
              <w:wordWrap/>
              <w:overflowPunct/>
              <w:topLinePunct w:val="0"/>
              <w:autoSpaceDE/>
              <w:autoSpaceDN/>
              <w:bidi w:val="0"/>
              <w:adjustRightInd/>
              <w:snapToGrid/>
              <w:spacing w:line="480" w:lineRule="exact"/>
              <w:ind w:left="0" w:firstLine="482"/>
              <w:jc w:val="center"/>
              <w:textAlignment w:val="auto"/>
              <w:rPr>
                <w:rFonts w:hint="default" w:ascii="Times New Roman" w:hAnsi="Times New Roman" w:eastAsia="宋体" w:cs="Times New Roman"/>
                <w:b/>
                <w:bCs/>
                <w:color w:val="auto"/>
                <w:sz w:val="21"/>
                <w:szCs w:val="21"/>
                <w:lang w:val="en-US" w:eastAsia="zh-CN"/>
              </w:rPr>
            </w:pPr>
          </w:p>
          <w:p w14:paraId="5A4F4BBC">
            <w:pPr>
              <w:keepNext w:val="0"/>
              <w:keepLines w:val="0"/>
              <w:pageBreakBefore w:val="0"/>
              <w:widowControl w:val="0"/>
              <w:kinsoku/>
              <w:wordWrap/>
              <w:overflowPunct/>
              <w:topLinePunct w:val="0"/>
              <w:autoSpaceDE/>
              <w:autoSpaceDN/>
              <w:bidi w:val="0"/>
              <w:adjustRightInd/>
              <w:snapToGrid/>
              <w:spacing w:line="480" w:lineRule="exact"/>
              <w:ind w:left="0" w:firstLine="482"/>
              <w:jc w:val="center"/>
              <w:textAlignment w:val="auto"/>
              <w:rPr>
                <w:rFonts w:hint="default" w:ascii="Times New Roman" w:hAnsi="Times New Roman" w:eastAsia="宋体" w:cs="Times New Roman"/>
                <w:b/>
                <w:bCs/>
                <w:color w:val="auto"/>
                <w:sz w:val="21"/>
                <w:szCs w:val="21"/>
                <w:lang w:val="en-US" w:eastAsia="zh-CN"/>
              </w:rPr>
            </w:pPr>
          </w:p>
          <w:p w14:paraId="719757E3">
            <w:pPr>
              <w:keepNext w:val="0"/>
              <w:keepLines w:val="0"/>
              <w:pageBreakBefore w:val="0"/>
              <w:widowControl w:val="0"/>
              <w:kinsoku/>
              <w:wordWrap/>
              <w:overflowPunct/>
              <w:topLinePunct w:val="0"/>
              <w:autoSpaceDE/>
              <w:autoSpaceDN/>
              <w:bidi w:val="0"/>
              <w:adjustRightInd/>
              <w:snapToGrid/>
              <w:spacing w:line="480" w:lineRule="exact"/>
              <w:ind w:left="0" w:firstLine="482"/>
              <w:jc w:val="center"/>
              <w:textAlignment w:val="auto"/>
              <w:rPr>
                <w:rFonts w:hint="default" w:ascii="Times New Roman" w:hAnsi="Times New Roman" w:eastAsia="宋体" w:cs="Times New Roman"/>
                <w:b/>
                <w:bCs/>
                <w:color w:val="auto"/>
                <w:sz w:val="21"/>
                <w:szCs w:val="21"/>
                <w:lang w:val="en-US" w:eastAsia="zh-CN"/>
              </w:rPr>
            </w:pPr>
          </w:p>
          <w:p w14:paraId="13AAC681">
            <w:pPr>
              <w:keepNext w:val="0"/>
              <w:keepLines w:val="0"/>
              <w:pageBreakBefore w:val="0"/>
              <w:widowControl w:val="0"/>
              <w:kinsoku/>
              <w:wordWrap/>
              <w:overflowPunct/>
              <w:topLinePunct w:val="0"/>
              <w:autoSpaceDE/>
              <w:autoSpaceDN/>
              <w:bidi w:val="0"/>
              <w:adjustRightInd/>
              <w:snapToGrid/>
              <w:spacing w:line="480" w:lineRule="exact"/>
              <w:ind w:left="0" w:firstLine="482"/>
              <w:jc w:val="center"/>
              <w:textAlignment w:val="auto"/>
              <w:rPr>
                <w:rFonts w:hint="default" w:ascii="Times New Roman" w:hAnsi="Times New Roman" w:eastAsia="宋体" w:cs="Times New Roman"/>
                <w:b/>
                <w:bCs/>
                <w:color w:val="auto"/>
                <w:sz w:val="21"/>
                <w:szCs w:val="21"/>
                <w:lang w:val="en-US" w:eastAsia="zh-CN"/>
              </w:rPr>
            </w:pPr>
          </w:p>
          <w:p w14:paraId="5BD71F5E">
            <w:pPr>
              <w:keepNext w:val="0"/>
              <w:keepLines w:val="0"/>
              <w:pageBreakBefore w:val="0"/>
              <w:widowControl w:val="0"/>
              <w:kinsoku/>
              <w:wordWrap/>
              <w:overflowPunct/>
              <w:topLinePunct w:val="0"/>
              <w:autoSpaceDE/>
              <w:autoSpaceDN/>
              <w:bidi w:val="0"/>
              <w:adjustRightInd/>
              <w:snapToGrid/>
              <w:spacing w:line="480" w:lineRule="exact"/>
              <w:ind w:left="0" w:firstLine="482"/>
              <w:jc w:val="center"/>
              <w:textAlignment w:val="auto"/>
              <w:rPr>
                <w:rFonts w:hint="default" w:ascii="Times New Roman" w:hAnsi="Times New Roman" w:eastAsia="宋体" w:cs="Times New Roman"/>
                <w:b/>
                <w:bCs/>
                <w:snapToGrid w:val="0"/>
                <w:color w:val="auto"/>
                <w:kern w:val="0"/>
                <w:sz w:val="24"/>
                <w:szCs w:val="24"/>
                <w:highlight w:val="none"/>
                <w:lang w:val="en-US" w:eastAsia="zh-CN" w:bidi="ar-SA"/>
              </w:rPr>
            </w:pPr>
            <w:r>
              <w:rPr>
                <w:rFonts w:hint="default" w:ascii="Times New Roman" w:hAnsi="Times New Roman" w:eastAsia="宋体" w:cs="Times New Roman"/>
                <w:b/>
                <w:bCs/>
                <w:color w:val="auto"/>
                <w:sz w:val="21"/>
                <w:szCs w:val="21"/>
                <w:lang w:val="en-US" w:eastAsia="zh-CN"/>
              </w:rPr>
              <w:t>表1-</w:t>
            </w:r>
            <w:r>
              <w:rPr>
                <w:rFonts w:hint="eastAsia" w:cs="Times New Roman"/>
                <w:b/>
                <w:bCs/>
                <w:color w:val="auto"/>
                <w:sz w:val="21"/>
                <w:szCs w:val="21"/>
                <w:lang w:val="en-US" w:eastAsia="zh-CN"/>
              </w:rPr>
              <w:t>5</w:t>
            </w:r>
            <w:r>
              <w:rPr>
                <w:rFonts w:hint="default" w:ascii="Times New Roman" w:hAnsi="Times New Roman" w:eastAsia="宋体" w:cs="Times New Roman"/>
                <w:b/>
                <w:bCs/>
                <w:color w:val="auto"/>
                <w:sz w:val="21"/>
                <w:szCs w:val="21"/>
                <w:lang w:val="en-US" w:eastAsia="zh-CN"/>
              </w:rPr>
              <w:t xml:space="preserve"> </w:t>
            </w:r>
            <w:r>
              <w:rPr>
                <w:rFonts w:hint="eastAsia" w:ascii="Times New Roman" w:hAnsi="Times New Roman" w:eastAsia="宋体" w:cs="Times New Roman"/>
                <w:b/>
                <w:bCs/>
                <w:color w:val="auto"/>
                <w:sz w:val="21"/>
                <w:szCs w:val="21"/>
                <w:lang w:val="en-US" w:eastAsia="zh-CN"/>
              </w:rPr>
              <w:t>生</w:t>
            </w:r>
            <w:r>
              <w:rPr>
                <w:rFonts w:hint="default" w:ascii="Times New Roman" w:hAnsi="Times New Roman" w:eastAsia="宋体" w:cs="Times New Roman"/>
                <w:b/>
                <w:bCs/>
                <w:color w:val="auto"/>
                <w:sz w:val="21"/>
                <w:szCs w:val="21"/>
                <w:lang w:val="en-US" w:eastAsia="zh-CN"/>
              </w:rPr>
              <w:t>态环境准入清单符合性分析</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0"/>
              <w:gridCol w:w="875"/>
              <w:gridCol w:w="684"/>
              <w:gridCol w:w="550"/>
              <w:gridCol w:w="2850"/>
              <w:gridCol w:w="1835"/>
            </w:tblGrid>
            <w:tr w14:paraId="3260A8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3" w:hRule="atLeast"/>
                <w:tblHeader/>
                <w:jc w:val="center"/>
              </w:trPr>
              <w:tc>
                <w:tcPr>
                  <w:tcW w:w="497" w:type="pct"/>
                  <w:noWrap w:val="0"/>
                  <w:vAlign w:val="center"/>
                </w:tcPr>
                <w:p w14:paraId="16D2BEE5">
                  <w:pPr>
                    <w:pStyle w:val="64"/>
                    <w:jc w:val="center"/>
                    <w:rPr>
                      <w:rFonts w:ascii="Times New Roman" w:hAnsi="Times New Roman"/>
                      <w:b/>
                      <w:bCs/>
                      <w:color w:val="auto"/>
                      <w:highlight w:val="none"/>
                    </w:rPr>
                  </w:pPr>
                  <w:r>
                    <w:rPr>
                      <w:rFonts w:ascii="Times New Roman" w:hAnsi="Times New Roman"/>
                      <w:b/>
                      <w:bCs/>
                      <w:color w:val="auto"/>
                      <w:highlight w:val="none"/>
                    </w:rPr>
                    <w:t>环境管控单元编码</w:t>
                  </w:r>
                </w:p>
              </w:tc>
              <w:tc>
                <w:tcPr>
                  <w:tcW w:w="579" w:type="pct"/>
                  <w:noWrap w:val="0"/>
                  <w:vAlign w:val="center"/>
                </w:tcPr>
                <w:p w14:paraId="45441273">
                  <w:pPr>
                    <w:pStyle w:val="64"/>
                    <w:jc w:val="center"/>
                    <w:rPr>
                      <w:rFonts w:ascii="Times New Roman" w:hAnsi="Times New Roman"/>
                      <w:b/>
                      <w:bCs/>
                      <w:color w:val="auto"/>
                      <w:highlight w:val="none"/>
                    </w:rPr>
                  </w:pPr>
                  <w:r>
                    <w:rPr>
                      <w:rFonts w:ascii="Times New Roman" w:hAnsi="Times New Roman"/>
                      <w:b/>
                      <w:bCs/>
                      <w:color w:val="auto"/>
                      <w:highlight w:val="none"/>
                    </w:rPr>
                    <w:t>环境管控单元名称</w:t>
                  </w:r>
                </w:p>
              </w:tc>
              <w:tc>
                <w:tcPr>
                  <w:tcW w:w="453" w:type="pct"/>
                  <w:noWrap w:val="0"/>
                  <w:vAlign w:val="center"/>
                </w:tcPr>
                <w:p w14:paraId="7778A97E">
                  <w:pPr>
                    <w:pStyle w:val="64"/>
                    <w:jc w:val="center"/>
                    <w:rPr>
                      <w:rFonts w:ascii="Times New Roman" w:hAnsi="Times New Roman"/>
                      <w:b/>
                      <w:bCs/>
                      <w:color w:val="auto"/>
                      <w:highlight w:val="none"/>
                    </w:rPr>
                  </w:pPr>
                  <w:r>
                    <w:rPr>
                      <w:rFonts w:ascii="Times New Roman" w:hAnsi="Times New Roman"/>
                      <w:b/>
                      <w:bCs/>
                      <w:color w:val="auto"/>
                      <w:highlight w:val="none"/>
                    </w:rPr>
                    <w:t>管控单元类别</w:t>
                  </w:r>
                </w:p>
              </w:tc>
              <w:tc>
                <w:tcPr>
                  <w:tcW w:w="2253" w:type="pct"/>
                  <w:gridSpan w:val="2"/>
                  <w:noWrap w:val="0"/>
                  <w:vAlign w:val="center"/>
                </w:tcPr>
                <w:p w14:paraId="698B085B">
                  <w:pPr>
                    <w:pStyle w:val="64"/>
                    <w:jc w:val="center"/>
                    <w:rPr>
                      <w:rFonts w:ascii="Times New Roman" w:hAnsi="Times New Roman"/>
                      <w:b/>
                      <w:bCs/>
                      <w:color w:val="auto"/>
                      <w:highlight w:val="none"/>
                    </w:rPr>
                  </w:pPr>
                  <w:r>
                    <w:rPr>
                      <w:rFonts w:ascii="Times New Roman" w:hAnsi="Times New Roman"/>
                      <w:b/>
                      <w:bCs/>
                      <w:color w:val="auto"/>
                      <w:highlight w:val="none"/>
                    </w:rPr>
                    <w:t>管控要求</w:t>
                  </w:r>
                </w:p>
              </w:tc>
              <w:tc>
                <w:tcPr>
                  <w:tcW w:w="1216" w:type="pct"/>
                  <w:noWrap w:val="0"/>
                  <w:vAlign w:val="center"/>
                </w:tcPr>
                <w:p w14:paraId="5CB0B179">
                  <w:pPr>
                    <w:pStyle w:val="64"/>
                    <w:jc w:val="center"/>
                    <w:rPr>
                      <w:rFonts w:ascii="Times New Roman" w:hAnsi="Times New Roman"/>
                      <w:b/>
                      <w:bCs/>
                      <w:color w:val="auto"/>
                      <w:highlight w:val="none"/>
                    </w:rPr>
                  </w:pPr>
                  <w:r>
                    <w:rPr>
                      <w:rFonts w:ascii="Times New Roman" w:hAnsi="Times New Roman"/>
                      <w:b/>
                      <w:bCs/>
                      <w:color w:val="auto"/>
                      <w:highlight w:val="none"/>
                    </w:rPr>
                    <w:t>符合性分析</w:t>
                  </w:r>
                </w:p>
              </w:tc>
            </w:tr>
            <w:tr w14:paraId="613ED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97" w:type="pct"/>
                  <w:vMerge w:val="restart"/>
                  <w:noWrap w:val="0"/>
                  <w:vAlign w:val="center"/>
                </w:tcPr>
                <w:p w14:paraId="4EC6E57C">
                  <w:pPr>
                    <w:pStyle w:val="64"/>
                    <w:jc w:val="center"/>
                    <w:rPr>
                      <w:rFonts w:hint="eastAsia" w:ascii="Times New Roman" w:hAnsi="Times New Roman"/>
                      <w:color w:val="auto"/>
                      <w:highlight w:val="none"/>
                    </w:rPr>
                  </w:pPr>
                  <w:r>
                    <w:rPr>
                      <w:rFonts w:hint="eastAsia" w:ascii="Times New Roman" w:hAnsi="Times New Roman"/>
                      <w:color w:val="auto"/>
                      <w:highlight w:val="none"/>
                    </w:rPr>
                    <w:t>ZH23030320004</w:t>
                  </w:r>
                </w:p>
              </w:tc>
              <w:tc>
                <w:tcPr>
                  <w:tcW w:w="579" w:type="pct"/>
                  <w:vMerge w:val="restart"/>
                  <w:noWrap w:val="0"/>
                  <w:vAlign w:val="center"/>
                </w:tcPr>
                <w:p w14:paraId="50B10474">
                  <w:pPr>
                    <w:pStyle w:val="64"/>
                    <w:jc w:val="center"/>
                    <w:rPr>
                      <w:rFonts w:hint="eastAsia" w:ascii="Times New Roman" w:hAnsi="Times New Roman"/>
                      <w:color w:val="auto"/>
                      <w:highlight w:val="none"/>
                    </w:rPr>
                  </w:pPr>
                </w:p>
                <w:p w14:paraId="4EE7DA28">
                  <w:pPr>
                    <w:pStyle w:val="64"/>
                    <w:jc w:val="center"/>
                    <w:rPr>
                      <w:rFonts w:hint="eastAsia" w:ascii="Times New Roman" w:hAnsi="Times New Roman"/>
                      <w:color w:val="auto"/>
                      <w:highlight w:val="none"/>
                    </w:rPr>
                  </w:pPr>
                </w:p>
                <w:p w14:paraId="07D2D651">
                  <w:pPr>
                    <w:pStyle w:val="64"/>
                    <w:jc w:val="center"/>
                    <w:rPr>
                      <w:rFonts w:hint="eastAsia" w:ascii="Times New Roman" w:hAnsi="Times New Roman"/>
                      <w:color w:val="auto"/>
                      <w:highlight w:val="none"/>
                    </w:rPr>
                  </w:pPr>
                  <w:r>
                    <w:rPr>
                      <w:rFonts w:hint="eastAsia" w:ascii="Times New Roman" w:hAnsi="Times New Roman"/>
                      <w:color w:val="auto"/>
                      <w:highlight w:val="none"/>
                    </w:rPr>
                    <w:t>恒山区大气环境布局敏感重点管控</w:t>
                  </w:r>
                </w:p>
                <w:p w14:paraId="497EEA17">
                  <w:pPr>
                    <w:pStyle w:val="64"/>
                    <w:jc w:val="center"/>
                    <w:rPr>
                      <w:rFonts w:hint="eastAsia" w:ascii="Times New Roman" w:hAnsi="Times New Roman"/>
                      <w:color w:val="auto"/>
                      <w:highlight w:val="none"/>
                    </w:rPr>
                  </w:pPr>
                  <w:r>
                    <w:rPr>
                      <w:rFonts w:hint="eastAsia" w:ascii="Times New Roman" w:hAnsi="Times New Roman"/>
                      <w:color w:val="auto"/>
                      <w:highlight w:val="none"/>
                    </w:rPr>
                    <w:t>区</w:t>
                  </w:r>
                </w:p>
              </w:tc>
              <w:tc>
                <w:tcPr>
                  <w:tcW w:w="453" w:type="pct"/>
                  <w:vMerge w:val="restart"/>
                  <w:noWrap w:val="0"/>
                  <w:vAlign w:val="center"/>
                </w:tcPr>
                <w:p w14:paraId="0E645F26">
                  <w:pPr>
                    <w:pStyle w:val="64"/>
                    <w:jc w:val="center"/>
                    <w:rPr>
                      <w:rFonts w:hint="eastAsia" w:ascii="Times New Roman" w:hAnsi="Times New Roman"/>
                      <w:color w:val="auto"/>
                      <w:highlight w:val="none"/>
                    </w:rPr>
                  </w:pPr>
                </w:p>
                <w:p w14:paraId="3B215D62">
                  <w:pPr>
                    <w:pStyle w:val="64"/>
                    <w:jc w:val="center"/>
                    <w:rPr>
                      <w:rFonts w:hint="eastAsia" w:ascii="Times New Roman" w:hAnsi="Times New Roman"/>
                      <w:color w:val="auto"/>
                      <w:highlight w:val="none"/>
                    </w:rPr>
                  </w:pPr>
                  <w:r>
                    <w:rPr>
                      <w:rFonts w:hint="eastAsia" w:ascii="Times New Roman" w:hAnsi="Times New Roman"/>
                      <w:color w:val="auto"/>
                      <w:highlight w:val="none"/>
                    </w:rPr>
                    <w:t>重点 管控 单元</w:t>
                  </w:r>
                </w:p>
              </w:tc>
              <w:tc>
                <w:tcPr>
                  <w:tcW w:w="364" w:type="pct"/>
                  <w:noWrap w:val="0"/>
                  <w:vAlign w:val="center"/>
                </w:tcPr>
                <w:p w14:paraId="6E9BE8CB">
                  <w:pPr>
                    <w:pStyle w:val="64"/>
                    <w:jc w:val="center"/>
                    <w:rPr>
                      <w:rFonts w:hint="eastAsia" w:ascii="Times New Roman" w:hAnsi="Times New Roman"/>
                      <w:color w:val="auto"/>
                      <w:highlight w:val="none"/>
                    </w:rPr>
                  </w:pPr>
                  <w:r>
                    <w:rPr>
                      <w:rFonts w:hint="eastAsia" w:ascii="Times New Roman" w:hAnsi="Times New Roman"/>
                      <w:color w:val="auto"/>
                      <w:highlight w:val="none"/>
                    </w:rPr>
                    <w:t>空间 布局 约束</w:t>
                  </w:r>
                </w:p>
              </w:tc>
              <w:tc>
                <w:tcPr>
                  <w:tcW w:w="1888" w:type="pct"/>
                  <w:noWrap w:val="0"/>
                  <w:vAlign w:val="center"/>
                </w:tcPr>
                <w:p w14:paraId="138047F9">
                  <w:pPr>
                    <w:pStyle w:val="64"/>
                    <w:numPr>
                      <w:numId w:val="0"/>
                    </w:numPr>
                    <w:jc w:val="both"/>
                    <w:rPr>
                      <w:rFonts w:hint="eastAsia" w:ascii="Times New Roman" w:hAnsi="Times New Roman"/>
                      <w:color w:val="auto"/>
                      <w:highlight w:val="none"/>
                    </w:rPr>
                  </w:pPr>
                  <w:r>
                    <w:rPr>
                      <w:rFonts w:hint="eastAsia"/>
                      <w:color w:val="auto"/>
                      <w:highlight w:val="none"/>
                      <w:lang w:val="en-US" w:eastAsia="zh-CN"/>
                    </w:rPr>
                    <w:t>1.</w:t>
                  </w:r>
                  <w:r>
                    <w:rPr>
                      <w:rFonts w:hint="eastAsia" w:ascii="Times New Roman" w:hAnsi="Times New Roman"/>
                      <w:color w:val="auto"/>
                      <w:highlight w:val="none"/>
                    </w:rPr>
                    <w:t>严控“两高”行业产能 。严格执行钢铁、水泥 、平板玻璃等行业产能置换实施办法。</w:t>
                  </w:r>
                </w:p>
                <w:p w14:paraId="3B2D4C25">
                  <w:pPr>
                    <w:pStyle w:val="64"/>
                    <w:numPr>
                      <w:numId w:val="0"/>
                    </w:numPr>
                    <w:jc w:val="both"/>
                    <w:rPr>
                      <w:rFonts w:hint="eastAsia" w:ascii="Times New Roman" w:hAnsi="Times New Roman"/>
                      <w:color w:val="auto"/>
                      <w:highlight w:val="none"/>
                    </w:rPr>
                  </w:pPr>
                  <w:r>
                    <w:rPr>
                      <w:rFonts w:hint="eastAsia" w:ascii="Times New Roman" w:hAnsi="Times New Roman"/>
                      <w:color w:val="auto"/>
                      <w:highlight w:val="none"/>
                    </w:rPr>
                    <w:t>2.利用水泥窑协同处置城市生活垃圾、危险废弃物、电石渣等固废伴生</w:t>
                  </w:r>
                  <w:r>
                    <w:rPr>
                      <w:rFonts w:hint="eastAsia"/>
                      <w:color w:val="auto"/>
                      <w:highlight w:val="none"/>
                      <w:lang w:val="en-US" w:eastAsia="zh-CN"/>
                    </w:rPr>
                    <w:t xml:space="preserve"> </w:t>
                  </w:r>
                  <w:r>
                    <w:rPr>
                      <w:rFonts w:hint="eastAsia" w:ascii="Times New Roman" w:hAnsi="Times New Roman"/>
                      <w:color w:val="auto"/>
                      <w:highlight w:val="none"/>
                    </w:rPr>
                    <w:t>水泥项目，必须依托现有新型干法水泥熟料生产线进行不扩产能改造。</w:t>
                  </w:r>
                </w:p>
              </w:tc>
              <w:tc>
                <w:tcPr>
                  <w:tcW w:w="1216" w:type="pct"/>
                  <w:noWrap w:val="0"/>
                  <w:vAlign w:val="center"/>
                </w:tcPr>
                <w:p w14:paraId="1D307194">
                  <w:pPr>
                    <w:pStyle w:val="64"/>
                    <w:jc w:val="center"/>
                    <w:rPr>
                      <w:rFonts w:ascii="Times New Roman" w:hAnsi="Times New Roman"/>
                      <w:color w:val="auto"/>
                      <w:highlight w:val="none"/>
                    </w:rPr>
                  </w:pPr>
                  <w:r>
                    <w:rPr>
                      <w:rFonts w:ascii="Times New Roman" w:hAnsi="Times New Roman"/>
                      <w:color w:val="auto"/>
                      <w:highlight w:val="none"/>
                    </w:rPr>
                    <w:t>本项目为</w:t>
                  </w:r>
                  <w:r>
                    <w:rPr>
                      <w:rFonts w:hint="eastAsia" w:ascii="Times New Roman" w:hAnsi="Times New Roman"/>
                      <w:color w:val="auto"/>
                      <w:highlight w:val="none"/>
                      <w:lang w:eastAsia="zh-CN"/>
                    </w:rPr>
                    <w:t>烟煤和无烟煤开采洗选</w:t>
                  </w:r>
                  <w:r>
                    <w:rPr>
                      <w:rFonts w:ascii="Times New Roman" w:hAnsi="Times New Roman"/>
                      <w:color w:val="auto"/>
                      <w:highlight w:val="none"/>
                    </w:rPr>
                    <w:t>，不属于</w:t>
                  </w:r>
                  <w:r>
                    <w:rPr>
                      <w:rFonts w:hint="eastAsia"/>
                      <w:color w:val="auto"/>
                      <w:spacing w:val="-3"/>
                      <w:kern w:val="0"/>
                      <w:highlight w:val="none"/>
                      <w:lang w:val="zh-CN" w:bidi="zh-CN"/>
                    </w:rPr>
                    <w:t>两高行业</w:t>
                  </w:r>
                  <w:r>
                    <w:rPr>
                      <w:rFonts w:hint="eastAsia" w:ascii="Times New Roman" w:hAnsi="Times New Roman"/>
                      <w:color w:val="auto"/>
                      <w:spacing w:val="-3"/>
                      <w:kern w:val="0"/>
                      <w:highlight w:val="none"/>
                      <w:lang w:val="zh-CN" w:bidi="zh-CN"/>
                    </w:rPr>
                    <w:t>，符合空间约束管控要求</w:t>
                  </w:r>
                  <w:r>
                    <w:rPr>
                      <w:rFonts w:ascii="Times New Roman" w:hAnsi="Times New Roman"/>
                      <w:color w:val="auto"/>
                      <w:highlight w:val="none"/>
                    </w:rPr>
                    <w:t>。</w:t>
                  </w:r>
                </w:p>
              </w:tc>
            </w:tr>
            <w:tr w14:paraId="5AC09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97" w:type="pct"/>
                  <w:vMerge w:val="continue"/>
                  <w:noWrap w:val="0"/>
                  <w:vAlign w:val="center"/>
                </w:tcPr>
                <w:p w14:paraId="6252CD2A">
                  <w:pPr>
                    <w:pStyle w:val="64"/>
                    <w:jc w:val="center"/>
                    <w:rPr>
                      <w:rFonts w:hint="eastAsia" w:ascii="Times New Roman" w:hAnsi="Times New Roman"/>
                      <w:color w:val="auto"/>
                      <w:highlight w:val="none"/>
                    </w:rPr>
                  </w:pPr>
                </w:p>
              </w:tc>
              <w:tc>
                <w:tcPr>
                  <w:tcW w:w="579" w:type="pct"/>
                  <w:vMerge w:val="continue"/>
                  <w:noWrap w:val="0"/>
                  <w:vAlign w:val="center"/>
                </w:tcPr>
                <w:p w14:paraId="099B88EC">
                  <w:pPr>
                    <w:pStyle w:val="64"/>
                    <w:jc w:val="center"/>
                    <w:rPr>
                      <w:rFonts w:hint="eastAsia" w:ascii="Times New Roman" w:hAnsi="Times New Roman"/>
                      <w:color w:val="auto"/>
                      <w:highlight w:val="none"/>
                    </w:rPr>
                  </w:pPr>
                </w:p>
              </w:tc>
              <w:tc>
                <w:tcPr>
                  <w:tcW w:w="453" w:type="pct"/>
                  <w:vMerge w:val="continue"/>
                  <w:noWrap w:val="0"/>
                  <w:vAlign w:val="center"/>
                </w:tcPr>
                <w:p w14:paraId="60793EB1">
                  <w:pPr>
                    <w:pStyle w:val="64"/>
                    <w:jc w:val="center"/>
                    <w:rPr>
                      <w:rFonts w:hint="eastAsia" w:ascii="Times New Roman" w:hAnsi="Times New Roman"/>
                      <w:color w:val="auto"/>
                      <w:highlight w:val="none"/>
                    </w:rPr>
                  </w:pPr>
                </w:p>
              </w:tc>
              <w:tc>
                <w:tcPr>
                  <w:tcW w:w="364" w:type="pct"/>
                  <w:noWrap w:val="0"/>
                  <w:vAlign w:val="center"/>
                </w:tcPr>
                <w:p w14:paraId="6D6C8EC2">
                  <w:pPr>
                    <w:pStyle w:val="64"/>
                    <w:jc w:val="center"/>
                    <w:rPr>
                      <w:rFonts w:hint="eastAsia" w:ascii="Times New Roman" w:hAnsi="Times New Roman"/>
                      <w:color w:val="auto"/>
                      <w:highlight w:val="none"/>
                    </w:rPr>
                  </w:pPr>
                  <w:r>
                    <w:rPr>
                      <w:rFonts w:hint="eastAsia" w:ascii="Times New Roman" w:hAnsi="Times New Roman"/>
                      <w:color w:val="auto"/>
                      <w:highlight w:val="none"/>
                    </w:rPr>
                    <w:t>污染物排放管控</w:t>
                  </w:r>
                </w:p>
              </w:tc>
              <w:tc>
                <w:tcPr>
                  <w:tcW w:w="1888" w:type="pct"/>
                  <w:noWrap w:val="0"/>
                  <w:vAlign w:val="center"/>
                </w:tcPr>
                <w:p w14:paraId="4A4D5272">
                  <w:pPr>
                    <w:pStyle w:val="64"/>
                    <w:numPr>
                      <w:numId w:val="0"/>
                    </w:numPr>
                    <w:jc w:val="left"/>
                    <w:rPr>
                      <w:rFonts w:hint="eastAsia" w:ascii="Times New Roman" w:hAnsi="Times New Roman"/>
                      <w:color w:val="auto"/>
                      <w:highlight w:val="none"/>
                    </w:rPr>
                  </w:pPr>
                  <w:r>
                    <w:rPr>
                      <w:rFonts w:hint="eastAsia"/>
                      <w:color w:val="auto"/>
                      <w:highlight w:val="none"/>
                      <w:lang w:val="en-US" w:eastAsia="zh-CN"/>
                    </w:rPr>
                    <w:t>1.</w:t>
                  </w:r>
                  <w:r>
                    <w:rPr>
                      <w:rFonts w:hint="eastAsia" w:ascii="Times New Roman" w:hAnsi="Times New Roman"/>
                      <w:color w:val="auto"/>
                      <w:highlight w:val="none"/>
                    </w:rPr>
                    <w:t>对以煤、石焦油、渣油、重油等为燃料的锅炉和工业炉窑，加快使用清洁低碳能源以及工厂余热、电力热力等进行替代。</w:t>
                  </w:r>
                </w:p>
                <w:p w14:paraId="1FD32E8E">
                  <w:pPr>
                    <w:pStyle w:val="64"/>
                    <w:numPr>
                      <w:numId w:val="0"/>
                    </w:numPr>
                    <w:jc w:val="left"/>
                    <w:rPr>
                      <w:rFonts w:hint="eastAsia" w:ascii="Times New Roman" w:hAnsi="Times New Roman"/>
                      <w:color w:val="auto"/>
                      <w:highlight w:val="none"/>
                    </w:rPr>
                  </w:pPr>
                  <w:r>
                    <w:rPr>
                      <w:rFonts w:hint="eastAsia" w:ascii="Times New Roman" w:hAnsi="Times New Roman"/>
                      <w:color w:val="auto"/>
                      <w:highlight w:val="none"/>
                    </w:rPr>
                    <w:t>2.到2025年，在用65蒸吨/小时以上的燃煤锅炉（含电力）实现超低排放，钢铁企业基本实现超低排放。</w:t>
                  </w:r>
                </w:p>
              </w:tc>
              <w:tc>
                <w:tcPr>
                  <w:tcW w:w="1216" w:type="pct"/>
                  <w:noWrap w:val="0"/>
                  <w:vAlign w:val="center"/>
                </w:tcPr>
                <w:p w14:paraId="1DA41ED5">
                  <w:pPr>
                    <w:pStyle w:val="64"/>
                    <w:jc w:val="center"/>
                    <w:rPr>
                      <w:rFonts w:ascii="Times New Roman" w:hAnsi="Times New Roman"/>
                      <w:color w:val="auto"/>
                      <w:highlight w:val="none"/>
                    </w:rPr>
                  </w:pPr>
                  <w:r>
                    <w:rPr>
                      <w:rFonts w:ascii="Times New Roman" w:hAnsi="Times New Roman"/>
                      <w:color w:val="auto"/>
                      <w:highlight w:val="none"/>
                    </w:rPr>
                    <w:t>本项目为</w:t>
                  </w:r>
                  <w:r>
                    <w:rPr>
                      <w:rFonts w:hint="eastAsia" w:ascii="Times New Roman" w:hAnsi="Times New Roman"/>
                      <w:color w:val="auto"/>
                      <w:highlight w:val="none"/>
                      <w:lang w:eastAsia="zh-CN"/>
                    </w:rPr>
                    <w:t>烟煤和无烟煤开采洗选</w:t>
                  </w:r>
                  <w:r>
                    <w:rPr>
                      <w:rFonts w:ascii="Times New Roman" w:hAnsi="Times New Roman"/>
                      <w:color w:val="auto"/>
                      <w:highlight w:val="none"/>
                    </w:rPr>
                    <w:t>，</w:t>
                  </w:r>
                  <w:r>
                    <w:rPr>
                      <w:rFonts w:hint="eastAsia" w:ascii="Times New Roman" w:hAnsi="Times New Roman"/>
                      <w:color w:val="auto"/>
                      <w:highlight w:val="none"/>
                      <w:lang w:eastAsia="zh-CN"/>
                    </w:rPr>
                    <w:t>项目不使用锅炉，施工废水，仅为生活污水排入防渗旱厕，定期清掏，外运至污水处理厂，项目运营期生产废水循环使用不外排，</w:t>
                  </w:r>
                  <w:r>
                    <w:rPr>
                      <w:rFonts w:hint="eastAsia" w:ascii="Times New Roman" w:hAnsi="Times New Roman"/>
                      <w:color w:val="auto"/>
                      <w:highlight w:val="none"/>
                    </w:rPr>
                    <w:t>符合污染物排放管控要求</w:t>
                  </w:r>
                  <w:r>
                    <w:rPr>
                      <w:rFonts w:ascii="Times New Roman" w:hAnsi="Times New Roman"/>
                      <w:color w:val="auto"/>
                      <w:highlight w:val="none"/>
                    </w:rPr>
                    <w:t>。</w:t>
                  </w:r>
                </w:p>
              </w:tc>
            </w:tr>
            <w:tr w14:paraId="544BB3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97" w:type="pct"/>
                  <w:vMerge w:val="continue"/>
                  <w:noWrap w:val="0"/>
                  <w:vAlign w:val="center"/>
                </w:tcPr>
                <w:p w14:paraId="462C68D2">
                  <w:pPr>
                    <w:pStyle w:val="64"/>
                    <w:jc w:val="center"/>
                    <w:rPr>
                      <w:rFonts w:hint="eastAsia" w:ascii="Times New Roman" w:hAnsi="Times New Roman"/>
                      <w:color w:val="auto"/>
                      <w:highlight w:val="none"/>
                    </w:rPr>
                  </w:pPr>
                </w:p>
              </w:tc>
              <w:tc>
                <w:tcPr>
                  <w:tcW w:w="579" w:type="pct"/>
                  <w:vMerge w:val="continue"/>
                  <w:noWrap w:val="0"/>
                  <w:vAlign w:val="center"/>
                </w:tcPr>
                <w:p w14:paraId="16827050">
                  <w:pPr>
                    <w:pStyle w:val="64"/>
                    <w:jc w:val="center"/>
                    <w:rPr>
                      <w:rFonts w:hint="eastAsia" w:ascii="Times New Roman" w:hAnsi="Times New Roman"/>
                      <w:color w:val="auto"/>
                      <w:highlight w:val="none"/>
                    </w:rPr>
                  </w:pPr>
                </w:p>
              </w:tc>
              <w:tc>
                <w:tcPr>
                  <w:tcW w:w="453" w:type="pct"/>
                  <w:vMerge w:val="continue"/>
                  <w:noWrap w:val="0"/>
                  <w:vAlign w:val="center"/>
                </w:tcPr>
                <w:p w14:paraId="40E98B8C">
                  <w:pPr>
                    <w:pStyle w:val="64"/>
                    <w:jc w:val="center"/>
                    <w:rPr>
                      <w:rFonts w:hint="eastAsia" w:ascii="Times New Roman" w:hAnsi="Times New Roman"/>
                      <w:color w:val="auto"/>
                      <w:highlight w:val="none"/>
                    </w:rPr>
                  </w:pPr>
                </w:p>
              </w:tc>
              <w:tc>
                <w:tcPr>
                  <w:tcW w:w="364" w:type="pct"/>
                  <w:noWrap w:val="0"/>
                  <w:vAlign w:val="center"/>
                </w:tcPr>
                <w:p w14:paraId="7844158C">
                  <w:pPr>
                    <w:pStyle w:val="64"/>
                    <w:jc w:val="center"/>
                    <w:rPr>
                      <w:rFonts w:hint="eastAsia" w:ascii="Times New Roman" w:hAnsi="Times New Roman"/>
                      <w:color w:val="auto"/>
                      <w:highlight w:val="none"/>
                    </w:rPr>
                  </w:pPr>
                  <w:r>
                    <w:rPr>
                      <w:rFonts w:hint="eastAsia" w:ascii="Times New Roman" w:hAnsi="Times New Roman"/>
                      <w:color w:val="auto"/>
                      <w:highlight w:val="none"/>
                    </w:rPr>
                    <w:t>环境风险防控</w:t>
                  </w:r>
                </w:p>
              </w:tc>
              <w:tc>
                <w:tcPr>
                  <w:tcW w:w="1888" w:type="pct"/>
                  <w:noWrap w:val="0"/>
                  <w:vAlign w:val="center"/>
                </w:tcPr>
                <w:p w14:paraId="44D82F27">
                  <w:pPr>
                    <w:pStyle w:val="64"/>
                    <w:jc w:val="center"/>
                    <w:rPr>
                      <w:rFonts w:hint="eastAsia" w:ascii="Times New Roman" w:hAnsi="Times New Roman"/>
                      <w:color w:val="auto"/>
                      <w:highlight w:val="none"/>
                    </w:rPr>
                  </w:pPr>
                  <w:r>
                    <w:rPr>
                      <w:rFonts w:hint="eastAsia" w:ascii="Times New Roman" w:hAnsi="Times New Roman"/>
                      <w:color w:val="auto"/>
                      <w:highlight w:val="none"/>
                    </w:rPr>
                    <w:t>禁止在居民区、学校、医疗和养老机构等周边新建有色金属冶炼、焦化等行业企业。</w:t>
                  </w:r>
                </w:p>
              </w:tc>
              <w:tc>
                <w:tcPr>
                  <w:tcW w:w="1216" w:type="pct"/>
                  <w:noWrap w:val="0"/>
                  <w:vAlign w:val="center"/>
                </w:tcPr>
                <w:p w14:paraId="3F2FFF6E">
                  <w:pPr>
                    <w:pStyle w:val="64"/>
                    <w:jc w:val="center"/>
                    <w:rPr>
                      <w:rFonts w:ascii="Times New Roman" w:hAnsi="Times New Roman"/>
                      <w:color w:val="auto"/>
                      <w:highlight w:val="none"/>
                    </w:rPr>
                  </w:pPr>
                  <w:r>
                    <w:rPr>
                      <w:rFonts w:ascii="Times New Roman" w:hAnsi="Times New Roman"/>
                      <w:color w:val="auto"/>
                      <w:highlight w:val="none"/>
                    </w:rPr>
                    <w:t>本项目为</w:t>
                  </w:r>
                  <w:r>
                    <w:rPr>
                      <w:rFonts w:hint="eastAsia" w:ascii="Times New Roman" w:hAnsi="Times New Roman"/>
                      <w:color w:val="auto"/>
                      <w:highlight w:val="none"/>
                      <w:lang w:eastAsia="zh-CN"/>
                    </w:rPr>
                    <w:t>烟煤和无烟煤开采洗选</w:t>
                  </w:r>
                  <w:r>
                    <w:rPr>
                      <w:rFonts w:ascii="Times New Roman" w:hAnsi="Times New Roman"/>
                      <w:color w:val="auto"/>
                      <w:highlight w:val="none"/>
                    </w:rPr>
                    <w:t>，</w:t>
                  </w:r>
                  <w:r>
                    <w:rPr>
                      <w:rFonts w:hint="eastAsia" w:ascii="Times New Roman" w:hAnsi="Times New Roman"/>
                      <w:color w:val="auto"/>
                      <w:highlight w:val="none"/>
                    </w:rPr>
                    <w:t>不属于清单中环境风险防控的内容</w:t>
                  </w:r>
                  <w:r>
                    <w:rPr>
                      <w:rFonts w:ascii="Times New Roman" w:hAnsi="Times New Roman"/>
                      <w:color w:val="auto"/>
                      <w:highlight w:val="none"/>
                    </w:rPr>
                    <w:t>。</w:t>
                  </w:r>
                </w:p>
              </w:tc>
            </w:tr>
          </w:tbl>
          <w:p w14:paraId="3379CA52">
            <w:pPr>
              <w:autoSpaceDE w:val="0"/>
              <w:autoSpaceDN w:val="0"/>
              <w:adjustRightInd w:val="0"/>
              <w:snapToGrid w:val="0"/>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综上分析，本项目符合《鸡西市人民政府关于实施“三线一单”生态环境分区管控的意见》（鸡政发〔2021〕7号）、《鸡西市及管控单元生态环境准入清单（2023年版）》的要求。</w:t>
            </w:r>
          </w:p>
          <w:p w14:paraId="2FCCE728">
            <w:pPr>
              <w:keepNext w:val="0"/>
              <w:keepLines w:val="0"/>
              <w:pageBreakBefore w:val="0"/>
              <w:widowControl w:val="0"/>
              <w:kinsoku/>
              <w:wordWrap/>
              <w:overflowPunct/>
              <w:topLinePunct w:val="0"/>
              <w:bidi w:val="0"/>
              <w:spacing w:line="360" w:lineRule="auto"/>
              <w:textAlignment w:val="auto"/>
              <w:rPr>
                <w:rFonts w:hint="default" w:ascii="Times New Roman" w:hAnsi="Times New Roman" w:cs="Times New Roman"/>
                <w:b/>
                <w:bCs/>
                <w:color w:val="auto"/>
                <w:kern w:val="0"/>
                <w:sz w:val="24"/>
                <w:szCs w:val="24"/>
                <w:highlight w:val="none"/>
                <w:lang w:val="en-US" w:eastAsia="zh-CN"/>
              </w:rPr>
            </w:pPr>
            <w:r>
              <w:rPr>
                <w:rFonts w:hint="eastAsia" w:ascii="Times New Roman" w:hAnsi="Times New Roman" w:cs="Times New Roman"/>
                <w:b/>
                <w:bCs/>
                <w:color w:val="auto"/>
                <w:kern w:val="0"/>
                <w:sz w:val="24"/>
                <w:szCs w:val="24"/>
                <w:highlight w:val="none"/>
                <w:lang w:val="en-US" w:eastAsia="zh-CN"/>
              </w:rPr>
              <w:t>4</w:t>
            </w:r>
            <w:r>
              <w:rPr>
                <w:rFonts w:hint="default" w:ascii="Times New Roman" w:hAnsi="Times New Roman" w:cs="Times New Roman"/>
                <w:b/>
                <w:bCs/>
                <w:color w:val="auto"/>
                <w:kern w:val="0"/>
                <w:sz w:val="24"/>
                <w:szCs w:val="24"/>
                <w:highlight w:val="none"/>
                <w:lang w:val="en-US" w:eastAsia="zh-CN"/>
              </w:rPr>
              <w:t>、</w:t>
            </w:r>
            <w:r>
              <w:rPr>
                <w:rFonts w:hint="eastAsia" w:ascii="Times New Roman" w:hAnsi="Times New Roman" w:cs="Times New Roman"/>
                <w:b/>
                <w:bCs/>
                <w:color w:val="auto"/>
                <w:kern w:val="0"/>
                <w:sz w:val="24"/>
                <w:szCs w:val="24"/>
                <w:highlight w:val="none"/>
                <w:lang w:val="en-US" w:eastAsia="zh-CN"/>
              </w:rPr>
              <w:t>与其他相关政策</w:t>
            </w:r>
            <w:r>
              <w:rPr>
                <w:rFonts w:hint="default" w:ascii="Times New Roman" w:hAnsi="Times New Roman" w:cs="Times New Roman"/>
                <w:b/>
                <w:bCs/>
                <w:color w:val="auto"/>
                <w:kern w:val="0"/>
                <w:sz w:val="24"/>
                <w:szCs w:val="24"/>
                <w:highlight w:val="none"/>
                <w:lang w:val="en-US" w:eastAsia="zh-CN"/>
              </w:rPr>
              <w:t>符合性分析</w:t>
            </w:r>
          </w:p>
          <w:p w14:paraId="5DACAC6D">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（1）与</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大气污染防治行动计划</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符合性分析</w:t>
            </w:r>
          </w:p>
          <w:p w14:paraId="6A5E9FC9">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根据《大气污染防治行动计划》（国发〔2013〕37号）、《黑龙江省大气污染防治条例》（2019年），本项目与大气污染防治计划符合性分析见下表。</w:t>
            </w:r>
          </w:p>
          <w:p w14:paraId="2FC80903">
            <w:pPr>
              <w:pStyle w:val="63"/>
              <w:spacing w:line="240" w:lineRule="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eastAsia" w:ascii="Times New Roman" w:hAnsi="Times New Roman" w:cs="Times New Roman"/>
                <w:b/>
                <w:bCs/>
                <w:color w:val="auto"/>
                <w:sz w:val="21"/>
                <w:szCs w:val="21"/>
                <w:lang w:val="en-US" w:eastAsia="zh-CN"/>
              </w:rPr>
              <w:t>6</w:t>
            </w:r>
            <w:r>
              <w:rPr>
                <w:rFonts w:hint="default" w:ascii="Times New Roman" w:hAnsi="Times New Roman" w:eastAsia="宋体" w:cs="Times New Roman"/>
                <w:b/>
                <w:bCs/>
                <w:color w:val="auto"/>
                <w:sz w:val="21"/>
                <w:szCs w:val="21"/>
              </w:rPr>
              <w:t xml:space="preserve"> 本项目与大气污染防治计划符合性分析</w:t>
            </w:r>
          </w:p>
          <w:tbl>
            <w:tblPr>
              <w:tblStyle w:val="31"/>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9"/>
              <w:gridCol w:w="3888"/>
              <w:gridCol w:w="1852"/>
              <w:gridCol w:w="875"/>
            </w:tblGrid>
            <w:tr w14:paraId="513DF4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5" w:type="dxa"/>
                  <w:noWrap w:val="0"/>
                  <w:vAlign w:val="center"/>
                </w:tcPr>
                <w:p w14:paraId="0D303BC5">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文号</w:t>
                  </w:r>
                </w:p>
              </w:tc>
              <w:tc>
                <w:tcPr>
                  <w:tcW w:w="4076" w:type="dxa"/>
                  <w:noWrap w:val="0"/>
                  <w:vAlign w:val="center"/>
                </w:tcPr>
                <w:p w14:paraId="082C8C86">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文件要求</w:t>
                  </w:r>
                </w:p>
              </w:tc>
              <w:tc>
                <w:tcPr>
                  <w:tcW w:w="1936" w:type="dxa"/>
                  <w:noWrap w:val="0"/>
                  <w:vAlign w:val="center"/>
                </w:tcPr>
                <w:p w14:paraId="54A154B4">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本项目情况</w:t>
                  </w:r>
                </w:p>
              </w:tc>
              <w:tc>
                <w:tcPr>
                  <w:tcW w:w="908" w:type="dxa"/>
                  <w:noWrap w:val="0"/>
                  <w:vAlign w:val="center"/>
                </w:tcPr>
                <w:p w14:paraId="51CB23B0">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符合性</w:t>
                  </w:r>
                </w:p>
              </w:tc>
            </w:tr>
            <w:tr w14:paraId="462E2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5" w:type="dxa"/>
                  <w:vMerge w:val="restart"/>
                  <w:noWrap w:val="0"/>
                  <w:vAlign w:val="center"/>
                </w:tcPr>
                <w:p w14:paraId="561B74F8">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《大气污染防治行动计》（国发〔2013〕37号）</w:t>
                  </w:r>
                </w:p>
              </w:tc>
              <w:tc>
                <w:tcPr>
                  <w:tcW w:w="4076" w:type="dxa"/>
                  <w:noWrap w:val="0"/>
                  <w:vAlign w:val="center"/>
                </w:tcPr>
                <w:p w14:paraId="4F8AC0DF">
                  <w:pPr>
                    <w:autoSpaceDE w:val="0"/>
                    <w:autoSpaceDN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加大综合治理力度，减少多污染物排放（二）深化面源污染治理。综合整治城市扬尘。加强施工扬尘监管，积极推进绿色施工，建设工程施工现场应全封闭设置围挡墙，严禁敞开式作业，施工现场道路应进行地面硬化。渣土运输车辆应采取密闭措施，并逐步安装卫星定位系统。推行道路机械化清扫等低尘作业方式。大型煤堆、料堆要实现封闭储存或建设防风抑尘设施。</w:t>
                  </w:r>
                </w:p>
              </w:tc>
              <w:tc>
                <w:tcPr>
                  <w:tcW w:w="1936" w:type="dxa"/>
                  <w:noWrap w:val="0"/>
                  <w:vAlign w:val="center"/>
                </w:tcPr>
                <w:p w14:paraId="622CB14D">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本项目施工现场设置防风抑尘网，严禁敞开式作业，施工现场道路进行地面硬化。</w:t>
                  </w:r>
                  <w:r>
                    <w:rPr>
                      <w:rFonts w:hint="eastAsia" w:ascii="Times New Roman" w:hAnsi="Times New Roman" w:cs="Times New Roman"/>
                      <w:color w:val="auto"/>
                      <w:sz w:val="21"/>
                      <w:szCs w:val="21"/>
                      <w:lang w:eastAsia="zh-CN"/>
                    </w:rPr>
                    <w:t>原煤</w:t>
                  </w:r>
                  <w:r>
                    <w:rPr>
                      <w:rFonts w:hint="default" w:ascii="Times New Roman" w:hAnsi="Times New Roman" w:eastAsia="宋体" w:cs="Times New Roman"/>
                      <w:color w:val="auto"/>
                      <w:sz w:val="21"/>
                      <w:szCs w:val="21"/>
                    </w:rPr>
                    <w:t>运输车辆采取降尘措施。采用道路机械化清扫的低尘作业方式。煤堆、料堆采用防风网遮盖抑尘。</w:t>
                  </w:r>
                </w:p>
              </w:tc>
              <w:tc>
                <w:tcPr>
                  <w:tcW w:w="908" w:type="dxa"/>
                  <w:noWrap w:val="0"/>
                  <w:vAlign w:val="center"/>
                </w:tcPr>
                <w:p w14:paraId="15E6F100">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2117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5" w:type="dxa"/>
                  <w:vMerge w:val="continue"/>
                  <w:noWrap w:val="0"/>
                  <w:vAlign w:val="center"/>
                </w:tcPr>
                <w:p w14:paraId="41FD0172">
                  <w:pPr>
                    <w:autoSpaceDE w:val="0"/>
                    <w:autoSpaceDN w:val="0"/>
                    <w:jc w:val="center"/>
                    <w:rPr>
                      <w:rFonts w:hint="default" w:ascii="Times New Roman" w:hAnsi="Times New Roman" w:eastAsia="宋体" w:cs="Times New Roman"/>
                      <w:color w:val="auto"/>
                      <w:sz w:val="21"/>
                      <w:szCs w:val="21"/>
                    </w:rPr>
                  </w:pPr>
                </w:p>
              </w:tc>
              <w:tc>
                <w:tcPr>
                  <w:tcW w:w="4076" w:type="dxa"/>
                  <w:noWrap w:val="0"/>
                  <w:vAlign w:val="center"/>
                </w:tcPr>
                <w:p w14:paraId="4264F10F">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严格节能环保准入，优化产业空间布局（十六）调整产业布局。按照主体功能区规划要求，合理确定重点产业发展布局、结构和规模，重大项目原则上布局在优化开发区和重点开发区。所有新、改、扩建项目，必须全部进行环境影响评价；未通过环境影响评价审批的，一律不准开工建设；违规建设的，要依法进行处罚。加强产业政策在产业转移过程中的引导与约束作用，严格限制在生态脆弱或环境敏感地区建设</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两高</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行业项目。加强对各类产业发展规划的环境影响评价。</w:t>
                  </w:r>
                </w:p>
              </w:tc>
              <w:tc>
                <w:tcPr>
                  <w:tcW w:w="1936" w:type="dxa"/>
                  <w:noWrap w:val="0"/>
                  <w:vAlign w:val="center"/>
                </w:tcPr>
                <w:p w14:paraId="3339D700">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本项目为煤炭洗选项目，不属于清单中列举高能耗、高污染行业</w:t>
                  </w:r>
                </w:p>
              </w:tc>
              <w:tc>
                <w:tcPr>
                  <w:tcW w:w="908" w:type="dxa"/>
                  <w:noWrap w:val="0"/>
                  <w:vAlign w:val="center"/>
                </w:tcPr>
                <w:p w14:paraId="1FCDF6A0">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F0C24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5" w:type="dxa"/>
                  <w:vMerge w:val="restart"/>
                  <w:noWrap w:val="0"/>
                  <w:vAlign w:val="center"/>
                </w:tcPr>
                <w:p w14:paraId="2BCFA23D">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《黑龙江省大气污染防治条例》（2019年）</w:t>
                  </w:r>
                </w:p>
              </w:tc>
              <w:tc>
                <w:tcPr>
                  <w:tcW w:w="4076" w:type="dxa"/>
                  <w:noWrap w:val="0"/>
                  <w:vAlign w:val="center"/>
                </w:tcPr>
                <w:p w14:paraId="5A2581C8">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第十条 企业事业单位和其他生产经营者建设对大气环境有影响的项目，应当依法进行环境影响评价、公开环境影响评价文件；向大气排放污染物的，应当符合大气污染物排放标准，遵守重点大气污染物排放总控制要求。</w:t>
                  </w:r>
                </w:p>
              </w:tc>
              <w:tc>
                <w:tcPr>
                  <w:tcW w:w="1936" w:type="dxa"/>
                  <w:noWrap w:val="0"/>
                  <w:vAlign w:val="center"/>
                </w:tcPr>
                <w:p w14:paraId="7C3FF1F3">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本项目依法进行环境影响评价、公开环境影响评价文件，项目产生的颗粒物经处理后排放，能够满足大气污染物排放标准。</w:t>
                  </w:r>
                </w:p>
              </w:tc>
              <w:tc>
                <w:tcPr>
                  <w:tcW w:w="908" w:type="dxa"/>
                  <w:noWrap w:val="0"/>
                  <w:vAlign w:val="center"/>
                </w:tcPr>
                <w:p w14:paraId="3E405708">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4B67C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5" w:type="dxa"/>
                  <w:vMerge w:val="continue"/>
                  <w:noWrap w:val="0"/>
                  <w:vAlign w:val="center"/>
                </w:tcPr>
                <w:p w14:paraId="72A0CDAE">
                  <w:pPr>
                    <w:autoSpaceDE w:val="0"/>
                    <w:autoSpaceDN w:val="0"/>
                    <w:jc w:val="center"/>
                    <w:rPr>
                      <w:rFonts w:hint="default" w:ascii="Times New Roman" w:hAnsi="Times New Roman" w:eastAsia="宋体" w:cs="Times New Roman"/>
                      <w:color w:val="auto"/>
                      <w:sz w:val="21"/>
                      <w:szCs w:val="21"/>
                    </w:rPr>
                  </w:pPr>
                </w:p>
              </w:tc>
              <w:tc>
                <w:tcPr>
                  <w:tcW w:w="4076" w:type="dxa"/>
                  <w:noWrap w:val="0"/>
                  <w:vAlign w:val="center"/>
                </w:tcPr>
                <w:p w14:paraId="4BE8D4F1">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第十一条 向大气排放污染物的企业事业单位和其他生产经营者，应当配套建设大气污染防治设施。配套建设的大气污染防治设施，应当与主体工程同时设计、同时施工、同时投产使用，不得擅自拆除或者闲置。</w:t>
                  </w:r>
                </w:p>
              </w:tc>
              <w:tc>
                <w:tcPr>
                  <w:tcW w:w="1936" w:type="dxa"/>
                  <w:noWrap w:val="0"/>
                  <w:vAlign w:val="center"/>
                </w:tcPr>
                <w:p w14:paraId="56961138">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本项目原料卸车采取洒水降尘措施，且在防风抑尘网内进行，粉尘排放量约减少90%；对运输车辆车身加盖苫布，防止物料的洒落，运输道路进行洒水降尘措施；堆场采取防风抑尘网遮盖+内部洒水措施。</w:t>
                  </w:r>
                </w:p>
              </w:tc>
              <w:tc>
                <w:tcPr>
                  <w:tcW w:w="908" w:type="dxa"/>
                  <w:noWrap w:val="0"/>
                  <w:vAlign w:val="center"/>
                </w:tcPr>
                <w:p w14:paraId="0613DBCE">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5475780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综上所述，本项目建设符合《大气污染防治行动计划》（国发〔2013〕37号）、《黑龙江省大气污染防治条例》中的相关政策要求。</w:t>
            </w:r>
          </w:p>
          <w:p w14:paraId="0F6F8F05">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（2）与</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水污染防治计划</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符合性分析</w:t>
            </w:r>
          </w:p>
          <w:p w14:paraId="041671CE">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根据《水污染防治行动计划》（国发〔2015〕17号）、《黑龙江省水污染防治工作方案》（黑政发〔2016〕3号），本项目与</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水污染防治工作方案</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的符合性分析见下表。</w:t>
            </w:r>
          </w:p>
          <w:p w14:paraId="641B3EA8">
            <w:pPr>
              <w:pStyle w:val="63"/>
              <w:spacing w:line="240" w:lineRule="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eastAsia" w:ascii="Times New Roman" w:hAnsi="Times New Roman" w:cs="Times New Roman"/>
                <w:b/>
                <w:bCs/>
                <w:color w:val="auto"/>
                <w:sz w:val="21"/>
                <w:szCs w:val="21"/>
                <w:lang w:val="en-US" w:eastAsia="zh-CN"/>
              </w:rPr>
              <w:t>7</w:t>
            </w:r>
            <w:r>
              <w:rPr>
                <w:rFonts w:hint="default" w:ascii="Times New Roman" w:hAnsi="Times New Roman" w:eastAsia="宋体" w:cs="Times New Roman"/>
                <w:b/>
                <w:bCs/>
                <w:color w:val="auto"/>
                <w:sz w:val="21"/>
                <w:szCs w:val="21"/>
              </w:rPr>
              <w:t xml:space="preserve"> 本项目与水污染防治计划符合性分析</w:t>
            </w:r>
          </w:p>
          <w:tbl>
            <w:tblPr>
              <w:tblStyle w:val="31"/>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4072"/>
              <w:gridCol w:w="1326"/>
              <w:gridCol w:w="891"/>
            </w:tblGrid>
            <w:tr w14:paraId="799C0B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1" w:type="dxa"/>
                  <w:noWrap w:val="0"/>
                  <w:vAlign w:val="center"/>
                </w:tcPr>
                <w:p w14:paraId="455221A2">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文号</w:t>
                  </w:r>
                </w:p>
              </w:tc>
              <w:tc>
                <w:tcPr>
                  <w:tcW w:w="4468" w:type="dxa"/>
                  <w:noWrap w:val="0"/>
                  <w:vAlign w:val="center"/>
                </w:tcPr>
                <w:p w14:paraId="2A861D0A">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文件要求</w:t>
                  </w:r>
                </w:p>
              </w:tc>
              <w:tc>
                <w:tcPr>
                  <w:tcW w:w="1439" w:type="dxa"/>
                  <w:noWrap w:val="0"/>
                  <w:vAlign w:val="center"/>
                </w:tcPr>
                <w:p w14:paraId="509289FC">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本项目情况</w:t>
                  </w:r>
                </w:p>
              </w:tc>
              <w:tc>
                <w:tcPr>
                  <w:tcW w:w="960" w:type="dxa"/>
                  <w:noWrap w:val="0"/>
                  <w:vAlign w:val="center"/>
                </w:tcPr>
                <w:p w14:paraId="237B2D71">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w:t>
                  </w:r>
                </w:p>
              </w:tc>
            </w:tr>
            <w:tr w14:paraId="2A3FFA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1" w:type="dxa"/>
                  <w:noWrap w:val="0"/>
                  <w:vAlign w:val="center"/>
                </w:tcPr>
                <w:p w14:paraId="4CB8D02A">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《水污染防治行动计划》（国发〔2015〕17号）</w:t>
                  </w:r>
                </w:p>
              </w:tc>
              <w:tc>
                <w:tcPr>
                  <w:tcW w:w="4468" w:type="dxa"/>
                  <w:noWrap w:val="0"/>
                  <w:vAlign w:val="center"/>
                </w:tcPr>
                <w:p w14:paraId="42BED510">
                  <w:pPr>
                    <w:autoSpaceDE w:val="0"/>
                    <w:autoSpaceDN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推进循环发展。加强工业水循环利用。推进矿井水综合利用，煤炭矿区的补充用水、周边地区生产和生态用水应优先使用矿井水，加强洗煤废水循环利。</w:t>
                  </w:r>
                </w:p>
              </w:tc>
              <w:tc>
                <w:tcPr>
                  <w:tcW w:w="1439" w:type="dxa"/>
                  <w:vMerge w:val="restart"/>
                  <w:noWrap w:val="0"/>
                  <w:vAlign w:val="center"/>
                </w:tcPr>
                <w:p w14:paraId="3E65C1FE">
                  <w:pPr>
                    <w:widowControl/>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本项目为原煤洗选项目，本项目洗煤废水循环利用，满足一级闭路循环要求，洗煤水重复利用率</w:t>
                  </w:r>
                  <w:r>
                    <w:rPr>
                      <w:rFonts w:hint="default" w:ascii="Times New Roman" w:hAnsi="Times New Roman" w:eastAsia="宋体" w:cs="Times New Roman"/>
                      <w:color w:val="auto"/>
                      <w:sz w:val="21"/>
                      <w:szCs w:val="21"/>
                      <w:lang w:eastAsia="zh-CN"/>
                    </w:rPr>
                    <w:t>可以达到</w:t>
                  </w:r>
                  <w:r>
                    <w:rPr>
                      <w:rFonts w:hint="default" w:ascii="Times New Roman" w:hAnsi="Times New Roman" w:eastAsia="宋体" w:cs="Times New Roman"/>
                      <w:color w:val="auto"/>
                      <w:sz w:val="21"/>
                      <w:szCs w:val="21"/>
                      <w:lang w:val="en-US" w:eastAsia="zh-CN"/>
                    </w:rPr>
                    <w:t>100%</w:t>
                  </w:r>
                  <w:r>
                    <w:rPr>
                      <w:rFonts w:hint="eastAsia"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rPr>
                    <w:t>因此本项目符合文件要求。</w:t>
                  </w:r>
                </w:p>
              </w:tc>
              <w:tc>
                <w:tcPr>
                  <w:tcW w:w="960" w:type="dxa"/>
                  <w:noWrap w:val="0"/>
                  <w:vAlign w:val="center"/>
                </w:tcPr>
                <w:p w14:paraId="605593F0">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EF9F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61" w:type="dxa"/>
                  <w:noWrap w:val="0"/>
                  <w:vAlign w:val="center"/>
                </w:tcPr>
                <w:p w14:paraId="4794D942">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《黑龙江省水污染防治工作方案》（黑政发〔2016〕3号）</w:t>
                  </w:r>
                </w:p>
              </w:tc>
              <w:tc>
                <w:tcPr>
                  <w:tcW w:w="4468" w:type="dxa"/>
                  <w:noWrap w:val="0"/>
                  <w:vAlign w:val="center"/>
                </w:tcPr>
                <w:p w14:paraId="1B9ADDA0">
                  <w:pPr>
                    <w:widowControl/>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强工业水循环利用。以龙煤集团为重点，大力推进矿井水综合利用，满足周边农业、高耗水工业和缺水地区居民生活用水需求。加强洗煤废水循环利用。到2020年，国有重点煤矿矿井水综合利用率达到75%。鼓励高耗水企业废水深度处理回用，到2020年，全省工业用水重复利用率不低于95%。</w:t>
                  </w:r>
                </w:p>
              </w:tc>
              <w:tc>
                <w:tcPr>
                  <w:tcW w:w="1439" w:type="dxa"/>
                  <w:vMerge w:val="continue"/>
                  <w:noWrap w:val="0"/>
                  <w:vAlign w:val="center"/>
                </w:tcPr>
                <w:p w14:paraId="43DE6FFD">
                  <w:pPr>
                    <w:widowControl/>
                    <w:rPr>
                      <w:rFonts w:hint="default" w:ascii="Times New Roman" w:hAnsi="Times New Roman" w:eastAsia="宋体" w:cs="Times New Roman"/>
                      <w:color w:val="auto"/>
                      <w:sz w:val="21"/>
                      <w:szCs w:val="21"/>
                    </w:rPr>
                  </w:pPr>
                </w:p>
              </w:tc>
              <w:tc>
                <w:tcPr>
                  <w:tcW w:w="960" w:type="dxa"/>
                  <w:noWrap w:val="0"/>
                  <w:vAlign w:val="center"/>
                </w:tcPr>
                <w:p w14:paraId="311493E0">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7C68F7C4">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综上所述，本项目建设符合《大气污染防治行动计划》（国发〔2013〕37号）、《黑龙江省大气污染防治条例》中的相关政策要求。</w:t>
            </w:r>
          </w:p>
          <w:p w14:paraId="16550D26">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（3）与《国务院关于促进煤炭工业健康发展的若干意见》（国发〔2005〕18号）符合性分析</w:t>
            </w:r>
          </w:p>
          <w:p w14:paraId="12B2E9B1">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国务院关于促进煤炭工业健康发展的若干意见》，（十九）推进洁净煤技术产业化发展。发展改革委要制定规划，完善政策，组织建设示范工程，并给予一定资金支持，推动洁净煤技术和产业化发展。大力发展洗煤、配煤和型煤技术，提高煤炭洗选加工程度。</w:t>
            </w:r>
          </w:p>
          <w:p w14:paraId="3302D87C">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本工程为煤炭洗选项目，采用</w:t>
            </w:r>
            <w:r>
              <w:rPr>
                <w:rFonts w:hint="eastAsia" w:ascii="Times New Roman" w:hAnsi="Times New Roman" w:cs="Times New Roman"/>
                <w:color w:val="auto"/>
                <w:sz w:val="24"/>
                <w:lang w:eastAsia="zh-CN"/>
              </w:rPr>
              <w:t>跳汰</w:t>
            </w:r>
            <w:r>
              <w:rPr>
                <w:rFonts w:hint="default" w:ascii="Times New Roman" w:hAnsi="Times New Roman" w:eastAsia="宋体" w:cs="Times New Roman"/>
                <w:color w:val="auto"/>
                <w:sz w:val="24"/>
              </w:rPr>
              <w:t>洗煤工艺，提高原煤洗选比例和洗选效率。因此，本项目符合该要求。</w:t>
            </w:r>
          </w:p>
          <w:p w14:paraId="02CE2797">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（4）与煤炭工业节能减排工作意见符合性分析</w:t>
            </w:r>
          </w:p>
          <w:p w14:paraId="404A0CDE">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根据国家发展改革委和国家环保总局关于印发煤炭工业节能减排工作意见的通知（发改能源〔2007）1456号</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：第二十三条 煤矿应就近配套建设选煤厂或集中选煤厂，采用大中型高效节能设备，减少物流中转环节。新建选煤厂规模原则上不小于30万吨/年。加强对现有选煤厂技术改造，淘汰落后工艺，减少电耗、水耗和介质消耗。积极发展动力煤入洗，高硫、高灰动力煤必须全部入洗。灰分大于25%的商品煤，应就近使用，尽量减少长途运输。第二十五条选煤厂补充用水必须首先采用处理后的矿井水或中水。洗煤用水应净化处理后循环复用，大中型选煤厂必须实现洗水一级闭路循环，洗选原煤清水耗应控制在0.15立方米/吨以内。第三十九条 严格行业准入，严把能耗、环保审核关。坚决淘汰不具备安全生产条件、浪费资源和污染环境的小煤矿、小选煤厂、小焦化厂。</w:t>
            </w:r>
          </w:p>
          <w:p w14:paraId="7324E175">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本项目年洗选原煤120万吨</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生产废水</w:t>
            </w:r>
            <w:r>
              <w:rPr>
                <w:rFonts w:hint="eastAsia" w:ascii="Times New Roman" w:hAnsi="Times New Roman" w:cs="Times New Roman"/>
                <w:color w:val="auto"/>
                <w:sz w:val="24"/>
                <w:lang w:eastAsia="zh-CN"/>
              </w:rPr>
              <w:t>分别从</w:t>
            </w:r>
            <w:r>
              <w:rPr>
                <w:rFonts w:hint="default" w:ascii="Times New Roman" w:hAnsi="Times New Roman" w:eastAsia="宋体" w:cs="Times New Roman"/>
                <w:color w:val="auto"/>
                <w:sz w:val="24"/>
              </w:rPr>
              <w:t>浓缩池</w:t>
            </w:r>
            <w:r>
              <w:rPr>
                <w:rFonts w:hint="eastAsia" w:ascii="Times New Roman" w:hAnsi="Times New Roman" w:cs="Times New Roman"/>
                <w:color w:val="auto"/>
                <w:sz w:val="24"/>
                <w:lang w:eastAsia="zh-CN"/>
              </w:rPr>
              <w:t>和</w:t>
            </w:r>
            <w:r>
              <w:rPr>
                <w:rFonts w:hint="default" w:ascii="Times New Roman" w:hAnsi="Times New Roman" w:eastAsia="宋体" w:cs="Times New Roman"/>
                <w:color w:val="auto"/>
                <w:sz w:val="24"/>
              </w:rPr>
              <w:t>压滤</w:t>
            </w:r>
            <w:r>
              <w:rPr>
                <w:rFonts w:hint="eastAsia" w:ascii="Times New Roman" w:hAnsi="Times New Roman" w:cs="Times New Roman"/>
                <w:color w:val="auto"/>
                <w:sz w:val="24"/>
                <w:lang w:eastAsia="zh-CN"/>
              </w:rPr>
              <w:t>机</w:t>
            </w:r>
            <w:r>
              <w:rPr>
                <w:rFonts w:hint="default" w:ascii="Times New Roman" w:hAnsi="Times New Roman" w:eastAsia="宋体" w:cs="Times New Roman"/>
                <w:color w:val="auto"/>
                <w:sz w:val="24"/>
              </w:rPr>
              <w:t>进入循环水池使用，不外排。因此本项目的建设符合煤炭工业节能减排工作意见。</w:t>
            </w:r>
          </w:p>
          <w:p w14:paraId="5CD8220F">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（5）与《煤炭洗选工程设计规范》（GB50359-2016）符合性分析</w:t>
            </w:r>
          </w:p>
          <w:p w14:paraId="68B25325">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煤炭洗选工程设计规范》（GB50359-2016）可知，选煤方法应根据原煤性质、产品要求、分选效率、销售收入、生产成本、基建投资等相关因素，经过技术经济综合比较后确定。工艺设备选型应符合下列规定：1</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应技术先进、性能可靠；2</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应经济实用，并应综合节能、使用寿命和备品备件等因素；3</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噪声应小于85dB。浓缩机底流泵应100%安装备用，其他泵类可不备用，也可同种型号库存备用1台。</w:t>
            </w:r>
          </w:p>
          <w:p w14:paraId="61166F20">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本项目经过技术经济综合比较后确定</w:t>
            </w:r>
            <w:r>
              <w:rPr>
                <w:rFonts w:hint="eastAsia" w:ascii="Times New Roman" w:hAnsi="Times New Roman" w:cs="Times New Roman"/>
                <w:color w:val="auto"/>
                <w:sz w:val="24"/>
                <w:lang w:eastAsia="zh-CN"/>
              </w:rPr>
              <w:t>跳汰</w:t>
            </w:r>
            <w:r>
              <w:rPr>
                <w:rFonts w:hint="default" w:ascii="Times New Roman" w:hAnsi="Times New Roman" w:eastAsia="宋体" w:cs="Times New Roman"/>
                <w:color w:val="auto"/>
                <w:sz w:val="24"/>
              </w:rPr>
              <w:t>洗选工艺，采用的设备性能可靠，经济实用。因此本项目的建设符合《煤炭洗选工程设计规范》（GB50359-2016）。</w:t>
            </w:r>
          </w:p>
          <w:p w14:paraId="2FB7517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jc w:val="left"/>
              <w:textAlignment w:val="auto"/>
              <w:rPr>
                <w:rFonts w:hint="default" w:ascii="Times New Roman" w:hAnsi="Times New Roman" w:eastAsia="宋体"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6</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与《煤炭采选建设项目环境影响评价文件审批原则》符合性分析</w:t>
            </w:r>
          </w:p>
          <w:p w14:paraId="20FF525C">
            <w:pPr>
              <w:autoSpaceDE w:val="0"/>
              <w:autoSpaceDN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根据《煤炭采选建设项目环境影响评价文件审批原则》的符合性分析见下表。</w:t>
            </w:r>
          </w:p>
          <w:p w14:paraId="2FCD0DAC">
            <w:pPr>
              <w:autoSpaceDE w:val="0"/>
              <w:autoSpaceDN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表1-</w:t>
            </w:r>
            <w:r>
              <w:rPr>
                <w:rFonts w:hint="eastAsia" w:cs="Times New Roman"/>
                <w:b/>
                <w:bCs/>
                <w:color w:val="auto"/>
                <w:szCs w:val="21"/>
                <w:lang w:val="en-US" w:eastAsia="zh-CN"/>
              </w:rPr>
              <w:t>8</w:t>
            </w:r>
            <w:r>
              <w:rPr>
                <w:rFonts w:hint="default" w:ascii="Times New Roman" w:hAnsi="Times New Roman" w:eastAsia="宋体" w:cs="Times New Roman"/>
                <w:b/>
                <w:bCs/>
                <w:color w:val="auto"/>
                <w:szCs w:val="21"/>
              </w:rPr>
              <w:t xml:space="preserve"> 与《煤炭采选建设项目环境影响评价文件审批原则》符合性分析</w:t>
            </w:r>
          </w:p>
          <w:tbl>
            <w:tblPr>
              <w:tblStyle w:val="31"/>
              <w:tblW w:w="8373" w:type="dxa"/>
              <w:tblInd w:w="-8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17"/>
              <w:gridCol w:w="3570"/>
              <w:gridCol w:w="786"/>
            </w:tblGrid>
            <w:tr w14:paraId="4546CE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2398" w:type="pct"/>
                  <w:noWrap w:val="0"/>
                  <w:vAlign w:val="center"/>
                </w:tcPr>
                <w:p w14:paraId="141CC8F2">
                  <w:pPr>
                    <w:autoSpaceDE w:val="0"/>
                    <w:autoSpaceDN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文件要求</w:t>
                  </w:r>
                </w:p>
              </w:tc>
              <w:tc>
                <w:tcPr>
                  <w:tcW w:w="2131" w:type="pct"/>
                  <w:noWrap w:val="0"/>
                  <w:vAlign w:val="center"/>
                </w:tcPr>
                <w:p w14:paraId="55DB6BA6">
                  <w:pPr>
                    <w:autoSpaceDE w:val="0"/>
                    <w:autoSpaceDN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本项目情况</w:t>
                  </w:r>
                </w:p>
              </w:tc>
              <w:tc>
                <w:tcPr>
                  <w:tcW w:w="469" w:type="pct"/>
                  <w:noWrap w:val="0"/>
                  <w:vAlign w:val="center"/>
                </w:tcPr>
                <w:p w14:paraId="5263FCA5">
                  <w:pPr>
                    <w:autoSpaceDE w:val="0"/>
                    <w:autoSpaceDN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符合性</w:t>
                  </w:r>
                </w:p>
              </w:tc>
            </w:tr>
            <w:tr w14:paraId="736FF6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98" w:type="pct"/>
                  <w:noWrap w:val="0"/>
                  <w:vAlign w:val="center"/>
                </w:tcPr>
                <w:p w14:paraId="235CC287">
                  <w:pPr>
                    <w:autoSpaceDE w:val="0"/>
                    <w:autoSpaceDN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项目符合环境保护相关法律法规和政策要求，符合煤炭行业化解过剩产能相关要求，新建煤矿应同步建设配套的煤炭洗选设施。特殊和稀缺煤开发利用应符合《特殊和稀缺煤类开发利用管理暂行规定》要求。</w:t>
                  </w:r>
                </w:p>
              </w:tc>
              <w:tc>
                <w:tcPr>
                  <w:tcW w:w="2131" w:type="pct"/>
                  <w:noWrap w:val="0"/>
                  <w:vAlign w:val="center"/>
                </w:tcPr>
                <w:p w14:paraId="53C88B97">
                  <w:pPr>
                    <w:widowControl/>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本项目符合环境保护相关法律法规和政策要求，符合煤炭行业化解过剩产能相关要求</w:t>
                  </w:r>
                </w:p>
              </w:tc>
              <w:tc>
                <w:tcPr>
                  <w:tcW w:w="469" w:type="pct"/>
                  <w:noWrap w:val="0"/>
                  <w:vAlign w:val="center"/>
                </w:tcPr>
                <w:p w14:paraId="2F2B44C3">
                  <w:pPr>
                    <w:autoSpaceDE w:val="0"/>
                    <w:autoSpaceDN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77FFC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98" w:type="pct"/>
                  <w:noWrap w:val="0"/>
                  <w:vAlign w:val="center"/>
                </w:tcPr>
                <w:p w14:paraId="47BFCDC3">
                  <w:pPr>
                    <w:autoSpaceDE w:val="0"/>
                    <w:autoSpaceDN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符合所在煤炭矿区总体规划、规划环评及其审查意见的相关要求，符合项目所在区域生态保护红线要求。井（矿）田开采范围、各类占地范围不得涉及自然保护区、风景名胜区、饮用水水源保护区等法律法规明令禁止采矿和占用的区域。</w:t>
                  </w:r>
                </w:p>
              </w:tc>
              <w:tc>
                <w:tcPr>
                  <w:tcW w:w="2131" w:type="pct"/>
                  <w:noWrap w:val="0"/>
                  <w:vAlign w:val="center"/>
                </w:tcPr>
                <w:p w14:paraId="2880AACA">
                  <w:pPr>
                    <w:widowControl/>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本项目符合所在煤炭矿区总体规划、规划环评及其审查意见的相关要求，本项目位于</w:t>
                  </w:r>
                  <w:r>
                    <w:rPr>
                      <w:rFonts w:hint="eastAsia" w:ascii="Times New Roman" w:hAnsi="Times New Roman" w:cs="Times New Roman"/>
                      <w:color w:val="auto"/>
                      <w:szCs w:val="21"/>
                      <w:lang w:eastAsia="zh-CN"/>
                    </w:rPr>
                    <w:t>鸡西市恒山区大恒山办合作委四组</w:t>
                  </w:r>
                  <w:r>
                    <w:rPr>
                      <w:rFonts w:hint="default" w:ascii="Times New Roman" w:hAnsi="Times New Roman" w:eastAsia="宋体" w:cs="Times New Roman"/>
                      <w:color w:val="auto"/>
                      <w:szCs w:val="21"/>
                    </w:rPr>
                    <w:t>不在生态保护红线范围内。本项目不涉及自然保护区、风景名胜区、饮用水水源保护区等法律法规明令禁止采矿和占用的区域</w:t>
                  </w:r>
                </w:p>
              </w:tc>
              <w:tc>
                <w:tcPr>
                  <w:tcW w:w="469" w:type="pct"/>
                  <w:noWrap w:val="0"/>
                  <w:vAlign w:val="center"/>
                </w:tcPr>
                <w:p w14:paraId="629799E5">
                  <w:pPr>
                    <w:autoSpaceDE w:val="0"/>
                    <w:autoSpaceDN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06A32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98" w:type="pct"/>
                  <w:noWrap w:val="0"/>
                  <w:vAlign w:val="center"/>
                </w:tcPr>
                <w:p w14:paraId="4438035F">
                  <w:pPr>
                    <w:autoSpaceDE w:val="0"/>
                    <w:autoSpaceDN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新建、改扩建项目应满足《清洁生产标准煤炭采选业》（HJ446）要求。主要污染物排放总量满足国家和地方相关要求。</w:t>
                  </w:r>
                </w:p>
              </w:tc>
              <w:tc>
                <w:tcPr>
                  <w:tcW w:w="2131" w:type="pct"/>
                  <w:noWrap w:val="0"/>
                  <w:vAlign w:val="center"/>
                </w:tcPr>
                <w:p w14:paraId="36BF16BB">
                  <w:pPr>
                    <w:widowControl/>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本项目满足《清洁生产标准煤炭采选业》（HJ446）要求</w:t>
                  </w:r>
                </w:p>
              </w:tc>
              <w:tc>
                <w:tcPr>
                  <w:tcW w:w="469" w:type="pct"/>
                  <w:noWrap w:val="0"/>
                  <w:vAlign w:val="center"/>
                </w:tcPr>
                <w:p w14:paraId="4F48914A">
                  <w:pPr>
                    <w:autoSpaceDE w:val="0"/>
                    <w:autoSpaceDN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0C80E4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98" w:type="pct"/>
                  <w:noWrap w:val="0"/>
                  <w:vAlign w:val="center"/>
                </w:tcPr>
                <w:p w14:paraId="2DB54347">
                  <w:pPr>
                    <w:autoSpaceDE w:val="0"/>
                    <w:autoSpaceDN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对井工开采项目的沉陷区及临时排矸场、露天开采项目的采掘场及排土场，应明确生态恢复目标，提出施工期、运行期、闭矿期合理可行的生态保护与恢复措施。对受煤炭开采影响的居民住宅、地面重要基础设施等环境保护目标，应提出相应的保护措施</w:t>
                  </w:r>
                </w:p>
              </w:tc>
              <w:tc>
                <w:tcPr>
                  <w:tcW w:w="2131" w:type="pct"/>
                  <w:noWrap w:val="0"/>
                  <w:vAlign w:val="center"/>
                </w:tcPr>
                <w:p w14:paraId="58926BAE">
                  <w:pPr>
                    <w:widowControl/>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本项目为煤炭洗选项目，不属于井工开采项目</w:t>
                  </w:r>
                </w:p>
              </w:tc>
              <w:tc>
                <w:tcPr>
                  <w:tcW w:w="469" w:type="pct"/>
                  <w:noWrap w:val="0"/>
                  <w:vAlign w:val="center"/>
                </w:tcPr>
                <w:p w14:paraId="417E4308">
                  <w:pPr>
                    <w:autoSpaceDE w:val="0"/>
                    <w:autoSpaceDN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0664A9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98" w:type="pct"/>
                  <w:noWrap w:val="0"/>
                  <w:vAlign w:val="center"/>
                </w:tcPr>
                <w:p w14:paraId="7F1C9CA9">
                  <w:pPr>
                    <w:autoSpaceDE w:val="0"/>
                    <w:autoSpaceDN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煤炭开采可能对自然保护区、风景名胜区、饮用水水源保护区的重要环境敏感目标造成不利影响的，应提出禁止开采、限制开采、充填开采等保护措施；涉及其他敏感区域保护目标的，应明确提出设置禁采区、限采区、限高开采、充填开采、条带开采等措施。煤炭开采对具有供水意义的含水层、集中式与分散式供水水源的地下水资源可能造成影响的，应提出保水采煤等措施并制定长期供水替代方案；对地下水水质可能造成污染影响的应提出防渗等污染防治措施。</w:t>
                  </w:r>
                </w:p>
              </w:tc>
              <w:tc>
                <w:tcPr>
                  <w:tcW w:w="2131" w:type="pct"/>
                  <w:noWrap w:val="0"/>
                  <w:vAlign w:val="center"/>
                </w:tcPr>
                <w:p w14:paraId="6C9480F2">
                  <w:pPr>
                    <w:widowControl/>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本项目不涉及自然保护区、风景名胜区、饮用水水源保护区的重要环境敏感目，本项目为煤炭洗选项目，不属于井工开采项目</w:t>
                  </w:r>
                </w:p>
              </w:tc>
              <w:tc>
                <w:tcPr>
                  <w:tcW w:w="469" w:type="pct"/>
                  <w:noWrap w:val="0"/>
                  <w:vAlign w:val="center"/>
                </w:tcPr>
                <w:p w14:paraId="0916E8E7">
                  <w:pPr>
                    <w:autoSpaceDE w:val="0"/>
                    <w:autoSpaceDN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73056F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98" w:type="pct"/>
                  <w:noWrap w:val="0"/>
                  <w:vAlign w:val="center"/>
                </w:tcPr>
                <w:p w14:paraId="39DDB7F0">
                  <w:pPr>
                    <w:autoSpaceDE w:val="0"/>
                    <w:autoSpaceDN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项目应配套建设矿井（坑）水、生活污水、生产废水处理设施，处理后的废水应立足综合利用，生活污水、生产废水等原则上不得外排。选煤厂煤泥水应实现闭路循环，工业场地</w:t>
                  </w:r>
                  <w:r>
                    <w:rPr>
                      <w:rFonts w:hint="eastAsia" w:ascii="Times New Roman" w:hAnsi="Times New Roman" w:cs="Times New Roman"/>
                      <w:color w:val="auto"/>
                      <w:szCs w:val="21"/>
                      <w:lang w:eastAsia="zh-CN"/>
                    </w:rPr>
                    <w:t>雨水</w:t>
                  </w:r>
                  <w:r>
                    <w:rPr>
                      <w:rFonts w:hint="default" w:ascii="Times New Roman" w:hAnsi="Times New Roman" w:eastAsia="宋体" w:cs="Times New Roman"/>
                      <w:color w:val="auto"/>
                      <w:szCs w:val="21"/>
                    </w:rPr>
                    <w:t>应收集处理。无法全部综合利用的废水，应满足相关排放标准要求后排放。</w:t>
                  </w:r>
                </w:p>
              </w:tc>
              <w:tc>
                <w:tcPr>
                  <w:tcW w:w="2131" w:type="pct"/>
                  <w:noWrap w:val="0"/>
                  <w:vAlign w:val="center"/>
                </w:tcPr>
                <w:p w14:paraId="15F847E7">
                  <w:pPr>
                    <w:widowControl/>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本项目实现闭路循环，工业场地</w:t>
                  </w:r>
                  <w:r>
                    <w:rPr>
                      <w:rFonts w:hint="eastAsia" w:ascii="Times New Roman" w:hAnsi="Times New Roman" w:cs="Times New Roman"/>
                      <w:color w:val="auto"/>
                      <w:szCs w:val="21"/>
                      <w:lang w:eastAsia="zh-CN"/>
                    </w:rPr>
                    <w:t>雨水</w:t>
                  </w:r>
                  <w:r>
                    <w:rPr>
                      <w:rFonts w:hint="default" w:ascii="Times New Roman" w:hAnsi="Times New Roman" w:eastAsia="宋体" w:cs="Times New Roman"/>
                      <w:color w:val="auto"/>
                      <w:szCs w:val="21"/>
                    </w:rPr>
                    <w:t>应收集处理。</w:t>
                  </w:r>
                  <w:r>
                    <w:rPr>
                      <w:rFonts w:hint="eastAsia" w:cs="Times New Roman"/>
                      <w:color w:val="auto"/>
                      <w:szCs w:val="21"/>
                      <w:lang w:eastAsia="zh-CN"/>
                    </w:rPr>
                    <w:t>生活污水排入防渗旱厕，定期清掏，外运至污水处理厂</w:t>
                  </w:r>
                  <w:r>
                    <w:rPr>
                      <w:rFonts w:hint="eastAsia" w:ascii="Times New Roman" w:hAnsi="Times New Roman" w:eastAsia="宋体" w:cs="Times New Roman"/>
                      <w:color w:val="auto"/>
                      <w:szCs w:val="21"/>
                      <w:lang w:eastAsia="zh-CN"/>
                    </w:rPr>
                    <w:t>。</w:t>
                  </w:r>
                </w:p>
              </w:tc>
              <w:tc>
                <w:tcPr>
                  <w:tcW w:w="469" w:type="pct"/>
                  <w:noWrap w:val="0"/>
                  <w:vAlign w:val="center"/>
                </w:tcPr>
                <w:p w14:paraId="184A867B">
                  <w:pPr>
                    <w:autoSpaceDE w:val="0"/>
                    <w:autoSpaceDN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2A305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98" w:type="pct"/>
                  <w:noWrap w:val="0"/>
                  <w:vAlign w:val="center"/>
                </w:tcPr>
                <w:p w14:paraId="62CFA276">
                  <w:pPr>
                    <w:autoSpaceDE w:val="0"/>
                    <w:autoSpaceDN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煤矸石等固体废物应优先综合利用，明确煤矸石综合利用途径和处置方式，满足《煤矸石综合利用管理办法》相关要求。暂不具备综合利用条件的，排至临时矸石堆放场（库）储存，储存规模不超过3年储矸量，且必须有后续综合利用方案。临时矸石堆放场（库）选址、建设和运行应满足《一般工业固体废物贮存、处置场污染控制标准》（GB18599）要求。</w:t>
                  </w:r>
                </w:p>
              </w:tc>
              <w:tc>
                <w:tcPr>
                  <w:tcW w:w="2131" w:type="pct"/>
                  <w:noWrap w:val="0"/>
                  <w:vAlign w:val="center"/>
                </w:tcPr>
                <w:p w14:paraId="1A7D1270">
                  <w:pPr>
                    <w:widowControl/>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本项目煤矸石等固废物综合利用不外排，临时矸石堆放场选址、建设和运行满足《一般工业固体废物贮存、处置场污染控制标准》（GB18599）要求</w:t>
                  </w:r>
                </w:p>
              </w:tc>
              <w:tc>
                <w:tcPr>
                  <w:tcW w:w="469" w:type="pct"/>
                  <w:noWrap w:val="0"/>
                  <w:vAlign w:val="center"/>
                </w:tcPr>
                <w:p w14:paraId="016EA26F">
                  <w:pPr>
                    <w:autoSpaceDE w:val="0"/>
                    <w:autoSpaceDN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77EEFA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98" w:type="pct"/>
                  <w:noWrap w:val="0"/>
                  <w:vAlign w:val="center"/>
                </w:tcPr>
                <w:p w14:paraId="38243B0C">
                  <w:pPr>
                    <w:autoSpaceDE w:val="0"/>
                    <w:autoSpaceDN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选择低噪声设备、优化场地布局并采取隔声、消声、减振等措施有效控制噪声影响，厂界噪声应满足《工业企业厂界环境噪声排放标准》（GB12348）要求。</w:t>
                  </w:r>
                </w:p>
              </w:tc>
              <w:tc>
                <w:tcPr>
                  <w:tcW w:w="2131" w:type="pct"/>
                  <w:noWrap w:val="0"/>
                  <w:vAlign w:val="center"/>
                </w:tcPr>
                <w:p w14:paraId="39A8E88A">
                  <w:pPr>
                    <w:widowControl/>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本项目选择低噪声设备、优化场地布局并采取隔声、消声、减振等措施有效控制噪声影响，厂界噪声满足《工业企业厂界环境噪声排放标准》（GB12348）要求</w:t>
                  </w:r>
                </w:p>
              </w:tc>
              <w:tc>
                <w:tcPr>
                  <w:tcW w:w="469" w:type="pct"/>
                  <w:noWrap w:val="0"/>
                  <w:vAlign w:val="center"/>
                </w:tcPr>
                <w:p w14:paraId="2D3B5A77">
                  <w:pPr>
                    <w:autoSpaceDE w:val="0"/>
                    <w:autoSpaceDN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22ECD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98" w:type="pct"/>
                  <w:noWrap w:val="0"/>
                  <w:vAlign w:val="center"/>
                </w:tcPr>
                <w:p w14:paraId="2F8F7D9D">
                  <w:pPr>
                    <w:autoSpaceDE w:val="0"/>
                    <w:autoSpaceDN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涉及放射性污染影响的煤炭采选项目，参照《矿产资源开发利用辐射环境监督管理名录》（第一批）中石煤行业相关要求，原煤、产品煤、矸石或其他残留物铀（钍）系单个核素含量超过1贝可/克（1Bq/g）的项目，应开展辐射环境污染评价。开采高砷、高铝煤矿等项目，提出了产品煤去向及环境管理要求。</w:t>
                  </w:r>
                </w:p>
              </w:tc>
              <w:tc>
                <w:tcPr>
                  <w:tcW w:w="2131" w:type="pct"/>
                  <w:noWrap w:val="0"/>
                  <w:vAlign w:val="center"/>
                </w:tcPr>
                <w:p w14:paraId="10C3A8AB">
                  <w:pPr>
                    <w:widowControl/>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本项目</w:t>
                  </w:r>
                  <w:r>
                    <w:rPr>
                      <w:rFonts w:hint="default" w:ascii="Times New Roman" w:hAnsi="Times New Roman" w:eastAsia="宋体" w:cs="Times New Roman"/>
                      <w:color w:val="auto"/>
                      <w:szCs w:val="21"/>
                    </w:rPr>
                    <w:t>煤炭采选</w:t>
                  </w:r>
                  <w:r>
                    <w:rPr>
                      <w:rFonts w:hint="eastAsia" w:ascii="Times New Roman" w:hAnsi="Times New Roman" w:cs="Times New Roman"/>
                      <w:color w:val="auto"/>
                      <w:szCs w:val="21"/>
                      <w:lang w:eastAsia="zh-CN"/>
                    </w:rPr>
                    <w:t>不涉及</w:t>
                  </w:r>
                  <w:r>
                    <w:rPr>
                      <w:rFonts w:hint="default" w:ascii="Times New Roman" w:hAnsi="Times New Roman" w:eastAsia="宋体" w:cs="Times New Roman"/>
                      <w:color w:val="auto"/>
                      <w:szCs w:val="21"/>
                    </w:rPr>
                    <w:t>放射性污染影响</w:t>
                  </w:r>
                  <w:r>
                    <w:rPr>
                      <w:rFonts w:hint="eastAsia" w:ascii="Times New Roman" w:hAnsi="Times New Roman" w:eastAsia="宋体" w:cs="Times New Roman"/>
                      <w:color w:val="auto"/>
                      <w:szCs w:val="21"/>
                      <w:lang w:eastAsia="zh-CN"/>
                    </w:rPr>
                    <w:t>。</w:t>
                  </w:r>
                </w:p>
              </w:tc>
              <w:tc>
                <w:tcPr>
                  <w:tcW w:w="469" w:type="pct"/>
                  <w:noWrap w:val="0"/>
                  <w:vAlign w:val="center"/>
                </w:tcPr>
                <w:p w14:paraId="773F8768">
                  <w:pPr>
                    <w:autoSpaceDE w:val="0"/>
                    <w:autoSpaceDN w:val="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本项目无需进行辐射专篇编制</w:t>
                  </w:r>
                </w:p>
              </w:tc>
            </w:tr>
          </w:tbl>
          <w:p w14:paraId="7322FBE4">
            <w:pPr>
              <w:keepNext w:val="0"/>
              <w:keepLines w:val="0"/>
              <w:pageBreakBefore w:val="0"/>
              <w:widowControl w:val="0"/>
              <w:kinsoku/>
              <w:wordWrap/>
              <w:overflowPunct/>
              <w:topLinePunct w:val="0"/>
              <w:autoSpaceDE w:val="0"/>
              <w:autoSpaceDN w:val="0"/>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7</w:t>
            </w:r>
            <w:r>
              <w:rPr>
                <w:rFonts w:hint="default" w:ascii="Times New Roman" w:hAnsi="Times New Roman" w:eastAsia="宋体" w:cs="Times New Roman"/>
                <w:color w:val="auto"/>
                <w:sz w:val="24"/>
              </w:rPr>
              <w:t>）与《清洁生产标准 煤炭采选业》（HJ446-2008）符合性分析</w:t>
            </w:r>
          </w:p>
          <w:p w14:paraId="53E82B21">
            <w:pPr>
              <w:autoSpaceDE w:val="0"/>
              <w:autoSpaceDN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表1-</w:t>
            </w:r>
            <w:r>
              <w:rPr>
                <w:rFonts w:hint="eastAsia" w:cs="Times New Roman"/>
                <w:b/>
                <w:bCs/>
                <w:color w:val="auto"/>
                <w:szCs w:val="21"/>
                <w:lang w:val="en-US" w:eastAsia="zh-CN"/>
              </w:rPr>
              <w:t>9</w:t>
            </w:r>
            <w:r>
              <w:rPr>
                <w:rFonts w:hint="default" w:ascii="Times New Roman" w:hAnsi="Times New Roman" w:eastAsia="宋体" w:cs="Times New Roman"/>
                <w:b/>
                <w:bCs/>
                <w:color w:val="auto"/>
                <w:szCs w:val="21"/>
              </w:rPr>
              <w:t xml:space="preserve"> 本项目与清洁生产指标符合性分析一览表</w:t>
            </w:r>
          </w:p>
          <w:tbl>
            <w:tblPr>
              <w:tblStyle w:val="31"/>
              <w:tblW w:w="4992" w:type="pct"/>
              <w:tblInd w:w="11"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280"/>
              <w:gridCol w:w="2418"/>
              <w:gridCol w:w="3069"/>
              <w:gridCol w:w="765"/>
            </w:tblGrid>
            <w:tr w14:paraId="2AED0FB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51" w:hRule="atLeast"/>
              </w:trPr>
              <w:tc>
                <w:tcPr>
                  <w:tcW w:w="2455" w:type="pct"/>
                  <w:gridSpan w:val="2"/>
                  <w:noWrap w:val="0"/>
                  <w:vAlign w:val="center"/>
                </w:tcPr>
                <w:p w14:paraId="3AE7B647">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pacing w:val="11"/>
                      <w:szCs w:val="21"/>
                    </w:rPr>
                    <w:t>煤</w:t>
                  </w:r>
                  <w:r>
                    <w:rPr>
                      <w:rFonts w:hint="default" w:ascii="Times New Roman" w:hAnsi="Times New Roman" w:eastAsia="宋体" w:cs="Times New Roman"/>
                      <w:b/>
                      <w:bCs/>
                      <w:color w:val="auto"/>
                      <w:spacing w:val="9"/>
                      <w:szCs w:val="21"/>
                    </w:rPr>
                    <w:t>炭采选业清洁生产指标要求</w:t>
                  </w:r>
                </w:p>
              </w:tc>
              <w:tc>
                <w:tcPr>
                  <w:tcW w:w="2037" w:type="pct"/>
                  <w:noWrap w:val="0"/>
                  <w:vAlign w:val="center"/>
                </w:tcPr>
                <w:p w14:paraId="7FFBF25F">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pacing w:val="9"/>
                      <w:szCs w:val="21"/>
                    </w:rPr>
                    <w:t>本项目清洁生产指</w:t>
                  </w:r>
                  <w:r>
                    <w:rPr>
                      <w:rFonts w:hint="default" w:ascii="Times New Roman" w:hAnsi="Times New Roman" w:eastAsia="宋体" w:cs="Times New Roman"/>
                      <w:b/>
                      <w:bCs/>
                      <w:color w:val="auto"/>
                      <w:spacing w:val="7"/>
                      <w:szCs w:val="21"/>
                    </w:rPr>
                    <w:t>标</w:t>
                  </w:r>
                </w:p>
              </w:tc>
              <w:tc>
                <w:tcPr>
                  <w:tcW w:w="507" w:type="pct"/>
                  <w:noWrap w:val="0"/>
                  <w:vAlign w:val="center"/>
                </w:tcPr>
                <w:p w14:paraId="3CFB2CE5">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pacing w:val="4"/>
                      <w:szCs w:val="21"/>
                    </w:rPr>
                    <w:t>等</w:t>
                  </w:r>
                  <w:r>
                    <w:rPr>
                      <w:rFonts w:hint="default" w:ascii="Times New Roman" w:hAnsi="Times New Roman" w:eastAsia="宋体" w:cs="Times New Roman"/>
                      <w:b/>
                      <w:bCs/>
                      <w:color w:val="auto"/>
                      <w:spacing w:val="3"/>
                      <w:szCs w:val="21"/>
                    </w:rPr>
                    <w:t>级</w:t>
                  </w:r>
                </w:p>
              </w:tc>
            </w:tr>
            <w:tr w14:paraId="190488D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0" w:hRule="atLeast"/>
              </w:trPr>
              <w:tc>
                <w:tcPr>
                  <w:tcW w:w="5000" w:type="pct"/>
                  <w:gridSpan w:val="4"/>
                  <w:noWrap w:val="0"/>
                  <w:vAlign w:val="center"/>
                </w:tcPr>
                <w:p w14:paraId="14D4C78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生产工艺与装备要求</w:t>
                  </w:r>
                </w:p>
              </w:tc>
            </w:tr>
            <w:tr w14:paraId="3BCFAC0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0" w:hRule="atLeast"/>
              </w:trPr>
              <w:tc>
                <w:tcPr>
                  <w:tcW w:w="5000" w:type="pct"/>
                  <w:gridSpan w:val="4"/>
                  <w:noWrap w:val="0"/>
                  <w:vAlign w:val="center"/>
                </w:tcPr>
                <w:p w14:paraId="611EF44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一、选煤生产工艺与装备要求</w:t>
                  </w:r>
                </w:p>
              </w:tc>
            </w:tr>
            <w:tr w14:paraId="3AC4686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539" w:hRule="atLeast"/>
              </w:trPr>
              <w:tc>
                <w:tcPr>
                  <w:tcW w:w="850" w:type="pct"/>
                  <w:noWrap w:val="0"/>
                  <w:vAlign w:val="center"/>
                </w:tcPr>
                <w:p w14:paraId="0EEB27A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1、总体要求</w:t>
                  </w:r>
                </w:p>
              </w:tc>
              <w:tc>
                <w:tcPr>
                  <w:tcW w:w="1604" w:type="pct"/>
                  <w:noWrap w:val="0"/>
                  <w:vAlign w:val="center"/>
                </w:tcPr>
                <w:p w14:paraId="4A214B2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符合国家环保、产业政策要求，采用国内外先进的煤炭洗选、选煤水闭路循环、煤炭贮运生产工艺和技术设备</w:t>
                  </w:r>
                </w:p>
              </w:tc>
              <w:tc>
                <w:tcPr>
                  <w:tcW w:w="2037" w:type="pct"/>
                  <w:noWrap w:val="0"/>
                  <w:vAlign w:val="center"/>
                </w:tcPr>
                <w:p w14:paraId="4E80F70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符合国家环保、产业政策要求，采用国内外先进的煤炭洗选、选煤水闭路循环、煤炭贮运生产工艺和技术设备</w:t>
                  </w:r>
                </w:p>
              </w:tc>
              <w:tc>
                <w:tcPr>
                  <w:tcW w:w="507" w:type="pct"/>
                  <w:noWrap w:val="0"/>
                  <w:vAlign w:val="center"/>
                </w:tcPr>
                <w:p w14:paraId="3D3DCD6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r>
            <w:tr w14:paraId="2FB45E1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93" w:hRule="atLeast"/>
              </w:trPr>
              <w:tc>
                <w:tcPr>
                  <w:tcW w:w="850" w:type="pct"/>
                  <w:vMerge w:val="restart"/>
                  <w:noWrap w:val="0"/>
                  <w:vAlign w:val="center"/>
                </w:tcPr>
                <w:p w14:paraId="61A746C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2、备煤工艺及装备</w:t>
                  </w:r>
                </w:p>
              </w:tc>
              <w:tc>
                <w:tcPr>
                  <w:tcW w:w="1604" w:type="pct"/>
                  <w:noWrap w:val="0"/>
                  <w:vAlign w:val="center"/>
                </w:tcPr>
                <w:p w14:paraId="2DA08C8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原煤运输</w:t>
                  </w:r>
                </w:p>
              </w:tc>
              <w:tc>
                <w:tcPr>
                  <w:tcW w:w="2037" w:type="pct"/>
                  <w:noWrap w:val="0"/>
                  <w:vAlign w:val="center"/>
                </w:tcPr>
                <w:p w14:paraId="1E87C90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汽车加盖苫布，厂区地面硬化</w:t>
                  </w:r>
                </w:p>
              </w:tc>
              <w:tc>
                <w:tcPr>
                  <w:tcW w:w="507" w:type="pct"/>
                  <w:noWrap w:val="0"/>
                  <w:vAlign w:val="center"/>
                </w:tcPr>
                <w:p w14:paraId="6A69D84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r>
            <w:tr w14:paraId="78F04FD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01" w:hRule="atLeast"/>
              </w:trPr>
              <w:tc>
                <w:tcPr>
                  <w:tcW w:w="850" w:type="pct"/>
                  <w:vMerge w:val="continue"/>
                  <w:noWrap w:val="0"/>
                  <w:vAlign w:val="center"/>
                </w:tcPr>
                <w:p w14:paraId="7FBEA187">
                  <w:pPr>
                    <w:jc w:val="center"/>
                    <w:rPr>
                      <w:rFonts w:hint="default" w:ascii="Times New Roman" w:hAnsi="Times New Roman" w:eastAsia="宋体" w:cs="Times New Roman"/>
                      <w:color w:val="auto"/>
                      <w:szCs w:val="21"/>
                    </w:rPr>
                  </w:pPr>
                </w:p>
              </w:tc>
              <w:tc>
                <w:tcPr>
                  <w:tcW w:w="1604" w:type="pct"/>
                  <w:noWrap w:val="0"/>
                  <w:vAlign w:val="center"/>
                </w:tcPr>
                <w:p w14:paraId="3538BB4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原煤贮存</w:t>
                  </w:r>
                </w:p>
              </w:tc>
              <w:tc>
                <w:tcPr>
                  <w:tcW w:w="2037" w:type="pct"/>
                  <w:noWrap w:val="0"/>
                  <w:vAlign w:val="center"/>
                </w:tcPr>
                <w:p w14:paraId="36088B0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物料设有挡风抑尘措施和洒水喷淋装置的贮煤场</w:t>
                  </w:r>
                </w:p>
              </w:tc>
              <w:tc>
                <w:tcPr>
                  <w:tcW w:w="507" w:type="pct"/>
                  <w:noWrap w:val="0"/>
                  <w:vAlign w:val="center"/>
                </w:tcPr>
                <w:p w14:paraId="60D2982A">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r>
            <w:tr w14:paraId="12FAA41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01" w:hRule="atLeast"/>
              </w:trPr>
              <w:tc>
                <w:tcPr>
                  <w:tcW w:w="2455" w:type="pct"/>
                  <w:gridSpan w:val="2"/>
                  <w:noWrap w:val="0"/>
                  <w:vAlign w:val="center"/>
                </w:tcPr>
                <w:p w14:paraId="6C2E397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3、精煤、矸石贮存</w:t>
                  </w:r>
                </w:p>
              </w:tc>
              <w:tc>
                <w:tcPr>
                  <w:tcW w:w="2037" w:type="pct"/>
                  <w:noWrap w:val="0"/>
                  <w:vAlign w:val="center"/>
                </w:tcPr>
                <w:p w14:paraId="7E486AD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原料及成品分别进入防风抑尘网内暂存仓贮</w:t>
                  </w:r>
                </w:p>
              </w:tc>
              <w:tc>
                <w:tcPr>
                  <w:tcW w:w="507" w:type="pct"/>
                  <w:noWrap w:val="0"/>
                  <w:vAlign w:val="center"/>
                </w:tcPr>
                <w:p w14:paraId="1C6B987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r>
            <w:tr w14:paraId="78A9A25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342" w:hRule="atLeast"/>
              </w:trPr>
              <w:tc>
                <w:tcPr>
                  <w:tcW w:w="2455" w:type="pct"/>
                  <w:gridSpan w:val="2"/>
                  <w:noWrap w:val="0"/>
                  <w:vAlign w:val="center"/>
                </w:tcPr>
                <w:p w14:paraId="7FD504EA">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4、选煤工艺装备</w:t>
                  </w:r>
                </w:p>
              </w:tc>
              <w:tc>
                <w:tcPr>
                  <w:tcW w:w="2037" w:type="pct"/>
                  <w:noWrap w:val="0"/>
                  <w:vAlign w:val="center"/>
                </w:tcPr>
                <w:p w14:paraId="0981B95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由原煤的可选性确定采用成熟的选煤工艺设备，实现单元作业操作程序自动化，设有全过程自动控制手段</w:t>
                  </w:r>
                </w:p>
              </w:tc>
              <w:tc>
                <w:tcPr>
                  <w:tcW w:w="507" w:type="pct"/>
                  <w:noWrap w:val="0"/>
                  <w:vAlign w:val="center"/>
                </w:tcPr>
                <w:p w14:paraId="18B70E2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r>
            <w:tr w14:paraId="1907478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687" w:hRule="atLeast"/>
              </w:trPr>
              <w:tc>
                <w:tcPr>
                  <w:tcW w:w="2455" w:type="pct"/>
                  <w:gridSpan w:val="2"/>
                  <w:noWrap w:val="0"/>
                  <w:vAlign w:val="center"/>
                </w:tcPr>
                <w:p w14:paraId="413E15E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5.选煤水处理</w:t>
                  </w:r>
                </w:p>
              </w:tc>
              <w:tc>
                <w:tcPr>
                  <w:tcW w:w="2037" w:type="pct"/>
                  <w:noWrap w:val="0"/>
                  <w:vAlign w:val="center"/>
                </w:tcPr>
                <w:p w14:paraId="35037BC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选煤水处理系统采用高效浓缩机，并添加絮凝剂，尾煤采用压滤机回收，并设有相同型号的事故浓缩池，吨入洗原煤补充水量</w:t>
                  </w:r>
                  <w:r>
                    <w:rPr>
                      <w:rFonts w:hint="eastAsia" w:ascii="Times New Roman" w:hAnsi="Times New Roman" w:cs="Times New Roman"/>
                      <w:color w:val="auto"/>
                      <w:szCs w:val="21"/>
                      <w:lang w:val="en-US" w:eastAsia="zh-CN"/>
                    </w:rPr>
                    <w:t>＜</w:t>
                  </w:r>
                  <w:r>
                    <w:rPr>
                      <w:rFonts w:hint="default" w:ascii="Times New Roman" w:hAnsi="Times New Roman" w:eastAsia="宋体" w:cs="Times New Roman"/>
                      <w:color w:val="auto"/>
                      <w:szCs w:val="21"/>
                      <w:lang w:val="en-US" w:eastAsia="zh-CN"/>
                    </w:rPr>
                    <w:t>0.1</w:t>
                  </w:r>
                  <w:r>
                    <w:rPr>
                      <w:rFonts w:hint="eastAsia" w:ascii="Times New Roman" w:hAnsi="Times New Roman" w:cs="Times New Roman"/>
                      <w:color w:val="auto"/>
                      <w:szCs w:val="21"/>
                      <w:lang w:val="en-US" w:eastAsia="zh-CN"/>
                    </w:rPr>
                    <w:t>5</w:t>
                  </w:r>
                  <w:r>
                    <w:rPr>
                      <w:rFonts w:hint="default" w:ascii="Times New Roman" w:hAnsi="Times New Roman" w:eastAsia="宋体" w:cs="Times New Roman"/>
                      <w:color w:val="auto"/>
                      <w:szCs w:val="21"/>
                      <w:lang w:val="en-US" w:eastAsia="zh-CN"/>
                    </w:rPr>
                    <w:t>m</w:t>
                  </w:r>
                  <w:r>
                    <w:rPr>
                      <w:rFonts w:hint="default" w:ascii="Times New Roman" w:hAnsi="Times New Roman" w:eastAsia="宋体" w:cs="Times New Roman"/>
                      <w:color w:val="auto"/>
                      <w:szCs w:val="21"/>
                      <w:vertAlign w:val="superscript"/>
                      <w:lang w:val="en-US" w:eastAsia="zh-CN"/>
                    </w:rPr>
                    <w:t>3</w:t>
                  </w:r>
                  <w:r>
                    <w:rPr>
                      <w:rFonts w:hint="default" w:ascii="Times New Roman" w:hAnsi="Times New Roman" w:eastAsia="宋体" w:cs="Times New Roman"/>
                      <w:color w:val="auto"/>
                      <w:szCs w:val="21"/>
                      <w:lang w:val="en-US" w:eastAsia="zh-CN"/>
                    </w:rPr>
                    <w:t>，煤泥水达到闭路循环，不外排</w:t>
                  </w:r>
                </w:p>
              </w:tc>
              <w:tc>
                <w:tcPr>
                  <w:tcW w:w="507" w:type="pct"/>
                  <w:noWrap w:val="0"/>
                  <w:vAlign w:val="center"/>
                </w:tcPr>
                <w:p w14:paraId="0B8329FF">
                  <w:pPr>
                    <w:jc w:val="center"/>
                    <w:rPr>
                      <w:rFonts w:hint="default" w:ascii="Times New Roman" w:hAnsi="Times New Roman" w:eastAsia="宋体" w:cs="Times New Roman"/>
                      <w:color w:val="auto"/>
                      <w:szCs w:val="21"/>
                    </w:rPr>
                  </w:pPr>
                  <w:r>
                    <w:rPr>
                      <w:rFonts w:hint="eastAsia" w:ascii="Times New Roman" w:hAnsi="Times New Roman" w:cs="Times New Roman"/>
                      <w:color w:val="auto"/>
                      <w:szCs w:val="21"/>
                      <w:lang w:eastAsia="zh-CN"/>
                    </w:rPr>
                    <w:t>三</w:t>
                  </w:r>
                  <w:r>
                    <w:rPr>
                      <w:rFonts w:hint="default" w:ascii="Times New Roman" w:hAnsi="Times New Roman" w:eastAsia="宋体" w:cs="Times New Roman"/>
                      <w:color w:val="auto"/>
                      <w:szCs w:val="21"/>
                    </w:rPr>
                    <w:t>级</w:t>
                  </w:r>
                </w:p>
              </w:tc>
            </w:tr>
            <w:tr w14:paraId="56B00F6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5000" w:type="pct"/>
                  <w:gridSpan w:val="4"/>
                  <w:noWrap w:val="0"/>
                  <w:vAlign w:val="center"/>
                </w:tcPr>
                <w:p w14:paraId="2003CD5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14"/>
                      <w:szCs w:val="21"/>
                    </w:rPr>
                    <w:t>二</w:t>
                  </w:r>
                  <w:r>
                    <w:rPr>
                      <w:rFonts w:hint="default" w:ascii="Times New Roman" w:hAnsi="Times New Roman" w:eastAsia="宋体" w:cs="Times New Roman"/>
                      <w:color w:val="auto"/>
                      <w:spacing w:val="8"/>
                      <w:szCs w:val="21"/>
                    </w:rPr>
                    <w:t>、资源能源利用指标</w:t>
                  </w:r>
                </w:p>
              </w:tc>
            </w:tr>
            <w:tr w14:paraId="53D6125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455" w:type="pct"/>
                  <w:gridSpan w:val="2"/>
                  <w:noWrap w:val="0"/>
                  <w:vAlign w:val="center"/>
                </w:tcPr>
                <w:p w14:paraId="68B83D0D">
                  <w:pP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1、选煤补水量/</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/t</w:t>
                  </w:r>
                  <w:r>
                    <w:rPr>
                      <w:rFonts w:hint="eastAsia" w:ascii="Times New Roman" w:hAnsi="Times New Roman" w:cs="Times New Roman"/>
                      <w:color w:val="auto"/>
                      <w:szCs w:val="21"/>
                      <w:lang w:eastAsia="zh-CN"/>
                    </w:rPr>
                    <w:t>）</w:t>
                  </w:r>
                </w:p>
              </w:tc>
              <w:tc>
                <w:tcPr>
                  <w:tcW w:w="2037" w:type="pct"/>
                  <w:noWrap w:val="0"/>
                  <w:vAlign w:val="center"/>
                </w:tcPr>
                <w:p w14:paraId="6F233889">
                  <w:pPr>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pacing w:val="8"/>
                      <w:szCs w:val="21"/>
                      <w:lang w:val="en-US" w:eastAsia="zh-CN"/>
                    </w:rPr>
                    <w:t>0.069</w:t>
                  </w:r>
                </w:p>
              </w:tc>
              <w:tc>
                <w:tcPr>
                  <w:tcW w:w="507" w:type="pct"/>
                  <w:noWrap w:val="0"/>
                  <w:vAlign w:val="center"/>
                </w:tcPr>
                <w:p w14:paraId="0FA3DB9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4"/>
                      <w:szCs w:val="21"/>
                    </w:rPr>
                    <w:t>一级</w:t>
                  </w:r>
                </w:p>
              </w:tc>
            </w:tr>
            <w:tr w14:paraId="364BCF8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2455" w:type="pct"/>
                  <w:gridSpan w:val="2"/>
                  <w:noWrap w:val="0"/>
                  <w:vAlign w:val="center"/>
                </w:tcPr>
                <w:p w14:paraId="69B422BA">
                  <w:pP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2、选煤电耗/</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kWh/t</w:t>
                  </w:r>
                  <w:r>
                    <w:rPr>
                      <w:rFonts w:hint="eastAsia" w:ascii="Times New Roman" w:hAnsi="Times New Roman" w:cs="Times New Roman"/>
                      <w:color w:val="auto"/>
                      <w:szCs w:val="21"/>
                      <w:lang w:eastAsia="zh-CN"/>
                    </w:rPr>
                    <w:t>）</w:t>
                  </w:r>
                </w:p>
              </w:tc>
              <w:tc>
                <w:tcPr>
                  <w:tcW w:w="2037" w:type="pct"/>
                  <w:noWrap w:val="0"/>
                  <w:vAlign w:val="center"/>
                </w:tcPr>
                <w:p w14:paraId="20B81480">
                  <w:pPr>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pacing w:val="3"/>
                      <w:szCs w:val="21"/>
                      <w:lang w:val="en-US" w:eastAsia="zh-CN"/>
                    </w:rPr>
                    <w:t>5.98</w:t>
                  </w:r>
                </w:p>
              </w:tc>
              <w:tc>
                <w:tcPr>
                  <w:tcW w:w="507" w:type="pct"/>
                  <w:noWrap w:val="0"/>
                  <w:vAlign w:val="center"/>
                </w:tcPr>
                <w:p w14:paraId="20B04275">
                  <w:pPr>
                    <w:jc w:val="center"/>
                    <w:rPr>
                      <w:rFonts w:hint="default" w:ascii="Times New Roman" w:hAnsi="Times New Roman" w:eastAsia="宋体" w:cs="Times New Roman"/>
                      <w:color w:val="auto"/>
                      <w:szCs w:val="21"/>
                    </w:rPr>
                  </w:pPr>
                  <w:r>
                    <w:rPr>
                      <w:rFonts w:hint="eastAsia" w:ascii="Times New Roman" w:hAnsi="Times New Roman" w:cs="Times New Roman"/>
                      <w:color w:val="auto"/>
                      <w:spacing w:val="3"/>
                      <w:szCs w:val="21"/>
                      <w:lang w:eastAsia="zh-CN"/>
                    </w:rPr>
                    <w:t>一</w:t>
                  </w:r>
                  <w:r>
                    <w:rPr>
                      <w:rFonts w:hint="default" w:ascii="Times New Roman" w:hAnsi="Times New Roman" w:eastAsia="宋体" w:cs="Times New Roman"/>
                      <w:color w:val="auto"/>
                      <w:spacing w:val="3"/>
                      <w:szCs w:val="21"/>
                    </w:rPr>
                    <w:t>级</w:t>
                  </w:r>
                </w:p>
              </w:tc>
            </w:tr>
            <w:tr w14:paraId="70C8EB5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455" w:type="pct"/>
                  <w:gridSpan w:val="2"/>
                  <w:noWrap w:val="0"/>
                  <w:vAlign w:val="center"/>
                </w:tcPr>
                <w:p w14:paraId="723EB3A4">
                  <w:pP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3、选煤浮选药剂消耗/</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kg/t</w:t>
                  </w:r>
                  <w:r>
                    <w:rPr>
                      <w:rFonts w:hint="eastAsia" w:ascii="Times New Roman" w:hAnsi="Times New Roman" w:cs="Times New Roman"/>
                      <w:color w:val="auto"/>
                      <w:szCs w:val="21"/>
                      <w:lang w:eastAsia="zh-CN"/>
                    </w:rPr>
                    <w:t>）</w:t>
                  </w:r>
                </w:p>
              </w:tc>
              <w:tc>
                <w:tcPr>
                  <w:tcW w:w="2037" w:type="pct"/>
                  <w:noWrap w:val="0"/>
                  <w:vAlign w:val="center"/>
                </w:tcPr>
                <w:p w14:paraId="796483EA">
                  <w:pPr>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pacing w:val="-6"/>
                      <w:szCs w:val="21"/>
                      <w:lang w:val="en-US" w:eastAsia="zh-CN"/>
                    </w:rPr>
                    <w:t>1.5</w:t>
                  </w:r>
                </w:p>
              </w:tc>
              <w:tc>
                <w:tcPr>
                  <w:tcW w:w="507" w:type="pct"/>
                  <w:noWrap w:val="0"/>
                  <w:vAlign w:val="center"/>
                </w:tcPr>
                <w:p w14:paraId="1F7907D1">
                  <w:pPr>
                    <w:jc w:val="center"/>
                    <w:rPr>
                      <w:rFonts w:hint="default" w:ascii="Times New Roman" w:hAnsi="Times New Roman" w:eastAsia="宋体" w:cs="Times New Roman"/>
                      <w:color w:val="auto"/>
                      <w:szCs w:val="21"/>
                    </w:rPr>
                  </w:pPr>
                  <w:r>
                    <w:rPr>
                      <w:rFonts w:hint="eastAsia" w:ascii="Times New Roman" w:hAnsi="Times New Roman" w:cs="Times New Roman"/>
                      <w:color w:val="auto"/>
                      <w:spacing w:val="4"/>
                      <w:szCs w:val="21"/>
                      <w:lang w:eastAsia="zh-CN"/>
                    </w:rPr>
                    <w:t>二</w:t>
                  </w:r>
                  <w:r>
                    <w:rPr>
                      <w:rFonts w:hint="default" w:ascii="Times New Roman" w:hAnsi="Times New Roman" w:eastAsia="宋体" w:cs="Times New Roman"/>
                      <w:color w:val="auto"/>
                      <w:spacing w:val="4"/>
                      <w:szCs w:val="21"/>
                    </w:rPr>
                    <w:t>级</w:t>
                  </w:r>
                </w:p>
              </w:tc>
            </w:tr>
            <w:tr w14:paraId="4B495B7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455" w:type="pct"/>
                  <w:gridSpan w:val="2"/>
                  <w:noWrap w:val="0"/>
                  <w:vAlign w:val="center"/>
                </w:tcPr>
                <w:p w14:paraId="3C7F316B">
                  <w:pP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w:t>
                  </w:r>
                  <w:r>
                    <w:rPr>
                      <w:rFonts w:hint="default" w:ascii="Times New Roman" w:hAnsi="Times New Roman" w:eastAsia="宋体" w:cs="Times New Roman"/>
                      <w:color w:val="auto"/>
                      <w:szCs w:val="21"/>
                    </w:rPr>
                    <w:t>选煤</w:t>
                  </w:r>
                  <w:r>
                    <w:rPr>
                      <w:rFonts w:hint="eastAsia" w:ascii="Times New Roman" w:hAnsi="Times New Roman" w:cs="Times New Roman"/>
                      <w:color w:val="auto"/>
                      <w:szCs w:val="21"/>
                      <w:lang w:eastAsia="zh-CN"/>
                    </w:rPr>
                    <w:t>重介质</w:t>
                  </w:r>
                  <w:r>
                    <w:rPr>
                      <w:rFonts w:hint="default" w:ascii="Times New Roman" w:hAnsi="Times New Roman" w:eastAsia="宋体" w:cs="Times New Roman"/>
                      <w:color w:val="auto"/>
                      <w:szCs w:val="21"/>
                    </w:rPr>
                    <w:t>消耗/</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kg/t</w:t>
                  </w:r>
                  <w:r>
                    <w:rPr>
                      <w:rFonts w:hint="eastAsia" w:ascii="Times New Roman" w:hAnsi="Times New Roman" w:cs="Times New Roman"/>
                      <w:color w:val="auto"/>
                      <w:szCs w:val="21"/>
                      <w:lang w:eastAsia="zh-CN"/>
                    </w:rPr>
                    <w:t>）</w:t>
                  </w:r>
                </w:p>
              </w:tc>
              <w:tc>
                <w:tcPr>
                  <w:tcW w:w="2037" w:type="pct"/>
                  <w:noWrap w:val="0"/>
                  <w:vAlign w:val="center"/>
                </w:tcPr>
                <w:p w14:paraId="1769963B">
                  <w:pPr>
                    <w:jc w:val="center"/>
                    <w:rPr>
                      <w:rFonts w:hint="default" w:ascii="Times New Roman" w:hAnsi="Times New Roman" w:eastAsia="宋体" w:cs="Times New Roman"/>
                      <w:color w:val="auto"/>
                      <w:spacing w:val="-6"/>
                      <w:szCs w:val="21"/>
                      <w:lang w:val="en-US" w:eastAsia="zh-CN"/>
                    </w:rPr>
                  </w:pPr>
                  <w:r>
                    <w:rPr>
                      <w:rFonts w:hint="eastAsia" w:ascii="Times New Roman" w:hAnsi="Times New Roman" w:cs="Times New Roman"/>
                      <w:color w:val="auto"/>
                      <w:spacing w:val="-6"/>
                      <w:szCs w:val="21"/>
                      <w:lang w:val="en-US" w:eastAsia="zh-CN"/>
                    </w:rPr>
                    <w:t>0.85</w:t>
                  </w:r>
                </w:p>
              </w:tc>
              <w:tc>
                <w:tcPr>
                  <w:tcW w:w="507" w:type="pct"/>
                  <w:noWrap w:val="0"/>
                  <w:vAlign w:val="center"/>
                </w:tcPr>
                <w:p w14:paraId="1D6909F5">
                  <w:pPr>
                    <w:jc w:val="center"/>
                    <w:rPr>
                      <w:rFonts w:hint="eastAsia" w:ascii="Times New Roman" w:hAnsi="Times New Roman" w:eastAsia="宋体" w:cs="Times New Roman"/>
                      <w:color w:val="auto"/>
                      <w:spacing w:val="4"/>
                      <w:szCs w:val="21"/>
                      <w:lang w:eastAsia="zh-CN"/>
                    </w:rPr>
                  </w:pPr>
                  <w:r>
                    <w:rPr>
                      <w:rFonts w:hint="eastAsia" w:ascii="Times New Roman" w:hAnsi="Times New Roman" w:cs="Times New Roman"/>
                      <w:color w:val="auto"/>
                      <w:spacing w:val="4"/>
                      <w:szCs w:val="21"/>
                      <w:lang w:eastAsia="zh-CN"/>
                    </w:rPr>
                    <w:t>一级</w:t>
                  </w:r>
                </w:p>
              </w:tc>
            </w:tr>
            <w:tr w14:paraId="398D9B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5000" w:type="pct"/>
                  <w:gridSpan w:val="4"/>
                  <w:noWrap w:val="0"/>
                  <w:vAlign w:val="center"/>
                </w:tcPr>
                <w:p w14:paraId="445295F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9"/>
                      <w:szCs w:val="21"/>
                    </w:rPr>
                    <w:t>三</w:t>
                  </w:r>
                  <w:r>
                    <w:rPr>
                      <w:rFonts w:hint="default" w:ascii="Times New Roman" w:hAnsi="Times New Roman" w:eastAsia="宋体" w:cs="Times New Roman"/>
                      <w:color w:val="auto"/>
                      <w:spacing w:val="8"/>
                      <w:szCs w:val="21"/>
                    </w:rPr>
                    <w:t>、产品指标</w:t>
                  </w:r>
                </w:p>
              </w:tc>
            </w:tr>
            <w:tr w14:paraId="647B603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455" w:type="pct"/>
                  <w:gridSpan w:val="2"/>
                  <w:noWrap w:val="0"/>
                  <w:vAlign w:val="center"/>
                </w:tcPr>
                <w:p w14:paraId="7716C42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7"/>
                      <w:szCs w:val="21"/>
                    </w:rPr>
                    <w:t>硫</w:t>
                  </w:r>
                  <w:r>
                    <w:rPr>
                      <w:rFonts w:hint="default" w:ascii="Times New Roman" w:hAnsi="Times New Roman" w:eastAsia="宋体" w:cs="Times New Roman"/>
                      <w:color w:val="auto"/>
                      <w:spacing w:val="5"/>
                      <w:szCs w:val="21"/>
                    </w:rPr>
                    <w:t>分%</w:t>
                  </w:r>
                </w:p>
              </w:tc>
              <w:tc>
                <w:tcPr>
                  <w:tcW w:w="2037" w:type="pct"/>
                  <w:noWrap w:val="0"/>
                  <w:vAlign w:val="center"/>
                </w:tcPr>
                <w:p w14:paraId="46372DE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pacing w:val="3"/>
                      <w:position w:val="1"/>
                      <w:szCs w:val="21"/>
                      <w:highlight w:val="none"/>
                    </w:rPr>
                    <w:t>≤</w:t>
                  </w:r>
                  <w:r>
                    <w:rPr>
                      <w:rFonts w:hint="eastAsia" w:ascii="Times New Roman" w:hAnsi="Times New Roman" w:cs="Times New Roman"/>
                      <w:color w:val="auto"/>
                      <w:spacing w:val="2"/>
                      <w:position w:val="1"/>
                      <w:szCs w:val="21"/>
                      <w:highlight w:val="none"/>
                      <w:lang w:val="en-US" w:eastAsia="zh-CN"/>
                    </w:rPr>
                    <w:t>0.5</w:t>
                  </w:r>
                </w:p>
              </w:tc>
              <w:tc>
                <w:tcPr>
                  <w:tcW w:w="507" w:type="pct"/>
                  <w:noWrap w:val="0"/>
                  <w:vAlign w:val="center"/>
                </w:tcPr>
                <w:p w14:paraId="2AC5258D">
                  <w:pPr>
                    <w:jc w:val="center"/>
                    <w:rPr>
                      <w:rFonts w:hint="default" w:ascii="Times New Roman" w:hAnsi="Times New Roman" w:eastAsia="宋体" w:cs="Times New Roman"/>
                      <w:color w:val="auto"/>
                      <w:szCs w:val="21"/>
                      <w:highlight w:val="none"/>
                    </w:rPr>
                  </w:pPr>
                  <w:r>
                    <w:rPr>
                      <w:rFonts w:hint="eastAsia" w:ascii="Times New Roman" w:hAnsi="Times New Roman" w:cs="Times New Roman"/>
                      <w:color w:val="auto"/>
                      <w:spacing w:val="3"/>
                      <w:szCs w:val="21"/>
                      <w:highlight w:val="none"/>
                      <w:lang w:eastAsia="zh-CN"/>
                    </w:rPr>
                    <w:t>一</w:t>
                  </w:r>
                  <w:r>
                    <w:rPr>
                      <w:rFonts w:hint="default" w:ascii="Times New Roman" w:hAnsi="Times New Roman" w:eastAsia="宋体" w:cs="Times New Roman"/>
                      <w:color w:val="auto"/>
                      <w:spacing w:val="4"/>
                      <w:szCs w:val="21"/>
                      <w:highlight w:val="none"/>
                    </w:rPr>
                    <w:t>级</w:t>
                  </w:r>
                </w:p>
              </w:tc>
            </w:tr>
            <w:tr w14:paraId="555FACE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455" w:type="pct"/>
                  <w:gridSpan w:val="2"/>
                  <w:noWrap w:val="0"/>
                  <w:vAlign w:val="center"/>
                </w:tcPr>
                <w:p w14:paraId="6E04B1C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5"/>
                      <w:szCs w:val="21"/>
                    </w:rPr>
                    <w:t>灰分</w:t>
                  </w:r>
                  <w:r>
                    <w:rPr>
                      <w:rFonts w:hint="default" w:ascii="Times New Roman" w:hAnsi="Times New Roman" w:eastAsia="宋体" w:cs="Times New Roman"/>
                      <w:color w:val="auto"/>
                      <w:spacing w:val="4"/>
                      <w:szCs w:val="21"/>
                    </w:rPr>
                    <w:t>%</w:t>
                  </w:r>
                </w:p>
              </w:tc>
              <w:tc>
                <w:tcPr>
                  <w:tcW w:w="2037" w:type="pct"/>
                  <w:noWrap w:val="0"/>
                  <w:vAlign w:val="center"/>
                </w:tcPr>
                <w:p w14:paraId="4ABFBF2C">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pacing w:val="3"/>
                      <w:position w:val="1"/>
                      <w:szCs w:val="21"/>
                    </w:rPr>
                    <w:t>≤</w:t>
                  </w:r>
                  <w:r>
                    <w:rPr>
                      <w:rFonts w:hint="eastAsia" w:ascii="Times New Roman" w:hAnsi="Times New Roman" w:cs="Times New Roman"/>
                      <w:color w:val="auto"/>
                      <w:spacing w:val="2"/>
                      <w:position w:val="1"/>
                      <w:szCs w:val="21"/>
                      <w:lang w:val="en-US" w:eastAsia="zh-CN"/>
                    </w:rPr>
                    <w:t>10.5</w:t>
                  </w:r>
                </w:p>
              </w:tc>
              <w:tc>
                <w:tcPr>
                  <w:tcW w:w="507" w:type="pct"/>
                  <w:noWrap w:val="0"/>
                  <w:vAlign w:val="center"/>
                </w:tcPr>
                <w:p w14:paraId="564D884D">
                  <w:pPr>
                    <w:jc w:val="center"/>
                    <w:rPr>
                      <w:rFonts w:hint="default" w:ascii="Times New Roman" w:hAnsi="Times New Roman" w:eastAsia="宋体" w:cs="Times New Roman"/>
                      <w:color w:val="auto"/>
                      <w:szCs w:val="21"/>
                    </w:rPr>
                  </w:pPr>
                  <w:r>
                    <w:rPr>
                      <w:rFonts w:hint="eastAsia" w:ascii="Times New Roman" w:hAnsi="Times New Roman" w:cs="Times New Roman"/>
                      <w:color w:val="auto"/>
                      <w:spacing w:val="3"/>
                      <w:szCs w:val="21"/>
                      <w:lang w:eastAsia="zh-CN"/>
                    </w:rPr>
                    <w:t>三</w:t>
                  </w:r>
                  <w:r>
                    <w:rPr>
                      <w:rFonts w:hint="default" w:ascii="Times New Roman" w:hAnsi="Times New Roman" w:eastAsia="宋体" w:cs="Times New Roman"/>
                      <w:color w:val="auto"/>
                      <w:spacing w:val="3"/>
                      <w:szCs w:val="21"/>
                    </w:rPr>
                    <w:t>级</w:t>
                  </w:r>
                </w:p>
              </w:tc>
            </w:tr>
            <w:tr w14:paraId="42E4D6C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000" w:type="pct"/>
                  <w:gridSpan w:val="4"/>
                  <w:noWrap w:val="0"/>
                  <w:vAlign w:val="center"/>
                </w:tcPr>
                <w:p w14:paraId="5545F530">
                  <w:pPr>
                    <w:jc w:val="cente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pacing w:val="9"/>
                      <w:szCs w:val="21"/>
                    </w:rPr>
                    <w:t>四</w:t>
                  </w:r>
                  <w:r>
                    <w:rPr>
                      <w:rFonts w:hint="default" w:ascii="Times New Roman" w:hAnsi="Times New Roman" w:eastAsia="宋体" w:cs="Times New Roman"/>
                      <w:color w:val="auto"/>
                      <w:spacing w:val="7"/>
                      <w:szCs w:val="21"/>
                    </w:rPr>
                    <w:t>、污染物生产指标</w:t>
                  </w:r>
                  <w:r>
                    <w:rPr>
                      <w:rFonts w:hint="eastAsia" w:ascii="Times New Roman" w:hAnsi="Times New Roman" w:cs="Times New Roman"/>
                      <w:color w:val="auto"/>
                      <w:spacing w:val="7"/>
                      <w:szCs w:val="21"/>
                      <w:lang w:eastAsia="zh-CN"/>
                    </w:rPr>
                    <w:t>（</w:t>
                  </w:r>
                  <w:r>
                    <w:rPr>
                      <w:rFonts w:hint="default" w:ascii="Times New Roman" w:hAnsi="Times New Roman" w:eastAsia="宋体" w:cs="Times New Roman"/>
                      <w:color w:val="auto"/>
                      <w:spacing w:val="7"/>
                      <w:szCs w:val="21"/>
                    </w:rPr>
                    <w:t>末端治理前</w:t>
                  </w:r>
                  <w:r>
                    <w:rPr>
                      <w:rFonts w:hint="eastAsia" w:ascii="Times New Roman" w:hAnsi="Times New Roman" w:cs="Times New Roman"/>
                      <w:color w:val="auto"/>
                      <w:spacing w:val="7"/>
                      <w:szCs w:val="21"/>
                      <w:lang w:eastAsia="zh-CN"/>
                    </w:rPr>
                    <w:t>）</w:t>
                  </w:r>
                </w:p>
              </w:tc>
            </w:tr>
            <w:tr w14:paraId="21940A1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2455" w:type="pct"/>
                  <w:gridSpan w:val="2"/>
                  <w:noWrap w:val="0"/>
                  <w:vAlign w:val="center"/>
                </w:tcPr>
                <w:p w14:paraId="24F2EBC8">
                  <w:pP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1、选煤废水化学需氧量产生量</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g/t</w:t>
                  </w:r>
                  <w:r>
                    <w:rPr>
                      <w:rFonts w:hint="eastAsia" w:ascii="Times New Roman" w:hAnsi="Times New Roman" w:cs="Times New Roman"/>
                      <w:color w:val="auto"/>
                      <w:szCs w:val="21"/>
                      <w:lang w:eastAsia="zh-CN"/>
                    </w:rPr>
                    <w:t>）</w:t>
                  </w:r>
                </w:p>
              </w:tc>
              <w:tc>
                <w:tcPr>
                  <w:tcW w:w="2037" w:type="pct"/>
                  <w:noWrap w:val="0"/>
                  <w:vAlign w:val="center"/>
                </w:tcPr>
                <w:p w14:paraId="5F08C569">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pacing w:val="-2"/>
                      <w:position w:val="1"/>
                      <w:szCs w:val="21"/>
                    </w:rPr>
                    <w:t>≤</w:t>
                  </w:r>
                  <w:r>
                    <w:rPr>
                      <w:rFonts w:hint="eastAsia" w:ascii="Times New Roman" w:hAnsi="Times New Roman" w:cs="Times New Roman"/>
                      <w:color w:val="auto"/>
                      <w:spacing w:val="-1"/>
                      <w:position w:val="1"/>
                      <w:szCs w:val="21"/>
                      <w:lang w:val="en-US" w:eastAsia="zh-CN"/>
                    </w:rPr>
                    <w:t>30</w:t>
                  </w:r>
                </w:p>
              </w:tc>
              <w:tc>
                <w:tcPr>
                  <w:tcW w:w="507" w:type="pct"/>
                  <w:noWrap w:val="0"/>
                  <w:vAlign w:val="center"/>
                </w:tcPr>
                <w:p w14:paraId="42626CA5">
                  <w:pPr>
                    <w:jc w:val="center"/>
                    <w:rPr>
                      <w:rFonts w:hint="default" w:ascii="Times New Roman" w:hAnsi="Times New Roman" w:eastAsia="宋体" w:cs="Times New Roman"/>
                      <w:color w:val="auto"/>
                      <w:szCs w:val="21"/>
                    </w:rPr>
                  </w:pPr>
                  <w:r>
                    <w:rPr>
                      <w:rFonts w:hint="eastAsia" w:ascii="Times New Roman" w:hAnsi="Times New Roman" w:cs="Times New Roman"/>
                      <w:color w:val="auto"/>
                      <w:spacing w:val="3"/>
                      <w:szCs w:val="21"/>
                      <w:lang w:eastAsia="zh-CN"/>
                    </w:rPr>
                    <w:t>二</w:t>
                  </w:r>
                  <w:r>
                    <w:rPr>
                      <w:rFonts w:hint="default" w:ascii="Times New Roman" w:hAnsi="Times New Roman" w:eastAsia="宋体" w:cs="Times New Roman"/>
                      <w:color w:val="auto"/>
                      <w:spacing w:val="3"/>
                      <w:szCs w:val="21"/>
                    </w:rPr>
                    <w:t>级</w:t>
                  </w:r>
                </w:p>
              </w:tc>
            </w:tr>
            <w:tr w14:paraId="5846DCE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2455" w:type="pct"/>
                  <w:gridSpan w:val="2"/>
                  <w:noWrap w:val="0"/>
                  <w:vAlign w:val="center"/>
                </w:tcPr>
                <w:p w14:paraId="1880E083">
                  <w:pP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2、选煤废水石油类产生量</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g/t</w:t>
                  </w:r>
                  <w:r>
                    <w:rPr>
                      <w:rFonts w:hint="eastAsia" w:ascii="Times New Roman" w:hAnsi="Times New Roman" w:cs="Times New Roman"/>
                      <w:color w:val="auto"/>
                      <w:szCs w:val="21"/>
                      <w:lang w:eastAsia="zh-CN"/>
                    </w:rPr>
                    <w:t>）</w:t>
                  </w:r>
                </w:p>
              </w:tc>
              <w:tc>
                <w:tcPr>
                  <w:tcW w:w="2037" w:type="pct"/>
                  <w:noWrap w:val="0"/>
                  <w:vAlign w:val="center"/>
                </w:tcPr>
                <w:p w14:paraId="3CB9D1C8">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pacing w:val="3"/>
                      <w:position w:val="1"/>
                      <w:szCs w:val="21"/>
                    </w:rPr>
                    <w:t>≤</w:t>
                  </w:r>
                  <w:r>
                    <w:rPr>
                      <w:rFonts w:hint="eastAsia" w:ascii="Times New Roman" w:hAnsi="Times New Roman" w:cs="Times New Roman"/>
                      <w:color w:val="auto"/>
                      <w:spacing w:val="2"/>
                      <w:position w:val="1"/>
                      <w:szCs w:val="21"/>
                      <w:lang w:val="en-US" w:eastAsia="zh-CN"/>
                    </w:rPr>
                    <w:t>1.5</w:t>
                  </w:r>
                </w:p>
              </w:tc>
              <w:tc>
                <w:tcPr>
                  <w:tcW w:w="507" w:type="pct"/>
                  <w:noWrap w:val="0"/>
                  <w:vAlign w:val="center"/>
                </w:tcPr>
                <w:p w14:paraId="48A4EAC5">
                  <w:pPr>
                    <w:jc w:val="center"/>
                    <w:rPr>
                      <w:rFonts w:hint="default" w:ascii="Times New Roman" w:hAnsi="Times New Roman" w:eastAsia="宋体" w:cs="Times New Roman"/>
                      <w:color w:val="auto"/>
                      <w:szCs w:val="21"/>
                    </w:rPr>
                  </w:pPr>
                  <w:r>
                    <w:rPr>
                      <w:rFonts w:hint="eastAsia" w:ascii="Times New Roman" w:hAnsi="Times New Roman" w:cs="Times New Roman"/>
                      <w:color w:val="auto"/>
                      <w:spacing w:val="4"/>
                      <w:position w:val="-1"/>
                      <w:szCs w:val="21"/>
                      <w:lang w:eastAsia="zh-CN"/>
                    </w:rPr>
                    <w:t>一</w:t>
                  </w:r>
                  <w:r>
                    <w:rPr>
                      <w:rFonts w:hint="default" w:ascii="Times New Roman" w:hAnsi="Times New Roman" w:eastAsia="宋体" w:cs="Times New Roman"/>
                      <w:color w:val="auto"/>
                      <w:spacing w:val="4"/>
                      <w:position w:val="-1"/>
                      <w:szCs w:val="21"/>
                    </w:rPr>
                    <w:t>级</w:t>
                  </w:r>
                </w:p>
              </w:tc>
            </w:tr>
            <w:tr w14:paraId="3CE1C6D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5" w:hRule="atLeast"/>
              </w:trPr>
              <w:tc>
                <w:tcPr>
                  <w:tcW w:w="2455" w:type="pct"/>
                  <w:gridSpan w:val="2"/>
                  <w:noWrap w:val="0"/>
                  <w:vAlign w:val="center"/>
                </w:tcPr>
                <w:p w14:paraId="2D65262F">
                  <w:pP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3、原煤筛分、破碎、转载点前含尘浓度</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mg/m</w:t>
                  </w:r>
                  <w:r>
                    <w:rPr>
                      <w:rFonts w:hint="default" w:ascii="Times New Roman" w:hAnsi="Times New Roman" w:eastAsia="宋体" w:cs="Times New Roman"/>
                      <w:color w:val="auto"/>
                      <w:szCs w:val="21"/>
                      <w:vertAlign w:val="superscript"/>
                    </w:rPr>
                    <w:t>3</w:t>
                  </w:r>
                  <w:r>
                    <w:rPr>
                      <w:rFonts w:hint="eastAsia" w:ascii="Times New Roman" w:hAnsi="Times New Roman" w:cs="Times New Roman"/>
                      <w:color w:val="auto"/>
                      <w:szCs w:val="21"/>
                      <w:lang w:eastAsia="zh-CN"/>
                    </w:rPr>
                    <w:t>）</w:t>
                  </w:r>
                </w:p>
              </w:tc>
              <w:tc>
                <w:tcPr>
                  <w:tcW w:w="2037" w:type="pct"/>
                  <w:noWrap w:val="0"/>
                  <w:vAlign w:val="center"/>
                </w:tcPr>
                <w:p w14:paraId="264C433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2"/>
                      <w:position w:val="1"/>
                      <w:szCs w:val="21"/>
                    </w:rPr>
                    <w:t>≤4</w:t>
                  </w:r>
                  <w:r>
                    <w:rPr>
                      <w:rFonts w:hint="default" w:ascii="Times New Roman" w:hAnsi="Times New Roman" w:eastAsia="宋体" w:cs="Times New Roman"/>
                      <w:color w:val="auto"/>
                      <w:spacing w:val="1"/>
                      <w:position w:val="1"/>
                      <w:szCs w:val="21"/>
                    </w:rPr>
                    <w:t>000</w:t>
                  </w:r>
                </w:p>
              </w:tc>
              <w:tc>
                <w:tcPr>
                  <w:tcW w:w="507" w:type="pct"/>
                  <w:noWrap w:val="0"/>
                  <w:vAlign w:val="center"/>
                </w:tcPr>
                <w:p w14:paraId="7894B42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4"/>
                      <w:position w:val="2"/>
                      <w:szCs w:val="21"/>
                    </w:rPr>
                    <w:t>一级</w:t>
                  </w:r>
                </w:p>
              </w:tc>
            </w:tr>
            <w:tr w14:paraId="34D09F7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22" w:hRule="atLeast"/>
              </w:trPr>
              <w:tc>
                <w:tcPr>
                  <w:tcW w:w="2455" w:type="pct"/>
                  <w:gridSpan w:val="2"/>
                  <w:noWrap w:val="0"/>
                  <w:vAlign w:val="center"/>
                </w:tcPr>
                <w:p w14:paraId="76EC6364">
                  <w:pP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4、煤炭风选设备通风管道、筛面、转载点等除尘设备前的含</w:t>
                  </w:r>
                  <w:bookmarkStart w:id="67" w:name="_GoBack"/>
                  <w:bookmarkEnd w:id="67"/>
                  <w:r>
                    <w:rPr>
                      <w:rFonts w:hint="default" w:ascii="Times New Roman" w:hAnsi="Times New Roman" w:eastAsia="宋体" w:cs="Times New Roman"/>
                      <w:color w:val="auto"/>
                      <w:szCs w:val="21"/>
                    </w:rPr>
                    <w:t>尘浓度</w:t>
                  </w:r>
                  <w:r>
                    <w:rPr>
                      <w:rFonts w:hint="eastAsia" w:ascii="Times New Roman" w:hAnsi="Times New Roman" w:cs="Times New Roman"/>
                      <w:color w:val="auto"/>
                      <w:szCs w:val="21"/>
                      <w:lang w:eastAsia="zh-CN"/>
                    </w:rPr>
                    <w:t>（</w:t>
                  </w:r>
                  <w:r>
                    <w:rPr>
                      <w:rFonts w:hint="default" w:ascii="Times New Roman" w:hAnsi="Times New Roman" w:eastAsia="宋体" w:cs="Times New Roman"/>
                      <w:color w:val="auto"/>
                      <w:szCs w:val="21"/>
                    </w:rPr>
                    <w:t>mg/m</w:t>
                  </w:r>
                  <w:r>
                    <w:rPr>
                      <w:rFonts w:hint="default" w:ascii="Times New Roman" w:hAnsi="Times New Roman" w:eastAsia="宋体" w:cs="Times New Roman"/>
                      <w:color w:val="auto"/>
                      <w:szCs w:val="21"/>
                      <w:vertAlign w:val="superscript"/>
                    </w:rPr>
                    <w:t>3</w:t>
                  </w:r>
                  <w:r>
                    <w:rPr>
                      <w:rFonts w:hint="eastAsia" w:ascii="Times New Roman" w:hAnsi="Times New Roman" w:cs="Times New Roman"/>
                      <w:color w:val="auto"/>
                      <w:szCs w:val="21"/>
                      <w:lang w:eastAsia="zh-CN"/>
                    </w:rPr>
                    <w:t>）</w:t>
                  </w:r>
                </w:p>
              </w:tc>
              <w:tc>
                <w:tcPr>
                  <w:tcW w:w="2037" w:type="pct"/>
                  <w:noWrap w:val="0"/>
                  <w:vAlign w:val="center"/>
                </w:tcPr>
                <w:p w14:paraId="77E35EF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2"/>
                      <w:position w:val="1"/>
                      <w:szCs w:val="21"/>
                    </w:rPr>
                    <w:t>≤4</w:t>
                  </w:r>
                  <w:r>
                    <w:rPr>
                      <w:rFonts w:hint="default" w:ascii="Times New Roman" w:hAnsi="Times New Roman" w:eastAsia="宋体" w:cs="Times New Roman"/>
                      <w:color w:val="auto"/>
                      <w:spacing w:val="1"/>
                      <w:position w:val="1"/>
                      <w:szCs w:val="21"/>
                    </w:rPr>
                    <w:t>000</w:t>
                  </w:r>
                </w:p>
              </w:tc>
              <w:tc>
                <w:tcPr>
                  <w:tcW w:w="507" w:type="pct"/>
                  <w:noWrap w:val="0"/>
                  <w:vAlign w:val="center"/>
                </w:tcPr>
                <w:p w14:paraId="229571F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4"/>
                      <w:position w:val="2"/>
                      <w:szCs w:val="21"/>
                    </w:rPr>
                    <w:t>一级</w:t>
                  </w:r>
                </w:p>
              </w:tc>
            </w:tr>
            <w:tr w14:paraId="3B03560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5000" w:type="pct"/>
                  <w:gridSpan w:val="4"/>
                  <w:noWrap w:val="0"/>
                  <w:vAlign w:val="center"/>
                </w:tcPr>
                <w:p w14:paraId="0BA5390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14"/>
                      <w:szCs w:val="21"/>
                    </w:rPr>
                    <w:t>五</w:t>
                  </w:r>
                  <w:r>
                    <w:rPr>
                      <w:rFonts w:hint="default" w:ascii="Times New Roman" w:hAnsi="Times New Roman" w:eastAsia="宋体" w:cs="Times New Roman"/>
                      <w:color w:val="auto"/>
                      <w:spacing w:val="8"/>
                      <w:szCs w:val="21"/>
                    </w:rPr>
                    <w:t>、废物回收利用指标</w:t>
                  </w:r>
                </w:p>
              </w:tc>
            </w:tr>
            <w:tr w14:paraId="566F2BD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2455" w:type="pct"/>
                  <w:gridSpan w:val="2"/>
                  <w:noWrap w:val="0"/>
                  <w:vAlign w:val="center"/>
                </w:tcPr>
                <w:p w14:paraId="54D8D9FE">
                  <w:pPr>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8"/>
                      <w:position w:val="1"/>
                      <w:szCs w:val="21"/>
                    </w:rPr>
                    <w:t>当年产生的煤矸石综合利用率/</w:t>
                  </w:r>
                  <w:r>
                    <w:rPr>
                      <w:rFonts w:hint="default" w:ascii="Times New Roman" w:hAnsi="Times New Roman" w:eastAsia="宋体" w:cs="Times New Roman"/>
                      <w:color w:val="auto"/>
                      <w:spacing w:val="7"/>
                      <w:position w:val="1"/>
                      <w:szCs w:val="21"/>
                    </w:rPr>
                    <w:t>%</w:t>
                  </w:r>
                </w:p>
              </w:tc>
              <w:tc>
                <w:tcPr>
                  <w:tcW w:w="2037" w:type="pct"/>
                  <w:noWrap w:val="0"/>
                  <w:vAlign w:val="center"/>
                </w:tcPr>
                <w:p w14:paraId="753A158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1"/>
                      <w:position w:val="1"/>
                      <w:szCs w:val="21"/>
                    </w:rPr>
                    <w:t>100</w:t>
                  </w:r>
                  <w:r>
                    <w:rPr>
                      <w:rFonts w:hint="default" w:ascii="Times New Roman" w:hAnsi="Times New Roman" w:eastAsia="宋体" w:cs="Times New Roman"/>
                      <w:color w:val="auto"/>
                      <w:position w:val="1"/>
                      <w:szCs w:val="21"/>
                    </w:rPr>
                    <w:t>%</w:t>
                  </w:r>
                </w:p>
              </w:tc>
              <w:tc>
                <w:tcPr>
                  <w:tcW w:w="507" w:type="pct"/>
                  <w:noWrap w:val="0"/>
                  <w:vAlign w:val="center"/>
                </w:tcPr>
                <w:p w14:paraId="5CD47793">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4"/>
                      <w:position w:val="-1"/>
                      <w:szCs w:val="21"/>
                    </w:rPr>
                    <w:t>一级</w:t>
                  </w:r>
                </w:p>
              </w:tc>
            </w:tr>
            <w:tr w14:paraId="3E49E55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000" w:type="pct"/>
                  <w:gridSpan w:val="4"/>
                  <w:noWrap w:val="0"/>
                  <w:vAlign w:val="center"/>
                </w:tcPr>
                <w:p w14:paraId="23707FBA">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11"/>
                      <w:szCs w:val="21"/>
                    </w:rPr>
                    <w:t>六</w:t>
                  </w:r>
                  <w:r>
                    <w:rPr>
                      <w:rFonts w:hint="default" w:ascii="Times New Roman" w:hAnsi="Times New Roman" w:eastAsia="宋体" w:cs="Times New Roman"/>
                      <w:color w:val="auto"/>
                      <w:spacing w:val="8"/>
                      <w:szCs w:val="21"/>
                    </w:rPr>
                    <w:t>、环境管理要求</w:t>
                  </w:r>
                </w:p>
              </w:tc>
            </w:tr>
            <w:tr w14:paraId="7C94707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533" w:hRule="atLeast"/>
              </w:trPr>
              <w:tc>
                <w:tcPr>
                  <w:tcW w:w="2455" w:type="pct"/>
                  <w:gridSpan w:val="2"/>
                  <w:noWrap w:val="0"/>
                  <w:vAlign w:val="center"/>
                </w:tcPr>
                <w:p w14:paraId="39823A2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1、环境法律法规标准</w:t>
                  </w:r>
                </w:p>
              </w:tc>
              <w:tc>
                <w:tcPr>
                  <w:tcW w:w="2037" w:type="pct"/>
                  <w:noWrap w:val="0"/>
                  <w:vAlign w:val="center"/>
                </w:tcPr>
                <w:p w14:paraId="628178C2">
                  <w:pPr>
                    <w:jc w:val="both"/>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符合国家、地方和行业有关法律、法规、规范、产业政策、技术标准要求，污染物排放达到国家、地方和行业排放标准、满足污染物总量控制和排污许可证管理要求</w:t>
                  </w:r>
                </w:p>
              </w:tc>
              <w:tc>
                <w:tcPr>
                  <w:tcW w:w="507" w:type="pct"/>
                  <w:noWrap w:val="0"/>
                  <w:vAlign w:val="center"/>
                </w:tcPr>
                <w:p w14:paraId="4F00A6F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3"/>
                      <w:szCs w:val="21"/>
                    </w:rPr>
                    <w:t>二级</w:t>
                  </w:r>
                </w:p>
              </w:tc>
            </w:tr>
            <w:tr w14:paraId="0046679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21" w:hRule="atLeast"/>
              </w:trPr>
              <w:tc>
                <w:tcPr>
                  <w:tcW w:w="2455" w:type="pct"/>
                  <w:gridSpan w:val="2"/>
                  <w:noWrap w:val="0"/>
                  <w:vAlign w:val="center"/>
                </w:tcPr>
                <w:p w14:paraId="6757521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2、环境管理审核</w:t>
                  </w:r>
                </w:p>
              </w:tc>
              <w:tc>
                <w:tcPr>
                  <w:tcW w:w="2037" w:type="pct"/>
                  <w:noWrap w:val="0"/>
                  <w:vAlign w:val="center"/>
                </w:tcPr>
                <w:p w14:paraId="0B929C28">
                  <w:pPr>
                    <w:jc w:val="both"/>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按照GB/T24001建立并运行环境管理体系，环境管理手册、程序文件及作业文件较齐全</w:t>
                  </w:r>
                </w:p>
              </w:tc>
              <w:tc>
                <w:tcPr>
                  <w:tcW w:w="507" w:type="pct"/>
                  <w:noWrap w:val="0"/>
                  <w:vAlign w:val="center"/>
                </w:tcPr>
                <w:p w14:paraId="2E8B5A2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3"/>
                      <w:szCs w:val="21"/>
                    </w:rPr>
                    <w:t>二级</w:t>
                  </w:r>
                </w:p>
              </w:tc>
            </w:tr>
            <w:tr w14:paraId="42B8979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01" w:hRule="atLeast"/>
              </w:trPr>
              <w:tc>
                <w:tcPr>
                  <w:tcW w:w="850" w:type="pct"/>
                  <w:noWrap w:val="0"/>
                  <w:vAlign w:val="center"/>
                </w:tcPr>
                <w:p w14:paraId="121FD6B9">
                  <w:pPr>
                    <w:jc w:val="center"/>
                    <w:rPr>
                      <w:rFonts w:hint="default" w:ascii="Times New Roman" w:hAnsi="Times New Roman" w:eastAsia="宋体" w:cs="Times New Roman"/>
                      <w:color w:val="auto"/>
                      <w:szCs w:val="21"/>
                      <w:highlight w:val="none"/>
                    </w:rPr>
                  </w:pPr>
                  <w:r>
                    <w:rPr>
                      <w:rFonts w:hint="eastAsia" w:ascii="Times New Roman" w:hAnsi="Times New Roman" w:cs="Times New Roman"/>
                      <w:color w:val="auto"/>
                      <w:szCs w:val="21"/>
                      <w:highlight w:val="none"/>
                      <w:lang w:val="en-US" w:eastAsia="zh-CN"/>
                    </w:rPr>
                    <w:t>3</w:t>
                  </w:r>
                  <w:r>
                    <w:rPr>
                      <w:rFonts w:hint="default" w:ascii="Times New Roman" w:hAnsi="Times New Roman" w:eastAsia="宋体" w:cs="Times New Roman"/>
                      <w:color w:val="auto"/>
                      <w:szCs w:val="21"/>
                      <w:highlight w:val="none"/>
                    </w:rPr>
                    <w:t>、废物处置</w:t>
                  </w:r>
                </w:p>
              </w:tc>
              <w:tc>
                <w:tcPr>
                  <w:tcW w:w="3641" w:type="pct"/>
                  <w:gridSpan w:val="2"/>
                  <w:noWrap w:val="0"/>
                  <w:vAlign w:val="center"/>
                </w:tcPr>
                <w:p w14:paraId="13157C6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对不能综合利用的煤矸石设专门的煤矸石处置场所，并按GB20426、GB18599的要求进行处置</w:t>
                  </w:r>
                </w:p>
              </w:tc>
              <w:tc>
                <w:tcPr>
                  <w:tcW w:w="507" w:type="pct"/>
                  <w:noWrap w:val="0"/>
                  <w:vAlign w:val="center"/>
                </w:tcPr>
                <w:p w14:paraId="54D4041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4"/>
                      <w:position w:val="2"/>
                      <w:szCs w:val="21"/>
                    </w:rPr>
                    <w:t>一级</w:t>
                  </w:r>
                </w:p>
              </w:tc>
            </w:tr>
            <w:tr w14:paraId="559F684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22" w:hRule="atLeast"/>
              </w:trPr>
              <w:tc>
                <w:tcPr>
                  <w:tcW w:w="850" w:type="pct"/>
                  <w:vMerge w:val="restart"/>
                  <w:noWrap w:val="0"/>
                  <w:vAlign w:val="center"/>
                </w:tcPr>
                <w:p w14:paraId="4C5B314B">
                  <w:pPr>
                    <w:jc w:val="center"/>
                    <w:rPr>
                      <w:rFonts w:hint="default" w:ascii="Times New Roman" w:hAnsi="Times New Roman" w:eastAsia="宋体" w:cs="Times New Roman"/>
                      <w:color w:val="auto"/>
                      <w:szCs w:val="21"/>
                      <w:highlight w:val="none"/>
                    </w:rPr>
                  </w:pPr>
                  <w:r>
                    <w:rPr>
                      <w:rFonts w:hint="eastAsia" w:ascii="Times New Roman" w:hAnsi="Times New Roman" w:cs="Times New Roman"/>
                      <w:color w:val="auto"/>
                      <w:szCs w:val="21"/>
                      <w:highlight w:val="none"/>
                      <w:lang w:val="en-US" w:eastAsia="zh-CN"/>
                    </w:rPr>
                    <w:t>4</w:t>
                  </w:r>
                  <w:r>
                    <w:rPr>
                      <w:rFonts w:hint="default" w:ascii="Times New Roman" w:hAnsi="Times New Roman" w:eastAsia="宋体" w:cs="Times New Roman"/>
                      <w:color w:val="auto"/>
                      <w:szCs w:val="21"/>
                      <w:highlight w:val="none"/>
                    </w:rPr>
                    <w:t>、环境管理</w:t>
                  </w:r>
                </w:p>
              </w:tc>
              <w:tc>
                <w:tcPr>
                  <w:tcW w:w="1604" w:type="pct"/>
                  <w:noWrap w:val="0"/>
                  <w:vAlign w:val="center"/>
                </w:tcPr>
                <w:p w14:paraId="48AB542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环境保护管理机构</w:t>
                  </w:r>
                </w:p>
              </w:tc>
              <w:tc>
                <w:tcPr>
                  <w:tcW w:w="2037" w:type="pct"/>
                  <w:noWrap w:val="0"/>
                  <w:vAlign w:val="center"/>
                </w:tcPr>
                <w:p w14:paraId="058240DE">
                  <w:pPr>
                    <w:jc w:val="both"/>
                    <w:rPr>
                      <w:rFonts w:hint="default" w:ascii="Times New Roman" w:hAnsi="Times New Roman" w:eastAsia="宋体" w:cs="Times New Roman"/>
                      <w:color w:val="auto"/>
                      <w:spacing w:val="8"/>
                      <w:position w:val="1"/>
                      <w:szCs w:val="21"/>
                    </w:rPr>
                  </w:pPr>
                  <w:r>
                    <w:rPr>
                      <w:rFonts w:hint="default" w:ascii="Times New Roman" w:hAnsi="Times New Roman" w:eastAsia="宋体" w:cs="Times New Roman"/>
                      <w:color w:val="auto"/>
                      <w:spacing w:val="8"/>
                      <w:position w:val="1"/>
                      <w:szCs w:val="21"/>
                    </w:rPr>
                    <w:t>有专门环保管理机构配备专职管理人员</w:t>
                  </w:r>
                </w:p>
              </w:tc>
              <w:tc>
                <w:tcPr>
                  <w:tcW w:w="507" w:type="pct"/>
                  <w:noWrap w:val="0"/>
                  <w:vAlign w:val="center"/>
                </w:tcPr>
                <w:p w14:paraId="4D1A115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4"/>
                      <w:position w:val="2"/>
                      <w:szCs w:val="21"/>
                    </w:rPr>
                    <w:t>一级</w:t>
                  </w:r>
                </w:p>
              </w:tc>
            </w:tr>
            <w:tr w14:paraId="2EDD428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22" w:hRule="atLeast"/>
              </w:trPr>
              <w:tc>
                <w:tcPr>
                  <w:tcW w:w="850" w:type="pct"/>
                  <w:vMerge w:val="continue"/>
                  <w:noWrap w:val="0"/>
                  <w:vAlign w:val="center"/>
                </w:tcPr>
                <w:p w14:paraId="6EE7722A">
                  <w:pPr>
                    <w:jc w:val="center"/>
                    <w:rPr>
                      <w:rFonts w:hint="default" w:ascii="Times New Roman" w:hAnsi="Times New Roman" w:eastAsia="宋体" w:cs="Times New Roman"/>
                      <w:color w:val="auto"/>
                      <w:szCs w:val="21"/>
                    </w:rPr>
                  </w:pPr>
                </w:p>
              </w:tc>
              <w:tc>
                <w:tcPr>
                  <w:tcW w:w="1604" w:type="pct"/>
                  <w:noWrap w:val="0"/>
                  <w:vAlign w:val="center"/>
                </w:tcPr>
                <w:p w14:paraId="1CB92EA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环境管理制度环境</w:t>
                  </w:r>
                </w:p>
              </w:tc>
              <w:tc>
                <w:tcPr>
                  <w:tcW w:w="2037" w:type="pct"/>
                  <w:noWrap w:val="0"/>
                  <w:vAlign w:val="center"/>
                </w:tcPr>
                <w:p w14:paraId="4EF95981">
                  <w:pPr>
                    <w:jc w:val="both"/>
                    <w:rPr>
                      <w:rFonts w:hint="default" w:ascii="Times New Roman" w:hAnsi="Times New Roman" w:eastAsia="宋体" w:cs="Times New Roman"/>
                      <w:color w:val="auto"/>
                      <w:spacing w:val="8"/>
                      <w:position w:val="1"/>
                      <w:szCs w:val="21"/>
                    </w:rPr>
                  </w:pPr>
                  <w:r>
                    <w:rPr>
                      <w:rFonts w:hint="default" w:ascii="Times New Roman" w:hAnsi="Times New Roman" w:eastAsia="宋体" w:cs="Times New Roman"/>
                      <w:color w:val="auto"/>
                      <w:spacing w:val="8"/>
                      <w:position w:val="1"/>
                      <w:szCs w:val="21"/>
                    </w:rPr>
                    <w:t>管理制度健全、完善，并纳入日常管理</w:t>
                  </w:r>
                </w:p>
              </w:tc>
              <w:tc>
                <w:tcPr>
                  <w:tcW w:w="507" w:type="pct"/>
                  <w:noWrap w:val="0"/>
                  <w:vAlign w:val="center"/>
                </w:tcPr>
                <w:p w14:paraId="7CC13A7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4"/>
                      <w:position w:val="2"/>
                      <w:szCs w:val="21"/>
                    </w:rPr>
                    <w:t>一级</w:t>
                  </w:r>
                </w:p>
              </w:tc>
            </w:tr>
            <w:tr w14:paraId="3BB60F4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092" w:hRule="atLeast"/>
              </w:trPr>
              <w:tc>
                <w:tcPr>
                  <w:tcW w:w="850" w:type="pct"/>
                  <w:vMerge w:val="continue"/>
                  <w:noWrap w:val="0"/>
                  <w:vAlign w:val="center"/>
                </w:tcPr>
                <w:p w14:paraId="64AE7274">
                  <w:pPr>
                    <w:jc w:val="center"/>
                    <w:rPr>
                      <w:rFonts w:hint="default" w:ascii="Times New Roman" w:hAnsi="Times New Roman" w:eastAsia="宋体" w:cs="Times New Roman"/>
                      <w:color w:val="auto"/>
                      <w:szCs w:val="21"/>
                    </w:rPr>
                  </w:pPr>
                </w:p>
              </w:tc>
              <w:tc>
                <w:tcPr>
                  <w:tcW w:w="1604" w:type="pct"/>
                  <w:noWrap w:val="0"/>
                  <w:vAlign w:val="center"/>
                </w:tcPr>
                <w:p w14:paraId="14FC9E4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环境管理计划</w:t>
                  </w:r>
                </w:p>
              </w:tc>
              <w:tc>
                <w:tcPr>
                  <w:tcW w:w="2037" w:type="pct"/>
                  <w:noWrap w:val="0"/>
                  <w:vAlign w:val="center"/>
                </w:tcPr>
                <w:p w14:paraId="3191217C">
                  <w:pPr>
                    <w:jc w:val="both"/>
                    <w:rPr>
                      <w:rFonts w:hint="default" w:ascii="Times New Roman" w:hAnsi="Times New Roman" w:eastAsia="宋体" w:cs="Times New Roman"/>
                      <w:color w:val="auto"/>
                      <w:spacing w:val="8"/>
                      <w:position w:val="1"/>
                      <w:szCs w:val="21"/>
                    </w:rPr>
                  </w:pPr>
                  <w:r>
                    <w:rPr>
                      <w:rFonts w:hint="default" w:ascii="Times New Roman" w:hAnsi="Times New Roman" w:eastAsia="宋体" w:cs="Times New Roman"/>
                      <w:color w:val="auto"/>
                      <w:spacing w:val="8"/>
                      <w:position w:val="1"/>
                      <w:szCs w:val="21"/>
                    </w:rPr>
                    <w:t>制定近、远期计划，包括煤矸石、煤泥处置及综合利用计划，具备环境影响评价文件的批复和环境保护设施</w:t>
                  </w:r>
                  <w:r>
                    <w:rPr>
                      <w:rFonts w:hint="eastAsia" w:ascii="Times New Roman" w:hAnsi="Times New Roman" w:cs="Times New Roman"/>
                      <w:color w:val="auto"/>
                      <w:spacing w:val="8"/>
                      <w:position w:val="1"/>
                      <w:szCs w:val="21"/>
                      <w:lang w:eastAsia="zh-CN"/>
                    </w:rPr>
                    <w:t>“</w:t>
                  </w:r>
                  <w:r>
                    <w:rPr>
                      <w:rFonts w:hint="default" w:ascii="Times New Roman" w:hAnsi="Times New Roman" w:eastAsia="宋体" w:cs="Times New Roman"/>
                      <w:color w:val="auto"/>
                      <w:spacing w:val="8"/>
                      <w:position w:val="1"/>
                      <w:szCs w:val="21"/>
                    </w:rPr>
                    <w:t>三同时</w:t>
                  </w:r>
                  <w:r>
                    <w:rPr>
                      <w:rFonts w:hint="eastAsia" w:ascii="Times New Roman" w:hAnsi="Times New Roman" w:cs="Times New Roman"/>
                      <w:color w:val="auto"/>
                      <w:spacing w:val="8"/>
                      <w:position w:val="1"/>
                      <w:szCs w:val="21"/>
                      <w:lang w:eastAsia="zh-CN"/>
                    </w:rPr>
                    <w:t>”</w:t>
                  </w:r>
                  <w:r>
                    <w:rPr>
                      <w:rFonts w:hint="default" w:ascii="Times New Roman" w:hAnsi="Times New Roman" w:eastAsia="宋体" w:cs="Times New Roman"/>
                      <w:color w:val="auto"/>
                      <w:spacing w:val="8"/>
                      <w:position w:val="1"/>
                      <w:szCs w:val="21"/>
                    </w:rPr>
                    <w:t>验收合格文件</w:t>
                  </w:r>
                </w:p>
              </w:tc>
              <w:tc>
                <w:tcPr>
                  <w:tcW w:w="507" w:type="pct"/>
                  <w:noWrap w:val="0"/>
                  <w:vAlign w:val="center"/>
                </w:tcPr>
                <w:p w14:paraId="2A0BDB5B">
                  <w:pPr>
                    <w:jc w:val="center"/>
                    <w:rPr>
                      <w:rFonts w:hint="default" w:ascii="Times New Roman" w:hAnsi="Times New Roman" w:eastAsia="宋体" w:cs="Times New Roman"/>
                      <w:color w:val="auto"/>
                      <w:szCs w:val="21"/>
                    </w:rPr>
                  </w:pPr>
                </w:p>
                <w:p w14:paraId="1CF5A61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4"/>
                      <w:position w:val="2"/>
                      <w:szCs w:val="21"/>
                    </w:rPr>
                    <w:t>一级</w:t>
                  </w:r>
                </w:p>
              </w:tc>
            </w:tr>
            <w:tr w14:paraId="05A857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40" w:hRule="atLeast"/>
              </w:trPr>
              <w:tc>
                <w:tcPr>
                  <w:tcW w:w="850" w:type="pct"/>
                  <w:vMerge w:val="continue"/>
                  <w:noWrap w:val="0"/>
                  <w:vAlign w:val="center"/>
                </w:tcPr>
                <w:p w14:paraId="57F75A67">
                  <w:pPr>
                    <w:jc w:val="center"/>
                    <w:rPr>
                      <w:rFonts w:hint="default" w:ascii="Times New Roman" w:hAnsi="Times New Roman" w:eastAsia="宋体" w:cs="Times New Roman"/>
                      <w:color w:val="auto"/>
                      <w:szCs w:val="21"/>
                    </w:rPr>
                  </w:pPr>
                </w:p>
              </w:tc>
              <w:tc>
                <w:tcPr>
                  <w:tcW w:w="1604" w:type="pct"/>
                  <w:noWrap w:val="0"/>
                  <w:vAlign w:val="center"/>
                </w:tcPr>
                <w:p w14:paraId="77A014E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环保设施的运行</w:t>
                  </w:r>
                </w:p>
              </w:tc>
              <w:tc>
                <w:tcPr>
                  <w:tcW w:w="2037" w:type="pct"/>
                  <w:noWrap w:val="0"/>
                  <w:vAlign w:val="center"/>
                </w:tcPr>
                <w:p w14:paraId="09AE75E4">
                  <w:pPr>
                    <w:jc w:val="both"/>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color w:val="auto"/>
                      <w:spacing w:val="15"/>
                      <w:szCs w:val="21"/>
                    </w:rPr>
                    <w:t>管</w:t>
                  </w:r>
                  <w:r>
                    <w:rPr>
                      <w:rFonts w:hint="default" w:ascii="Times New Roman" w:hAnsi="Times New Roman" w:eastAsia="宋体" w:cs="Times New Roman"/>
                      <w:color w:val="auto"/>
                      <w:spacing w:val="11"/>
                      <w:szCs w:val="21"/>
                    </w:rPr>
                    <w:t>理记录运行数据并建立环保档案和</w:t>
                  </w:r>
                  <w:r>
                    <w:rPr>
                      <w:rFonts w:hint="default" w:ascii="Times New Roman" w:hAnsi="Times New Roman" w:eastAsia="宋体" w:cs="Times New Roman"/>
                      <w:color w:val="auto"/>
                      <w:spacing w:val="8"/>
                      <w:szCs w:val="21"/>
                    </w:rPr>
                    <w:t>运行监管机制</w:t>
                  </w:r>
                </w:p>
              </w:tc>
              <w:tc>
                <w:tcPr>
                  <w:tcW w:w="507" w:type="pct"/>
                  <w:noWrap w:val="0"/>
                  <w:vAlign w:val="center"/>
                </w:tcPr>
                <w:p w14:paraId="31771E2A">
                  <w:pPr>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color w:val="auto"/>
                      <w:spacing w:val="4"/>
                      <w:position w:val="2"/>
                      <w:szCs w:val="21"/>
                    </w:rPr>
                    <w:t>一级</w:t>
                  </w:r>
                </w:p>
              </w:tc>
            </w:tr>
            <w:tr w14:paraId="1A79BCC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126" w:hRule="atLeast"/>
              </w:trPr>
              <w:tc>
                <w:tcPr>
                  <w:tcW w:w="850" w:type="pct"/>
                  <w:vMerge w:val="continue"/>
                  <w:noWrap w:val="0"/>
                  <w:vAlign w:val="center"/>
                </w:tcPr>
                <w:p w14:paraId="11565C62">
                  <w:pPr>
                    <w:jc w:val="center"/>
                    <w:rPr>
                      <w:rFonts w:hint="default" w:ascii="Times New Roman" w:hAnsi="Times New Roman" w:eastAsia="宋体" w:cs="Times New Roman"/>
                      <w:color w:val="auto"/>
                      <w:szCs w:val="21"/>
                    </w:rPr>
                  </w:pPr>
                </w:p>
              </w:tc>
              <w:tc>
                <w:tcPr>
                  <w:tcW w:w="1604" w:type="pct"/>
                  <w:noWrap w:val="0"/>
                  <w:vAlign w:val="center"/>
                </w:tcPr>
                <w:p w14:paraId="4A1B68C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环境监测机构</w:t>
                  </w:r>
                </w:p>
              </w:tc>
              <w:tc>
                <w:tcPr>
                  <w:tcW w:w="2037" w:type="pct"/>
                  <w:noWrap w:val="0"/>
                  <w:vAlign w:val="center"/>
                </w:tcPr>
                <w:p w14:paraId="65518D66">
                  <w:pPr>
                    <w:jc w:val="both"/>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color w:val="auto"/>
                      <w:spacing w:val="19"/>
                      <w:szCs w:val="21"/>
                    </w:rPr>
                    <w:t>有</w:t>
                  </w:r>
                  <w:r>
                    <w:rPr>
                      <w:rFonts w:hint="default" w:ascii="Times New Roman" w:hAnsi="Times New Roman" w:eastAsia="宋体" w:cs="Times New Roman"/>
                      <w:color w:val="auto"/>
                      <w:spacing w:val="11"/>
                      <w:szCs w:val="21"/>
                    </w:rPr>
                    <w:t>专门环境监测机构，对废水、废</w:t>
                  </w:r>
                  <w:r>
                    <w:rPr>
                      <w:rFonts w:hint="default" w:ascii="Times New Roman" w:hAnsi="Times New Roman" w:eastAsia="宋体" w:cs="Times New Roman"/>
                      <w:color w:val="auto"/>
                      <w:spacing w:val="19"/>
                      <w:szCs w:val="21"/>
                    </w:rPr>
                    <w:t>气</w:t>
                  </w:r>
                  <w:r>
                    <w:rPr>
                      <w:rFonts w:hint="default" w:ascii="Times New Roman" w:hAnsi="Times New Roman" w:eastAsia="宋体" w:cs="Times New Roman"/>
                      <w:color w:val="auto"/>
                      <w:spacing w:val="11"/>
                      <w:szCs w:val="21"/>
                    </w:rPr>
                    <w:t>、噪声主要污染源、污染物具备</w:t>
                  </w:r>
                  <w:r>
                    <w:rPr>
                      <w:rFonts w:hint="default" w:ascii="Times New Roman" w:hAnsi="Times New Roman" w:eastAsia="宋体" w:cs="Times New Roman"/>
                      <w:color w:val="auto"/>
                      <w:spacing w:val="19"/>
                      <w:szCs w:val="21"/>
                    </w:rPr>
                    <w:t>部</w:t>
                  </w:r>
                  <w:r>
                    <w:rPr>
                      <w:rFonts w:hint="default" w:ascii="Times New Roman" w:hAnsi="Times New Roman" w:eastAsia="宋体" w:cs="Times New Roman"/>
                      <w:color w:val="auto"/>
                      <w:spacing w:val="11"/>
                      <w:szCs w:val="21"/>
                    </w:rPr>
                    <w:t>分监测手段，其余委托有资质的</w:t>
                  </w:r>
                  <w:r>
                    <w:rPr>
                      <w:rFonts w:hint="default" w:ascii="Times New Roman" w:hAnsi="Times New Roman" w:eastAsia="宋体" w:cs="Times New Roman"/>
                      <w:color w:val="auto"/>
                      <w:spacing w:val="12"/>
                      <w:szCs w:val="21"/>
                    </w:rPr>
                    <w:t>监</w:t>
                  </w:r>
                  <w:r>
                    <w:rPr>
                      <w:rFonts w:hint="default" w:ascii="Times New Roman" w:hAnsi="Times New Roman" w:eastAsia="宋体" w:cs="Times New Roman"/>
                      <w:color w:val="auto"/>
                      <w:spacing w:val="8"/>
                      <w:szCs w:val="21"/>
                    </w:rPr>
                    <w:t>测部门进行监测</w:t>
                  </w:r>
                </w:p>
              </w:tc>
              <w:tc>
                <w:tcPr>
                  <w:tcW w:w="507" w:type="pct"/>
                  <w:noWrap w:val="0"/>
                  <w:vAlign w:val="center"/>
                </w:tcPr>
                <w:p w14:paraId="740982C4">
                  <w:pPr>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color w:val="auto"/>
                      <w:spacing w:val="3"/>
                      <w:szCs w:val="21"/>
                    </w:rPr>
                    <w:t>二级</w:t>
                  </w:r>
                </w:p>
              </w:tc>
            </w:tr>
            <w:tr w14:paraId="21DA7C2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10" w:hRule="atLeast"/>
              </w:trPr>
              <w:tc>
                <w:tcPr>
                  <w:tcW w:w="850" w:type="pct"/>
                  <w:vMerge w:val="continue"/>
                  <w:noWrap w:val="0"/>
                  <w:vAlign w:val="center"/>
                </w:tcPr>
                <w:p w14:paraId="14CF0C46">
                  <w:pPr>
                    <w:jc w:val="center"/>
                    <w:rPr>
                      <w:rFonts w:hint="default" w:ascii="Times New Roman" w:hAnsi="Times New Roman" w:eastAsia="宋体" w:cs="Times New Roman"/>
                      <w:color w:val="auto"/>
                      <w:szCs w:val="21"/>
                    </w:rPr>
                  </w:pPr>
                </w:p>
              </w:tc>
              <w:tc>
                <w:tcPr>
                  <w:tcW w:w="1604" w:type="pct"/>
                  <w:noWrap w:val="0"/>
                  <w:vAlign w:val="center"/>
                </w:tcPr>
                <w:p w14:paraId="59AB1A0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相关方环境管理</w:t>
                  </w:r>
                </w:p>
              </w:tc>
              <w:tc>
                <w:tcPr>
                  <w:tcW w:w="2037" w:type="pct"/>
                  <w:noWrap w:val="0"/>
                  <w:vAlign w:val="center"/>
                </w:tcPr>
                <w:p w14:paraId="5662D0C0">
                  <w:pPr>
                    <w:jc w:val="both"/>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color w:val="auto"/>
                      <w:spacing w:val="20"/>
                      <w:szCs w:val="21"/>
                    </w:rPr>
                    <w:t>服</w:t>
                  </w:r>
                  <w:r>
                    <w:rPr>
                      <w:rFonts w:hint="default" w:ascii="Times New Roman" w:hAnsi="Times New Roman" w:eastAsia="宋体" w:cs="Times New Roman"/>
                      <w:color w:val="auto"/>
                      <w:spacing w:val="11"/>
                      <w:szCs w:val="21"/>
                    </w:rPr>
                    <w:t>务协议中应明确原辅材料的供应</w:t>
                  </w:r>
                  <w:r>
                    <w:rPr>
                      <w:rFonts w:hint="default" w:ascii="Times New Roman" w:hAnsi="Times New Roman" w:eastAsia="宋体" w:cs="Times New Roman"/>
                      <w:color w:val="auto"/>
                      <w:spacing w:val="19"/>
                      <w:szCs w:val="21"/>
                    </w:rPr>
                    <w:t>方</w:t>
                  </w:r>
                  <w:r>
                    <w:rPr>
                      <w:rFonts w:hint="default" w:ascii="Times New Roman" w:hAnsi="Times New Roman" w:eastAsia="宋体" w:cs="Times New Roman"/>
                      <w:color w:val="auto"/>
                      <w:spacing w:val="11"/>
                      <w:szCs w:val="21"/>
                    </w:rPr>
                    <w:t>、协作方、服务方的环境管理要</w:t>
                  </w:r>
                  <w:r>
                    <w:rPr>
                      <w:rFonts w:hint="default" w:ascii="Times New Roman" w:hAnsi="Times New Roman" w:eastAsia="宋体" w:cs="Times New Roman"/>
                      <w:color w:val="auto"/>
                      <w:szCs w:val="21"/>
                    </w:rPr>
                    <w:t>求</w:t>
                  </w:r>
                </w:p>
              </w:tc>
              <w:tc>
                <w:tcPr>
                  <w:tcW w:w="507" w:type="pct"/>
                  <w:noWrap w:val="0"/>
                  <w:vAlign w:val="center"/>
                </w:tcPr>
                <w:p w14:paraId="7CD5ACEE">
                  <w:pPr>
                    <w:jc w:val="center"/>
                    <w:rPr>
                      <w:rFonts w:hint="default" w:ascii="Times New Roman" w:hAnsi="Times New Roman" w:eastAsia="宋体" w:cs="Times New Roman"/>
                      <w:snapToGrid w:val="0"/>
                      <w:color w:val="auto"/>
                      <w:kern w:val="0"/>
                      <w:szCs w:val="21"/>
                    </w:rPr>
                  </w:pPr>
                  <w:r>
                    <w:rPr>
                      <w:rFonts w:hint="default" w:ascii="Times New Roman" w:hAnsi="Times New Roman" w:eastAsia="宋体" w:cs="Times New Roman"/>
                      <w:snapToGrid w:val="0"/>
                      <w:color w:val="auto"/>
                      <w:kern w:val="0"/>
                      <w:szCs w:val="21"/>
                    </w:rPr>
                    <w:t>一级</w:t>
                  </w:r>
                </w:p>
              </w:tc>
            </w:tr>
          </w:tbl>
          <w:p w14:paraId="62AA7721">
            <w:pPr>
              <w:spacing w:line="360" w:lineRule="auto"/>
              <w:ind w:left="42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ascii="Times New Roman" w:hAnsi="Times New Roman" w:cs="Times New Roman"/>
                <w:color w:val="auto"/>
                <w:sz w:val="24"/>
                <w:lang w:val="en-US" w:eastAsia="zh-CN"/>
              </w:rPr>
              <w:t>8</w:t>
            </w:r>
            <w:r>
              <w:rPr>
                <w:rFonts w:hint="default" w:ascii="Times New Roman" w:hAnsi="Times New Roman" w:eastAsia="宋体" w:cs="Times New Roman"/>
                <w:color w:val="auto"/>
                <w:sz w:val="24"/>
              </w:rPr>
              <w:t>）《鸡西市水污染防治行动计划实施方案》符合性</w:t>
            </w:r>
          </w:p>
          <w:p w14:paraId="525C8C8D">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本项目采用全闭路循环工艺，无生产废水外排；洗选废水进入污泥浓缩池处理后进入沉淀池沉淀后排入循环水池</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车间地面冲洗废水进入</w:t>
            </w:r>
            <w:r>
              <w:rPr>
                <w:rFonts w:hint="eastAsia" w:ascii="Times New Roman" w:hAnsi="Times New Roman" w:cs="Times New Roman"/>
                <w:color w:val="auto"/>
                <w:sz w:val="24"/>
                <w:lang w:eastAsia="zh-CN"/>
              </w:rPr>
              <w:t>生产车间最底层集水池</w:t>
            </w:r>
            <w:r>
              <w:rPr>
                <w:rFonts w:hint="default" w:ascii="Times New Roman" w:hAnsi="Times New Roman" w:eastAsia="宋体" w:cs="Times New Roman"/>
                <w:color w:val="auto"/>
                <w:sz w:val="24"/>
              </w:rPr>
              <w:t>后排入循环水池本项目实现闭路循环，符合《鸡西市水污染防治行动计划实施方案》。</w:t>
            </w:r>
          </w:p>
          <w:p w14:paraId="3987FC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lang w:eastAsia="zh-CN"/>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9</w:t>
            </w:r>
            <w:r>
              <w:rPr>
                <w:rFonts w:hint="eastAsia" w:ascii="Times New Roman" w:hAnsi="Times New Roman" w:cs="Times New Roman"/>
                <w:color w:val="auto"/>
                <w:sz w:val="24"/>
                <w:lang w:eastAsia="zh-CN"/>
              </w:rPr>
              <w:t>）《鸡西市洗煤厂环境综合整治验收标准》符合性分析</w:t>
            </w:r>
          </w:p>
          <w:p w14:paraId="42E209B8">
            <w:pPr>
              <w:pStyle w:val="38"/>
              <w:rPr>
                <w:rFonts w:hint="eastAsia" w:ascii="Times New Roman" w:hAnsi="Times New Roman"/>
                <w:color w:val="auto"/>
                <w:sz w:val="21"/>
                <w:szCs w:val="21"/>
                <w:lang w:val="en-US" w:eastAsia="zh-CN"/>
              </w:rPr>
            </w:pPr>
            <w:r>
              <w:rPr>
                <w:rFonts w:hint="default" w:ascii="Times New Roman" w:hAnsi="Times New Roman" w:eastAsia="宋体" w:cs="Times New Roman"/>
                <w:b/>
                <w:bCs/>
                <w:color w:val="auto"/>
                <w:sz w:val="21"/>
                <w:szCs w:val="21"/>
              </w:rPr>
              <w:t>表1-</w:t>
            </w:r>
            <w:r>
              <w:rPr>
                <w:rFonts w:hint="eastAsia" w:ascii="Times New Roman" w:hAnsi="Times New Roman" w:cs="Times New Roman"/>
                <w:b/>
                <w:bCs/>
                <w:color w:val="auto"/>
                <w:sz w:val="21"/>
                <w:szCs w:val="21"/>
                <w:lang w:val="en-US" w:eastAsia="zh-CN"/>
              </w:rPr>
              <w:t>10</w:t>
            </w:r>
            <w:r>
              <w:rPr>
                <w:rFonts w:hint="default" w:ascii="Times New Roman" w:hAnsi="Times New Roman" w:eastAsia="宋体" w:cs="Times New Roman"/>
                <w:b/>
                <w:bCs/>
                <w:color w:val="auto"/>
                <w:sz w:val="21"/>
                <w:szCs w:val="21"/>
              </w:rPr>
              <w:t xml:space="preserve"> 本项目与</w:t>
            </w:r>
            <w:r>
              <w:rPr>
                <w:rFonts w:hint="eastAsia" w:ascii="Times New Roman" w:hAnsi="Times New Roman" w:cs="Times New Roman"/>
                <w:b/>
                <w:bCs/>
                <w:color w:val="auto"/>
                <w:sz w:val="21"/>
                <w:szCs w:val="21"/>
                <w:lang w:eastAsia="zh-CN"/>
              </w:rPr>
              <w:t>鸡西市环境综合治理整治验收标准</w:t>
            </w:r>
            <w:r>
              <w:rPr>
                <w:rFonts w:hint="default" w:ascii="Times New Roman" w:hAnsi="Times New Roman" w:eastAsia="宋体" w:cs="Times New Roman"/>
                <w:b/>
                <w:bCs/>
                <w:color w:val="auto"/>
                <w:sz w:val="21"/>
                <w:szCs w:val="21"/>
              </w:rPr>
              <w:t>符合性分析一览表</w:t>
            </w:r>
          </w:p>
          <w:tbl>
            <w:tblPr>
              <w:tblStyle w:val="32"/>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69"/>
              <w:gridCol w:w="2817"/>
              <w:gridCol w:w="955"/>
            </w:tblGrid>
            <w:tr w14:paraId="2E2AA6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vAlign w:val="center"/>
                </w:tcPr>
                <w:p w14:paraId="68874A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文件要求</w:t>
                  </w:r>
                </w:p>
              </w:tc>
              <w:tc>
                <w:tcPr>
                  <w:tcW w:w="1867" w:type="pct"/>
                  <w:tcBorders>
                    <w:tl2br w:val="nil"/>
                    <w:tr2bl w:val="nil"/>
                  </w:tcBorders>
                  <w:vAlign w:val="center"/>
                </w:tcPr>
                <w:p w14:paraId="31F5D7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本项目情况</w:t>
                  </w:r>
                </w:p>
              </w:tc>
              <w:tc>
                <w:tcPr>
                  <w:tcW w:w="633" w:type="pct"/>
                  <w:tcBorders>
                    <w:tl2br w:val="nil"/>
                    <w:tr2bl w:val="nil"/>
                  </w:tcBorders>
                  <w:vAlign w:val="center"/>
                </w:tcPr>
                <w:p w14:paraId="29B097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符合性</w:t>
                  </w:r>
                </w:p>
              </w:tc>
            </w:tr>
            <w:tr w14:paraId="1889EF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234275D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洗煤厂厂区四周应当建设闭合的防风抑尘网。防风抑尘网高度不得低于物料堆高度，遇到高压线等高空障碍物可适当调整高度。洗煤厂堆存物应当使用绿网进行苫盖。</w:t>
                  </w:r>
                </w:p>
              </w:tc>
              <w:tc>
                <w:tcPr>
                  <w:tcW w:w="1867" w:type="pct"/>
                  <w:tcBorders>
                    <w:tl2br w:val="nil"/>
                    <w:tr2bl w:val="nil"/>
                  </w:tcBorders>
                  <w:vAlign w:val="center"/>
                </w:tcPr>
                <w:p w14:paraId="436788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本项目堆场四周均布置防风抑尘网切高于堆场1m以上。</w:t>
                  </w:r>
                </w:p>
              </w:tc>
              <w:tc>
                <w:tcPr>
                  <w:tcW w:w="633" w:type="pct"/>
                  <w:tcBorders>
                    <w:tl2br w:val="nil"/>
                    <w:tr2bl w:val="nil"/>
                  </w:tcBorders>
                  <w:vAlign w:val="center"/>
                </w:tcPr>
                <w:p w14:paraId="416241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6BA5EF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75856C09">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洗煤厂在日常作业中应当采取喷淋、洒水等方式进行降尘，并且严禁在重污染天气期间、大风天气时生产作业，以避免造成扬尘污染</w:t>
                  </w:r>
                  <w:r>
                    <w:rPr>
                      <w:rFonts w:hint="eastAsia" w:ascii="Times New Roman" w:hAnsi="Times New Roman" w:cs="Times New Roman"/>
                      <w:color w:val="auto"/>
                      <w:sz w:val="21"/>
                      <w:szCs w:val="21"/>
                      <w:vertAlign w:val="baseline"/>
                      <w:lang w:val="en-US" w:eastAsia="zh-CN"/>
                    </w:rPr>
                    <w:t>。</w:t>
                  </w:r>
                </w:p>
              </w:tc>
              <w:tc>
                <w:tcPr>
                  <w:tcW w:w="1867" w:type="pct"/>
                  <w:tcBorders>
                    <w:tl2br w:val="nil"/>
                    <w:tr2bl w:val="nil"/>
                  </w:tcBorders>
                  <w:vAlign w:val="center"/>
                </w:tcPr>
                <w:p w14:paraId="510F15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日常作业均采取洒水降尘方式，重污染天气期间停止作业。</w:t>
                  </w:r>
                </w:p>
              </w:tc>
              <w:tc>
                <w:tcPr>
                  <w:tcW w:w="633" w:type="pct"/>
                  <w:tcBorders>
                    <w:tl2br w:val="nil"/>
                    <w:tr2bl w:val="nil"/>
                  </w:tcBorders>
                  <w:vAlign w:val="center"/>
                </w:tcPr>
                <w:p w14:paraId="0B2DBE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067550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32F61CB1">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洗煤厂使用的运输车辆应当按照当地城市执法部门的要求进行全面苫盖，并确保车辆清洁。</w:t>
                  </w:r>
                </w:p>
              </w:tc>
              <w:tc>
                <w:tcPr>
                  <w:tcW w:w="1867" w:type="pct"/>
                  <w:tcBorders>
                    <w:tl2br w:val="nil"/>
                    <w:tr2bl w:val="nil"/>
                  </w:tcBorders>
                  <w:vAlign w:val="center"/>
                </w:tcPr>
                <w:p w14:paraId="1B5F5F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本项目运输车辆遵循文件要求进行苫盖作业。</w:t>
                  </w:r>
                </w:p>
              </w:tc>
              <w:tc>
                <w:tcPr>
                  <w:tcW w:w="633" w:type="pct"/>
                  <w:tcBorders>
                    <w:tl2br w:val="nil"/>
                    <w:tr2bl w:val="nil"/>
                  </w:tcBorders>
                  <w:vAlign w:val="center"/>
                </w:tcPr>
                <w:p w14:paraId="598333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3D87C6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5A7EFAF9">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洗煤厂原则上不得使用燃煤锅炉，应当使用电、天然气等清洁能源取暖。因条件限制而使用燃煤、生物质锅炉的应当配套建设高效除尘设施，并定期自行检测</w:t>
                  </w:r>
                  <w:r>
                    <w:rPr>
                      <w:rFonts w:hint="eastAsia" w:ascii="Times New Roman" w:hAnsi="Times New Roman" w:cs="Times New Roman"/>
                      <w:color w:val="auto"/>
                      <w:sz w:val="21"/>
                      <w:szCs w:val="21"/>
                      <w:vertAlign w:val="baseline"/>
                      <w:lang w:val="en-US" w:eastAsia="zh-CN"/>
                    </w:rPr>
                    <w:t>。</w:t>
                  </w:r>
                </w:p>
              </w:tc>
              <w:tc>
                <w:tcPr>
                  <w:tcW w:w="1867" w:type="pct"/>
                  <w:tcBorders>
                    <w:tl2br w:val="nil"/>
                    <w:tr2bl w:val="nil"/>
                  </w:tcBorders>
                  <w:vAlign w:val="center"/>
                </w:tcPr>
                <w:p w14:paraId="3A5FF1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本项目供暖使用空气能供暖。</w:t>
                  </w:r>
                </w:p>
              </w:tc>
              <w:tc>
                <w:tcPr>
                  <w:tcW w:w="633" w:type="pct"/>
                  <w:tcBorders>
                    <w:tl2br w:val="nil"/>
                    <w:tr2bl w:val="nil"/>
                  </w:tcBorders>
                  <w:vAlign w:val="center"/>
                </w:tcPr>
                <w:p w14:paraId="7E3212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55E82C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61E79ACE">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如有破碎工序或皮带输送作业环节的</w:t>
                  </w:r>
                  <w:r>
                    <w:rPr>
                      <w:rFonts w:hint="eastAsia" w:ascii="Times New Roman" w:hAnsi="Times New Roman"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lang w:val="en-US" w:eastAsia="zh-CN"/>
                    </w:rPr>
                    <w:t>须在封闭空间内作业，防止扬尘污染。</w:t>
                  </w:r>
                </w:p>
              </w:tc>
              <w:tc>
                <w:tcPr>
                  <w:tcW w:w="1867" w:type="pct"/>
                  <w:tcBorders>
                    <w:tl2br w:val="nil"/>
                    <w:tr2bl w:val="nil"/>
                  </w:tcBorders>
                  <w:vAlign w:val="center"/>
                </w:tcPr>
                <w:p w14:paraId="7D208F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破碎工序于一个密闭的空间内，皮带运输处于封闭环境。</w:t>
                  </w:r>
                </w:p>
              </w:tc>
              <w:tc>
                <w:tcPr>
                  <w:tcW w:w="633" w:type="pct"/>
                  <w:tcBorders>
                    <w:tl2br w:val="nil"/>
                    <w:tr2bl w:val="nil"/>
                  </w:tcBorders>
                  <w:vAlign w:val="center"/>
                </w:tcPr>
                <w:p w14:paraId="21B422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1EEF78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3F54701E">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洗煤厂所应当配套建设雨水导流槽、雨水收集池（雨水收集池应建在厂区地势最低处），收集的雨水沉淀后用于场区洒水降尘和绿化。</w:t>
                  </w:r>
                </w:p>
              </w:tc>
              <w:tc>
                <w:tcPr>
                  <w:tcW w:w="1867" w:type="pct"/>
                  <w:tcBorders>
                    <w:tl2br w:val="nil"/>
                    <w:tr2bl w:val="nil"/>
                  </w:tcBorders>
                  <w:vAlign w:val="center"/>
                </w:tcPr>
                <w:p w14:paraId="004DD6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本项目建有集水池以及雨水收集渠。</w:t>
                  </w:r>
                </w:p>
              </w:tc>
              <w:tc>
                <w:tcPr>
                  <w:tcW w:w="633" w:type="pct"/>
                  <w:tcBorders>
                    <w:tl2br w:val="nil"/>
                    <w:tr2bl w:val="nil"/>
                  </w:tcBorders>
                  <w:vAlign w:val="center"/>
                </w:tcPr>
                <w:p w14:paraId="2B639A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387979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22FE2EF3">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洗煤废水应全部经浓缩罐、压滤处理后进入清水池，回用于生产使用，实现闭路循环，做到零排放。</w:t>
                  </w:r>
                </w:p>
              </w:tc>
              <w:tc>
                <w:tcPr>
                  <w:tcW w:w="1867" w:type="pct"/>
                  <w:tcBorders>
                    <w:tl2br w:val="nil"/>
                    <w:tr2bl w:val="nil"/>
                  </w:tcBorders>
                  <w:vAlign w:val="center"/>
                </w:tcPr>
                <w:p w14:paraId="768B07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本项目洗煤废水均经浓缩压滤进入循环水池回用生产，实现闭路循环。</w:t>
                  </w:r>
                </w:p>
              </w:tc>
              <w:tc>
                <w:tcPr>
                  <w:tcW w:w="633" w:type="pct"/>
                  <w:tcBorders>
                    <w:tl2br w:val="nil"/>
                    <w:tr2bl w:val="nil"/>
                  </w:tcBorders>
                  <w:vAlign w:val="center"/>
                </w:tcPr>
                <w:p w14:paraId="338A4F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390E98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33576D8D">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洗煤厂的浓缩罐、压滤机等污染防治设施必须保证状态良好，正常运行。</w:t>
                  </w:r>
                </w:p>
              </w:tc>
              <w:tc>
                <w:tcPr>
                  <w:tcW w:w="1867" w:type="pct"/>
                  <w:tcBorders>
                    <w:tl2br w:val="nil"/>
                    <w:tr2bl w:val="nil"/>
                  </w:tcBorders>
                  <w:vAlign w:val="center"/>
                </w:tcPr>
                <w:p w14:paraId="5ACDB7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本项目设备启动前均有检修环节，来保证工作的正常运行。</w:t>
                  </w:r>
                </w:p>
              </w:tc>
              <w:tc>
                <w:tcPr>
                  <w:tcW w:w="633" w:type="pct"/>
                  <w:tcBorders>
                    <w:tl2br w:val="nil"/>
                    <w:tr2bl w:val="nil"/>
                  </w:tcBorders>
                  <w:vAlign w:val="center"/>
                </w:tcPr>
                <w:p w14:paraId="03340F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0645EC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30DCB2C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洗煤厂应当建设应急事故池。非发生突发环境事件进行应急时，应急事故池应保持清空状态。</w:t>
                  </w:r>
                </w:p>
              </w:tc>
              <w:tc>
                <w:tcPr>
                  <w:tcW w:w="1867" w:type="pct"/>
                  <w:tcBorders>
                    <w:tl2br w:val="nil"/>
                    <w:tr2bl w:val="nil"/>
                  </w:tcBorders>
                  <w:vAlign w:val="center"/>
                </w:tcPr>
                <w:p w14:paraId="1F8903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本项目建有事故池。</w:t>
                  </w:r>
                </w:p>
              </w:tc>
              <w:tc>
                <w:tcPr>
                  <w:tcW w:w="633" w:type="pct"/>
                  <w:tcBorders>
                    <w:tl2br w:val="nil"/>
                    <w:tr2bl w:val="nil"/>
                  </w:tcBorders>
                  <w:vAlign w:val="center"/>
                </w:tcPr>
                <w:p w14:paraId="44CA13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5DFC62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02E408A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无法接入污水管网的洗煤厂应当建设防渗旱厕或防渗化粪池，定期转运至当地生活污水处理厂进行处理或作为肥料进行综合利用，并建立管理台账。应设置生活垃圾收集箱，定期转运。</w:t>
                  </w:r>
                </w:p>
              </w:tc>
              <w:tc>
                <w:tcPr>
                  <w:tcW w:w="1867" w:type="pct"/>
                  <w:tcBorders>
                    <w:tl2br w:val="nil"/>
                    <w:tr2bl w:val="nil"/>
                  </w:tcBorders>
                  <w:vAlign w:val="center"/>
                </w:tcPr>
                <w:p w14:paraId="2F535B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本项目生活污水排入相邻矿井的污水处理系统。</w:t>
                  </w:r>
                </w:p>
              </w:tc>
              <w:tc>
                <w:tcPr>
                  <w:tcW w:w="633" w:type="pct"/>
                  <w:tcBorders>
                    <w:tl2br w:val="nil"/>
                    <w:tr2bl w:val="nil"/>
                  </w:tcBorders>
                  <w:vAlign w:val="center"/>
                </w:tcPr>
                <w:p w14:paraId="52566E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188425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0FD48396">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洗煤厂场区地面必须全部硬化，其中车辆进出口及主要运输通道必须使用水泥或柏油进行硬化。</w:t>
                  </w:r>
                </w:p>
              </w:tc>
              <w:tc>
                <w:tcPr>
                  <w:tcW w:w="1867" w:type="pct"/>
                  <w:tcBorders>
                    <w:tl2br w:val="nil"/>
                    <w:tr2bl w:val="nil"/>
                  </w:tcBorders>
                  <w:vAlign w:val="center"/>
                </w:tcPr>
                <w:p w14:paraId="28E07B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厂区地面全部硬化，主要运输道路均为水泥道路。</w:t>
                  </w:r>
                </w:p>
              </w:tc>
              <w:tc>
                <w:tcPr>
                  <w:tcW w:w="633" w:type="pct"/>
                  <w:tcBorders>
                    <w:tl2br w:val="nil"/>
                    <w:tr2bl w:val="nil"/>
                  </w:tcBorders>
                  <w:vAlign w:val="center"/>
                </w:tcPr>
                <w:p w14:paraId="047A74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5B3877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5A50BB6F">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洗煤厂产生的煤矸石及其它工业固体废物应依法依规处置，按照鸡西市生态环境局《关于加强一般工业固体废物产生单位环境管理工作的通知》（鸡环发[2023]4 号）文件要求，建立管理台账，并每月定期报送至县（区）级生态环境部门。</w:t>
                  </w:r>
                </w:p>
              </w:tc>
              <w:tc>
                <w:tcPr>
                  <w:tcW w:w="1867" w:type="pct"/>
                  <w:tcBorders>
                    <w:tl2br w:val="nil"/>
                    <w:tr2bl w:val="nil"/>
                  </w:tcBorders>
                  <w:vAlign w:val="center"/>
                </w:tcPr>
                <w:p w14:paraId="5FA3E3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本项目产生的煤矸石、煤泥由</w:t>
                  </w:r>
                  <w:r>
                    <w:rPr>
                      <w:rFonts w:hint="eastAsia" w:cs="Times New Roman"/>
                      <w:color w:val="auto"/>
                      <w:sz w:val="21"/>
                      <w:szCs w:val="21"/>
                      <w:highlight w:val="none"/>
                      <w:vertAlign w:val="baseline"/>
                      <w:lang w:val="en-US" w:eastAsia="zh-CN"/>
                    </w:rPr>
                    <w:t>鸡西市恒山区佳诚石材筛选厂</w:t>
                  </w:r>
                  <w:r>
                    <w:rPr>
                      <w:rFonts w:hint="eastAsia" w:ascii="Times New Roman" w:hAnsi="Times New Roman" w:cs="Times New Roman"/>
                      <w:color w:val="auto"/>
                      <w:sz w:val="21"/>
                      <w:szCs w:val="21"/>
                      <w:highlight w:val="none"/>
                      <w:vertAlign w:val="baseline"/>
                      <w:lang w:val="en-US" w:eastAsia="zh-CN"/>
                    </w:rPr>
                    <w:t>定期处置。</w:t>
                  </w:r>
                </w:p>
              </w:tc>
              <w:tc>
                <w:tcPr>
                  <w:tcW w:w="633" w:type="pct"/>
                  <w:tcBorders>
                    <w:tl2br w:val="nil"/>
                    <w:tr2bl w:val="nil"/>
                  </w:tcBorders>
                  <w:vAlign w:val="center"/>
                </w:tcPr>
                <w:p w14:paraId="217F6B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27B7C7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321C4C8F">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洗煤厂应当使用低噪声的生产设备或改进生产工艺，生产设备最大可能采取减震降噪措施，严格遵守《中华人民共和国噪声污染防治法》的相关规定，合理规安排产作业时限。</w:t>
                  </w:r>
                </w:p>
              </w:tc>
              <w:tc>
                <w:tcPr>
                  <w:tcW w:w="1867" w:type="pct"/>
                  <w:tcBorders>
                    <w:tl2br w:val="nil"/>
                    <w:tr2bl w:val="nil"/>
                  </w:tcBorders>
                  <w:vAlign w:val="center"/>
                </w:tcPr>
                <w:p w14:paraId="7076BD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本项目对设备实施减振降噪措施，尽量减少噪声的传播。</w:t>
                  </w:r>
                </w:p>
              </w:tc>
              <w:tc>
                <w:tcPr>
                  <w:tcW w:w="633" w:type="pct"/>
                  <w:tcBorders>
                    <w:tl2br w:val="nil"/>
                    <w:tr2bl w:val="nil"/>
                  </w:tcBorders>
                  <w:vAlign w:val="center"/>
                </w:tcPr>
                <w:p w14:paraId="683CB4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086F7F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765712DA">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应当建设危险废物贮存间，并按照《危险废物识别标志设置技术规范》设置危险废物标识，将产生的废机油等危险废物进行收集贮存，定期由有资质的处置单位转移、处置，执行危险废物转移联单管理制度并做好台账记录。</w:t>
                  </w:r>
                </w:p>
              </w:tc>
              <w:tc>
                <w:tcPr>
                  <w:tcW w:w="1867" w:type="pct"/>
                  <w:tcBorders>
                    <w:tl2br w:val="nil"/>
                    <w:tr2bl w:val="nil"/>
                  </w:tcBorders>
                  <w:vAlign w:val="center"/>
                </w:tcPr>
                <w:p w14:paraId="4D6751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本项目建有危险废物暂存间，并设有最新标识，定期由有资质的单位来处置。</w:t>
                  </w:r>
                </w:p>
              </w:tc>
              <w:tc>
                <w:tcPr>
                  <w:tcW w:w="633" w:type="pct"/>
                  <w:tcBorders>
                    <w:tl2br w:val="nil"/>
                    <w:tr2bl w:val="nil"/>
                  </w:tcBorders>
                  <w:vAlign w:val="center"/>
                </w:tcPr>
                <w:p w14:paraId="4F8655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r w14:paraId="1DC99F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tcPr>
                <w:p w14:paraId="6A1EA60F">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洗煤厂应当在厂区四周（防风抑尘网外侧）植树绿化，改善周边生态环境质量。</w:t>
                  </w:r>
                </w:p>
              </w:tc>
              <w:tc>
                <w:tcPr>
                  <w:tcW w:w="1867" w:type="pct"/>
                  <w:tcBorders>
                    <w:tl2br w:val="nil"/>
                    <w:tr2bl w:val="nil"/>
                  </w:tcBorders>
                  <w:vAlign w:val="center"/>
                </w:tcPr>
                <w:p w14:paraId="6ACCA0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厂区四周均有少量植被覆盖。</w:t>
                  </w:r>
                </w:p>
              </w:tc>
              <w:tc>
                <w:tcPr>
                  <w:tcW w:w="633" w:type="pct"/>
                  <w:tcBorders>
                    <w:tl2br w:val="nil"/>
                    <w:tr2bl w:val="nil"/>
                  </w:tcBorders>
                  <w:vAlign w:val="center"/>
                </w:tcPr>
                <w:p w14:paraId="0FC5AC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tc>
            </w:tr>
          </w:tbl>
          <w:p w14:paraId="25C5FEE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lang w:val="en-US" w:eastAsia="zh-CN"/>
              </w:rPr>
            </w:pPr>
          </w:p>
        </w:tc>
      </w:tr>
    </w:tbl>
    <w:p w14:paraId="30D78E37">
      <w:pPr>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br w:type="page"/>
      </w:r>
    </w:p>
    <w:p w14:paraId="602C0D13">
      <w:pPr>
        <w:pStyle w:val="27"/>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center"/>
        <w:textAlignment w:val="auto"/>
        <w:outlineLvl w:val="0"/>
        <w:rPr>
          <w:rFonts w:hint="default" w:ascii="Times New Roman" w:hAnsi="Times New Roman" w:eastAsia="黑体" w:cs="Times New Roman"/>
          <w:snapToGrid w:val="0"/>
          <w:color w:val="auto"/>
          <w:sz w:val="30"/>
          <w:szCs w:val="30"/>
          <w:highlight w:val="none"/>
        </w:rPr>
      </w:pPr>
      <w:bookmarkStart w:id="6" w:name="_Toc28258"/>
      <w:r>
        <w:rPr>
          <w:rFonts w:hint="default" w:ascii="Times New Roman" w:hAnsi="Times New Roman" w:eastAsia="黑体" w:cs="Times New Roman"/>
          <w:snapToGrid w:val="0"/>
          <w:color w:val="auto"/>
          <w:sz w:val="30"/>
          <w:szCs w:val="30"/>
          <w:highlight w:val="none"/>
        </w:rPr>
        <w:t>二、建设项目工程分析</w:t>
      </w:r>
      <w:bookmarkEnd w:id="6"/>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27"/>
        <w:gridCol w:w="8433"/>
      </w:tblGrid>
      <w:tr w14:paraId="7B6FEE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14:paraId="621D010A">
            <w:pPr>
              <w:pStyle w:val="27"/>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rPr>
              <w:t>建设内容</w:t>
            </w:r>
          </w:p>
        </w:tc>
        <w:tc>
          <w:tcPr>
            <w:tcW w:w="8173" w:type="dxa"/>
            <w:noWrap w:val="0"/>
            <w:vAlign w:val="top"/>
          </w:tcPr>
          <w:p w14:paraId="5DCB1C9A">
            <w:pPr>
              <w:pStyle w:val="66"/>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left="-62" w:leftChars="0" w:firstLine="482" w:firstLineChars="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cs="Times New Roman"/>
                <w:b/>
                <w:bCs/>
                <w:color w:val="auto"/>
                <w:kern w:val="2"/>
                <w:sz w:val="24"/>
                <w:szCs w:val="24"/>
                <w:highlight w:val="none"/>
                <w:lang w:val="en-US" w:eastAsia="zh-CN" w:bidi="ar-SA"/>
              </w:rPr>
              <w:t>项目基本信息</w:t>
            </w:r>
          </w:p>
          <w:p w14:paraId="42AAA29C">
            <w:pPr>
              <w:widowControl/>
              <w:spacing w:line="360" w:lineRule="auto"/>
              <w:ind w:firstLine="480" w:firstLineChars="200"/>
              <w:jc w:val="left"/>
              <w:rPr>
                <w:rFonts w:hint="eastAsia" w:ascii="Times New Roman" w:hAnsi="Times New Roman" w:cs="Times New Roman"/>
                <w:color w:val="auto"/>
                <w:kern w:val="0"/>
                <w:sz w:val="24"/>
                <w:highlight w:val="none"/>
                <w:lang w:eastAsia="zh-CN" w:bidi="ar"/>
              </w:rPr>
            </w:pPr>
            <w:r>
              <w:rPr>
                <w:rFonts w:hint="eastAsia" w:ascii="Times New Roman" w:hAnsi="Times New Roman" w:cs="Times New Roman"/>
                <w:color w:val="auto"/>
                <w:kern w:val="0"/>
                <w:sz w:val="24"/>
                <w:highlight w:val="none"/>
                <w:lang w:eastAsia="zh-CN" w:bidi="ar"/>
              </w:rPr>
              <w:t>本项目位于</w:t>
            </w:r>
            <w:r>
              <w:rPr>
                <w:rFonts w:hint="eastAsia" w:ascii="Times New Roman" w:hAnsi="Times New Roman" w:cs="Times New Roman"/>
                <w:color w:val="auto"/>
                <w:kern w:val="0"/>
                <w:sz w:val="24"/>
                <w:highlight w:val="none"/>
                <w:lang w:val="en-US" w:eastAsia="zh-CN" w:bidi="ar"/>
              </w:rPr>
              <w:t>鸡西市恒山区大恒山办合作委四组</w:t>
            </w:r>
            <w:r>
              <w:rPr>
                <w:rFonts w:hint="eastAsia" w:ascii="Times New Roman" w:hAnsi="Times New Roman" w:cs="Times New Roman"/>
                <w:color w:val="auto"/>
                <w:kern w:val="0"/>
                <w:sz w:val="24"/>
                <w:highlight w:val="none"/>
                <w:lang w:eastAsia="zh-CN" w:bidi="ar"/>
              </w:rPr>
              <w:t>，占地面积</w:t>
            </w:r>
            <w:r>
              <w:rPr>
                <w:rFonts w:hint="eastAsia" w:cs="Times New Roman"/>
                <w:color w:val="auto"/>
                <w:kern w:val="0"/>
                <w:sz w:val="24"/>
                <w:highlight w:val="none"/>
                <w:lang w:val="en-US" w:eastAsia="zh-CN" w:bidi="ar"/>
              </w:rPr>
              <w:t>18000</w:t>
            </w:r>
            <w:r>
              <w:rPr>
                <w:rFonts w:hint="eastAsia" w:ascii="Times New Roman" w:hAnsi="Times New Roman"/>
                <w:color w:val="auto"/>
                <w:szCs w:val="21"/>
                <w:highlight w:val="none"/>
                <w:u w:val="none" w:color="000000"/>
                <w:lang w:val="en-US" w:eastAsia="zh-CN"/>
              </w:rPr>
              <w:t>m</w:t>
            </w:r>
            <w:r>
              <w:rPr>
                <w:rFonts w:hint="eastAsia" w:ascii="Times New Roman" w:hAnsi="Times New Roman"/>
                <w:color w:val="auto"/>
                <w:szCs w:val="21"/>
                <w:highlight w:val="none"/>
                <w:u w:val="none" w:color="000000"/>
                <w:vertAlign w:val="superscript"/>
                <w:lang w:val="en-US" w:eastAsia="zh-CN"/>
              </w:rPr>
              <w:t>2</w:t>
            </w:r>
            <w:r>
              <w:rPr>
                <w:rFonts w:hint="eastAsia" w:ascii="Times New Roman" w:hAnsi="Times New Roman" w:cs="Times New Roman"/>
                <w:color w:val="auto"/>
                <w:kern w:val="0"/>
                <w:sz w:val="24"/>
                <w:highlight w:val="none"/>
                <w:lang w:eastAsia="zh-CN" w:bidi="ar"/>
              </w:rPr>
              <w:t>，总建筑面积为</w:t>
            </w:r>
            <w:r>
              <w:rPr>
                <w:rFonts w:hint="eastAsia" w:ascii="Times New Roman" w:hAnsi="Times New Roman" w:cs="Times New Roman"/>
                <w:color w:val="auto"/>
                <w:kern w:val="0"/>
                <w:sz w:val="24"/>
                <w:highlight w:val="none"/>
                <w:lang w:val="en-US" w:eastAsia="zh-CN" w:bidi="ar"/>
              </w:rPr>
              <w:t>970</w:t>
            </w:r>
            <w:r>
              <w:rPr>
                <w:rFonts w:hint="eastAsia" w:ascii="Times New Roman" w:hAnsi="Times New Roman"/>
                <w:color w:val="auto"/>
                <w:szCs w:val="21"/>
                <w:highlight w:val="none"/>
                <w:u w:val="none" w:color="000000"/>
                <w:lang w:val="en-US" w:eastAsia="zh-CN"/>
              </w:rPr>
              <w:t>m</w:t>
            </w:r>
            <w:r>
              <w:rPr>
                <w:rFonts w:hint="eastAsia" w:ascii="Times New Roman" w:hAnsi="Times New Roman"/>
                <w:color w:val="auto"/>
                <w:szCs w:val="21"/>
                <w:highlight w:val="none"/>
                <w:u w:val="none" w:color="000000"/>
                <w:vertAlign w:val="superscript"/>
                <w:lang w:val="en-US" w:eastAsia="zh-CN"/>
              </w:rPr>
              <w:t>2</w:t>
            </w:r>
            <w:r>
              <w:rPr>
                <w:rFonts w:hint="eastAsia" w:ascii="Times New Roman" w:hAnsi="Times New Roman" w:cs="Times New Roman"/>
                <w:color w:val="auto"/>
                <w:kern w:val="0"/>
                <w:sz w:val="24"/>
                <w:highlight w:val="none"/>
                <w:lang w:eastAsia="zh-CN" w:bidi="ar"/>
              </w:rPr>
              <w:t>。利用原有主厂房，</w:t>
            </w:r>
            <w:r>
              <w:rPr>
                <w:rFonts w:hint="eastAsia" w:cs="Times New Roman"/>
                <w:color w:val="auto"/>
                <w:kern w:val="0"/>
                <w:sz w:val="24"/>
                <w:highlight w:val="none"/>
                <w:lang w:eastAsia="zh-CN" w:bidi="ar"/>
              </w:rPr>
              <w:t>建设</w:t>
            </w:r>
            <w:r>
              <w:rPr>
                <w:rFonts w:hint="eastAsia" w:ascii="Times New Roman" w:hAnsi="Times New Roman" w:cs="Times New Roman"/>
                <w:color w:val="auto"/>
                <w:kern w:val="0"/>
                <w:sz w:val="24"/>
                <w:highlight w:val="none"/>
                <w:lang w:eastAsia="zh-CN" w:bidi="ar"/>
              </w:rPr>
              <w:t>年洗选煤炭</w:t>
            </w:r>
            <w:r>
              <w:rPr>
                <w:rFonts w:hint="eastAsia" w:ascii="Times New Roman" w:hAnsi="Times New Roman" w:cs="Times New Roman"/>
                <w:color w:val="auto"/>
                <w:kern w:val="0"/>
                <w:sz w:val="24"/>
                <w:highlight w:val="none"/>
                <w:lang w:val="en-US" w:eastAsia="zh-CN" w:bidi="ar"/>
              </w:rPr>
              <w:t>120</w:t>
            </w:r>
            <w:r>
              <w:rPr>
                <w:rFonts w:hint="eastAsia" w:ascii="Times New Roman" w:hAnsi="Times New Roman" w:cs="Times New Roman"/>
                <w:color w:val="auto"/>
                <w:kern w:val="0"/>
                <w:sz w:val="24"/>
                <w:highlight w:val="none"/>
                <w:lang w:eastAsia="zh-CN" w:bidi="ar"/>
              </w:rPr>
              <w:t>万吨生产线，本项目选煤原料依托附近煤矿堆存的矸石山。</w:t>
            </w:r>
          </w:p>
          <w:p w14:paraId="27DF36E8">
            <w:pPr>
              <w:spacing w:line="360" w:lineRule="auto"/>
              <w:ind w:firstLine="480" w:firstLineChars="200"/>
              <w:rPr>
                <w:rFonts w:hint="eastAsia" w:ascii="Times New Roman" w:hAnsi="Times New Roman"/>
                <w:color w:val="auto"/>
                <w:sz w:val="24"/>
              </w:rPr>
            </w:pPr>
            <w:r>
              <w:rPr>
                <w:rFonts w:hint="eastAsia" w:ascii="Times New Roman" w:hAnsi="Times New Roman"/>
                <w:color w:val="auto"/>
                <w:sz w:val="24"/>
              </w:rPr>
              <w:t>根据《中华人民共和国环境影响评价法》、国务院令第</w:t>
            </w:r>
            <w:r>
              <w:rPr>
                <w:rFonts w:hint="eastAsia" w:ascii="Times New Roman" w:hAnsi="Times New Roman"/>
                <w:color w:val="auto"/>
                <w:sz w:val="24"/>
                <w:lang w:val="en-US" w:eastAsia="zh-CN"/>
              </w:rPr>
              <w:t>682</w:t>
            </w:r>
            <w:r>
              <w:rPr>
                <w:rFonts w:hint="eastAsia" w:ascii="Times New Roman" w:hAnsi="Times New Roman"/>
                <w:color w:val="auto"/>
                <w:sz w:val="24"/>
              </w:rPr>
              <w:t>号《建设项目环境保护管理条例》，本项目需要进行环境影响评价，对照中华人民共和国生态环境部颁布的《建设项目环境影响评价分类管理名录》（2021版）的有关规定，该项目属于</w:t>
            </w:r>
            <w:r>
              <w:rPr>
                <w:rFonts w:hint="eastAsia" w:ascii="Times New Roman" w:hAnsi="Times New Roman"/>
                <w:color w:val="auto"/>
                <w:sz w:val="24"/>
                <w:lang w:eastAsia="zh-CN"/>
              </w:rPr>
              <w:t>“</w:t>
            </w:r>
            <w:r>
              <w:rPr>
                <w:rFonts w:hint="eastAsia" w:ascii="Times New Roman" w:hAnsi="Times New Roman"/>
                <w:color w:val="auto"/>
                <w:sz w:val="24"/>
              </w:rPr>
              <w:t>四、煤炭开采和洗选业 06</w:t>
            </w:r>
            <w:r>
              <w:rPr>
                <w:rFonts w:hint="eastAsia" w:ascii="Times New Roman" w:hAnsi="Times New Roman"/>
                <w:color w:val="auto"/>
                <w:sz w:val="24"/>
                <w:lang w:eastAsia="zh-CN"/>
              </w:rPr>
              <w:t>；</w:t>
            </w:r>
            <w:r>
              <w:rPr>
                <w:rFonts w:hint="eastAsia" w:ascii="Times New Roman" w:hAnsi="Times New Roman"/>
                <w:color w:val="auto"/>
                <w:sz w:val="24"/>
              </w:rPr>
              <w:t>煤炭洗选、配煤</w:t>
            </w:r>
            <w:r>
              <w:rPr>
                <w:rFonts w:hint="eastAsia" w:ascii="Times New Roman" w:hAnsi="Times New Roman"/>
                <w:color w:val="auto"/>
                <w:sz w:val="24"/>
                <w:lang w:eastAsia="zh-CN"/>
              </w:rPr>
              <w:t>”</w:t>
            </w:r>
            <w:r>
              <w:rPr>
                <w:rFonts w:hint="eastAsia" w:ascii="Times New Roman" w:hAnsi="Times New Roman"/>
                <w:color w:val="auto"/>
                <w:sz w:val="24"/>
              </w:rPr>
              <w:t>。应编制环评报告表（详见表2-1）。</w:t>
            </w:r>
          </w:p>
          <w:p w14:paraId="3DD19DFE">
            <w:pPr>
              <w:keepNext w:val="0"/>
              <w:keepLines w:val="0"/>
              <w:pageBreakBefore w:val="0"/>
              <w:widowControl/>
              <w:tabs>
                <w:tab w:val="left" w:pos="420"/>
              </w:tabs>
              <w:kinsoku/>
              <w:wordWrap/>
              <w:overflowPunct/>
              <w:topLinePunct w:val="0"/>
              <w:autoSpaceDE/>
              <w:autoSpaceDN/>
              <w:bidi w:val="0"/>
              <w:adjustRightInd/>
              <w:snapToGrid/>
              <w:spacing w:before="157" w:beforeLines="50" w:line="360" w:lineRule="auto"/>
              <w:jc w:val="center"/>
              <w:textAlignment w:val="auto"/>
              <w:rPr>
                <w:rFonts w:hint="eastAsia" w:ascii="Times New Roman" w:hAnsi="Times New Roman"/>
                <w:b/>
                <w:bCs/>
                <w:color w:val="auto"/>
                <w:lang w:val="en-US" w:eastAsia="zh-CN"/>
              </w:rPr>
            </w:pPr>
            <w:r>
              <w:rPr>
                <w:rFonts w:hint="default" w:ascii="Times New Roman" w:hAnsi="Times New Roman" w:eastAsia="宋体" w:cs="Times New Roman"/>
                <w:b/>
                <w:bCs/>
                <w:color w:val="auto"/>
                <w:sz w:val="21"/>
                <w:szCs w:val="21"/>
                <w:lang w:val="en-US" w:eastAsia="zh-CN"/>
              </w:rPr>
              <w:t>表2-1 建设项目环境影响评价分类管理目录（摘录）</w:t>
            </w:r>
          </w:p>
          <w:tbl>
            <w:tblPr>
              <w:tblStyle w:val="31"/>
              <w:tblW w:w="488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986"/>
              <w:gridCol w:w="1066"/>
              <w:gridCol w:w="3074"/>
              <w:gridCol w:w="874"/>
            </w:tblGrid>
            <w:tr w14:paraId="194F80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1867" w:type="pct"/>
                  <w:tcBorders>
                    <w:top w:val="single" w:color="auto" w:sz="12" w:space="0"/>
                    <w:left w:val="nil"/>
                    <w:bottom w:val="single" w:color="auto" w:sz="6" w:space="0"/>
                    <w:right w:val="single" w:color="auto" w:sz="6" w:space="0"/>
                    <w:tl2br w:val="single" w:color="auto" w:sz="8" w:space="0"/>
                  </w:tcBorders>
                  <w:noWrap w:val="0"/>
                  <w:vAlign w:val="center"/>
                </w:tcPr>
                <w:p w14:paraId="10A94BC3">
                  <w:pPr>
                    <w:keepNext w:val="0"/>
                    <w:keepLines w:val="0"/>
                    <w:pageBreakBefore w:val="0"/>
                    <w:kinsoku/>
                    <w:wordWrap/>
                    <w:overflowPunct/>
                    <w:topLinePunct w:val="0"/>
                    <w:autoSpaceDE/>
                    <w:autoSpaceDN/>
                    <w:bidi w:val="0"/>
                    <w:adjustRightInd w:val="0"/>
                    <w:snapToGrid w:val="0"/>
                    <w:spacing w:line="288" w:lineRule="auto"/>
                    <w:jc w:val="center"/>
                    <w:textAlignment w:val="auto"/>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lang w:val="en-US" w:eastAsia="zh-CN"/>
                    </w:rPr>
                    <w:t xml:space="preserve">         </w:t>
                  </w:r>
                  <w:r>
                    <w:rPr>
                      <w:rFonts w:hint="eastAsia" w:ascii="Times New Roman" w:hAnsi="Times New Roman" w:eastAsia="宋体" w:cs="Times New Roman"/>
                      <w:b/>
                      <w:bCs/>
                      <w:color w:val="auto"/>
                      <w:sz w:val="21"/>
                      <w:szCs w:val="21"/>
                    </w:rPr>
                    <w:t>环评类别</w:t>
                  </w:r>
                </w:p>
                <w:p w14:paraId="10DDAD9F">
                  <w:pPr>
                    <w:keepNext w:val="0"/>
                    <w:keepLines w:val="0"/>
                    <w:pageBreakBefore w:val="0"/>
                    <w:kinsoku/>
                    <w:wordWrap/>
                    <w:overflowPunct/>
                    <w:topLinePunct w:val="0"/>
                    <w:autoSpaceDE/>
                    <w:autoSpaceDN/>
                    <w:bidi w:val="0"/>
                    <w:adjustRightInd w:val="0"/>
                    <w:snapToGrid w:val="0"/>
                    <w:spacing w:line="288" w:lineRule="auto"/>
                    <w:jc w:val="both"/>
                    <w:textAlignment w:val="auto"/>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项目类别</w:t>
                  </w:r>
                </w:p>
              </w:tc>
              <w:tc>
                <w:tcPr>
                  <w:tcW w:w="666" w:type="pct"/>
                  <w:tcBorders>
                    <w:top w:val="single" w:color="auto" w:sz="12" w:space="0"/>
                    <w:left w:val="single" w:color="auto" w:sz="6" w:space="0"/>
                    <w:bottom w:val="single" w:color="auto" w:sz="6" w:space="0"/>
                    <w:right w:val="single" w:color="auto" w:sz="6" w:space="0"/>
                  </w:tcBorders>
                  <w:noWrap w:val="0"/>
                  <w:vAlign w:val="center"/>
                </w:tcPr>
                <w:p w14:paraId="007FA0B5">
                  <w:pPr>
                    <w:keepNext w:val="0"/>
                    <w:keepLines w:val="0"/>
                    <w:pageBreakBefore w:val="0"/>
                    <w:kinsoku/>
                    <w:wordWrap/>
                    <w:overflowPunct/>
                    <w:topLinePunct w:val="0"/>
                    <w:autoSpaceDE/>
                    <w:autoSpaceDN/>
                    <w:bidi w:val="0"/>
                    <w:adjustRightInd w:val="0"/>
                    <w:snapToGrid w:val="0"/>
                    <w:spacing w:line="288" w:lineRule="auto"/>
                    <w:jc w:val="center"/>
                    <w:textAlignment w:val="auto"/>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报告书</w:t>
                  </w:r>
                </w:p>
              </w:tc>
              <w:tc>
                <w:tcPr>
                  <w:tcW w:w="1921" w:type="pct"/>
                  <w:tcBorders>
                    <w:top w:val="single" w:color="auto" w:sz="12" w:space="0"/>
                    <w:left w:val="single" w:color="auto" w:sz="6" w:space="0"/>
                    <w:bottom w:val="single" w:color="auto" w:sz="6" w:space="0"/>
                    <w:right w:val="single" w:color="auto" w:sz="6" w:space="0"/>
                  </w:tcBorders>
                  <w:noWrap w:val="0"/>
                  <w:vAlign w:val="center"/>
                </w:tcPr>
                <w:p w14:paraId="14E02F80">
                  <w:pPr>
                    <w:keepNext w:val="0"/>
                    <w:keepLines w:val="0"/>
                    <w:pageBreakBefore w:val="0"/>
                    <w:kinsoku/>
                    <w:wordWrap/>
                    <w:overflowPunct/>
                    <w:topLinePunct w:val="0"/>
                    <w:autoSpaceDE/>
                    <w:autoSpaceDN/>
                    <w:bidi w:val="0"/>
                    <w:adjustRightInd w:val="0"/>
                    <w:snapToGrid w:val="0"/>
                    <w:spacing w:line="288" w:lineRule="auto"/>
                    <w:jc w:val="center"/>
                    <w:textAlignment w:val="auto"/>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报告表</w:t>
                  </w:r>
                </w:p>
              </w:tc>
              <w:tc>
                <w:tcPr>
                  <w:tcW w:w="544" w:type="pct"/>
                  <w:tcBorders>
                    <w:top w:val="single" w:color="auto" w:sz="12" w:space="0"/>
                    <w:left w:val="single" w:color="auto" w:sz="6" w:space="0"/>
                    <w:bottom w:val="single" w:color="auto" w:sz="6" w:space="0"/>
                    <w:right w:val="nil"/>
                  </w:tcBorders>
                  <w:noWrap w:val="0"/>
                  <w:vAlign w:val="center"/>
                </w:tcPr>
                <w:p w14:paraId="4EEBBB43">
                  <w:pPr>
                    <w:keepNext w:val="0"/>
                    <w:keepLines w:val="0"/>
                    <w:pageBreakBefore w:val="0"/>
                    <w:kinsoku/>
                    <w:wordWrap/>
                    <w:overflowPunct/>
                    <w:topLinePunct w:val="0"/>
                    <w:autoSpaceDE/>
                    <w:autoSpaceDN/>
                    <w:bidi w:val="0"/>
                    <w:adjustRightInd w:val="0"/>
                    <w:snapToGrid w:val="0"/>
                    <w:spacing w:line="288" w:lineRule="auto"/>
                    <w:jc w:val="center"/>
                    <w:textAlignment w:val="auto"/>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登记表</w:t>
                  </w:r>
                </w:p>
              </w:tc>
            </w:tr>
            <w:tr w14:paraId="329304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5000" w:type="pct"/>
                  <w:gridSpan w:val="4"/>
                  <w:tcBorders>
                    <w:top w:val="single" w:color="auto" w:sz="6" w:space="0"/>
                    <w:left w:val="nil"/>
                    <w:bottom w:val="single" w:color="auto" w:sz="6" w:space="0"/>
                    <w:right w:val="nil"/>
                  </w:tcBorders>
                  <w:noWrap w:val="0"/>
                  <w:vAlign w:val="center"/>
                </w:tcPr>
                <w:p w14:paraId="355C6489">
                  <w:pPr>
                    <w:keepNext w:val="0"/>
                    <w:keepLines w:val="0"/>
                    <w:pageBreakBefore w:val="0"/>
                    <w:kinsoku/>
                    <w:wordWrap/>
                    <w:overflowPunct/>
                    <w:topLinePunct w:val="0"/>
                    <w:autoSpaceDE/>
                    <w:autoSpaceDN/>
                    <w:bidi w:val="0"/>
                    <w:adjustRightInd w:val="0"/>
                    <w:snapToGrid w:val="0"/>
                    <w:spacing w:line="288" w:lineRule="auto"/>
                    <w:jc w:val="both"/>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四、煤炭开采和洗选业 06</w:t>
                  </w:r>
                </w:p>
              </w:tc>
            </w:tr>
            <w:tr w14:paraId="36AED4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3" w:hRule="atLeast"/>
                <w:jc w:val="center"/>
              </w:trPr>
              <w:tc>
                <w:tcPr>
                  <w:tcW w:w="1867" w:type="pct"/>
                  <w:tcBorders>
                    <w:top w:val="single" w:color="auto" w:sz="6" w:space="0"/>
                    <w:left w:val="nil"/>
                    <w:bottom w:val="single" w:color="auto" w:sz="12" w:space="0"/>
                    <w:right w:val="single" w:color="auto" w:sz="6" w:space="0"/>
                  </w:tcBorders>
                  <w:noWrap w:val="0"/>
                  <w:vAlign w:val="center"/>
                </w:tcPr>
                <w:p w14:paraId="6FC32400">
                  <w:pPr>
                    <w:keepNext w:val="0"/>
                    <w:keepLines w:val="0"/>
                    <w:pageBreakBefore w:val="0"/>
                    <w:widowControl/>
                    <w:suppressLineNumbers w:val="0"/>
                    <w:kinsoku/>
                    <w:wordWrap/>
                    <w:overflowPunct/>
                    <w:topLinePunct w:val="0"/>
                    <w:autoSpaceDE/>
                    <w:autoSpaceDN/>
                    <w:bidi w:val="0"/>
                    <w:spacing w:line="288" w:lineRule="auto"/>
                    <w:jc w:val="left"/>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6、烟煤和无烟煤开采洗选 061；褐煤开采洗选 062；其他煤炭采选 069</w:t>
                  </w:r>
                </w:p>
              </w:tc>
              <w:tc>
                <w:tcPr>
                  <w:tcW w:w="666" w:type="pct"/>
                  <w:tcBorders>
                    <w:top w:val="single" w:color="auto" w:sz="6" w:space="0"/>
                    <w:left w:val="single" w:color="auto" w:sz="6" w:space="0"/>
                    <w:bottom w:val="single" w:color="auto" w:sz="12" w:space="0"/>
                    <w:right w:val="single" w:color="auto" w:sz="6" w:space="0"/>
                  </w:tcBorders>
                  <w:noWrap w:val="0"/>
                  <w:vAlign w:val="center"/>
                </w:tcPr>
                <w:p w14:paraId="6394583B">
                  <w:pPr>
                    <w:keepNext w:val="0"/>
                    <w:keepLines w:val="0"/>
                    <w:pageBreakBefore w:val="0"/>
                    <w:widowControl/>
                    <w:suppressLineNumbers w:val="0"/>
                    <w:kinsoku/>
                    <w:wordWrap/>
                    <w:overflowPunct/>
                    <w:topLinePunct w:val="0"/>
                    <w:autoSpaceDE/>
                    <w:autoSpaceDN/>
                    <w:bidi w:val="0"/>
                    <w:spacing w:line="288" w:lineRule="auto"/>
                    <w:jc w:val="left"/>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煤炭开采</w:t>
                  </w:r>
                </w:p>
              </w:tc>
              <w:tc>
                <w:tcPr>
                  <w:tcW w:w="1921" w:type="pct"/>
                  <w:tcBorders>
                    <w:top w:val="single" w:color="auto" w:sz="6" w:space="0"/>
                    <w:left w:val="single" w:color="auto" w:sz="6" w:space="0"/>
                    <w:bottom w:val="single" w:color="auto" w:sz="12" w:space="0"/>
                    <w:right w:val="single" w:color="auto" w:sz="6" w:space="0"/>
                  </w:tcBorders>
                  <w:noWrap w:val="0"/>
                  <w:vAlign w:val="center"/>
                </w:tcPr>
                <w:p w14:paraId="27BD23B5">
                  <w:pPr>
                    <w:keepNext w:val="0"/>
                    <w:keepLines w:val="0"/>
                    <w:pageBreakBefore w:val="0"/>
                    <w:widowControl/>
                    <w:suppressLineNumbers w:val="0"/>
                    <w:kinsoku/>
                    <w:wordWrap/>
                    <w:overflowPunct/>
                    <w:topLinePunct w:val="0"/>
                    <w:autoSpaceDE/>
                    <w:autoSpaceDN/>
                    <w:bidi w:val="0"/>
                    <w:spacing w:line="288" w:lineRule="auto"/>
                    <w:jc w:val="left"/>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煤炭洗选、配煤；煤炭储存、集运；风井场地、瓦斯抽放站；矿区修复治理工程（含煤矿火烧区治理工程）</w:t>
                  </w:r>
                </w:p>
              </w:tc>
              <w:tc>
                <w:tcPr>
                  <w:tcW w:w="544" w:type="pct"/>
                  <w:tcBorders>
                    <w:top w:val="single" w:color="auto" w:sz="6" w:space="0"/>
                    <w:left w:val="single" w:color="auto" w:sz="6" w:space="0"/>
                    <w:bottom w:val="single" w:color="auto" w:sz="12" w:space="0"/>
                    <w:right w:val="nil"/>
                  </w:tcBorders>
                  <w:noWrap w:val="0"/>
                  <w:vAlign w:val="center"/>
                </w:tcPr>
                <w:p w14:paraId="6971189C">
                  <w:pPr>
                    <w:keepNext w:val="0"/>
                    <w:keepLines w:val="0"/>
                    <w:pageBreakBefore w:val="0"/>
                    <w:kinsoku/>
                    <w:wordWrap/>
                    <w:overflowPunct/>
                    <w:topLinePunct w:val="0"/>
                    <w:autoSpaceDE/>
                    <w:autoSpaceDN/>
                    <w:bidi w:val="0"/>
                    <w:adjustRightInd w:val="0"/>
                    <w:snapToGrid w:val="0"/>
                    <w:spacing w:line="288" w:lineRule="auto"/>
                    <w:jc w:val="center"/>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p>
              </w:tc>
            </w:tr>
          </w:tbl>
          <w:p w14:paraId="41F855BE">
            <w:pPr>
              <w:pStyle w:val="66"/>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cs="Times New Roman"/>
                <w:b/>
                <w:bCs/>
                <w:color w:val="auto"/>
                <w:kern w:val="2"/>
                <w:sz w:val="24"/>
                <w:szCs w:val="24"/>
                <w:highlight w:val="none"/>
                <w:lang w:val="en-US" w:eastAsia="zh-CN" w:bidi="ar-SA"/>
              </w:rPr>
            </w:pPr>
            <w:r>
              <w:rPr>
                <w:rFonts w:hint="eastAsia" w:ascii="Times New Roman" w:hAnsi="Times New Roman"/>
                <w:color w:val="auto"/>
                <w:sz w:val="24"/>
                <w:szCs w:val="24"/>
              </w:rPr>
              <w:t>为了完善项目环评审批手续</w:t>
            </w:r>
            <w:r>
              <w:rPr>
                <w:rFonts w:hint="eastAsia" w:ascii="Times New Roman" w:hAnsi="Times New Roman"/>
                <w:color w:val="auto"/>
                <w:sz w:val="24"/>
                <w:szCs w:val="24"/>
                <w:lang w:val="en-US" w:eastAsia="zh-CN"/>
              </w:rPr>
              <w:t>，</w:t>
            </w:r>
            <w:r>
              <w:rPr>
                <w:rFonts w:hint="eastAsia" w:ascii="Times New Roman" w:hAnsi="Times New Roman"/>
                <w:color w:val="auto"/>
                <w:sz w:val="24"/>
                <w:szCs w:val="24"/>
              </w:rPr>
              <w:t>建设单位委</w:t>
            </w:r>
            <w:r>
              <w:rPr>
                <w:rFonts w:hint="eastAsia" w:ascii="Times New Roman" w:hAnsi="Times New Roman"/>
                <w:color w:val="auto"/>
                <w:sz w:val="24"/>
                <w:szCs w:val="24"/>
                <w:highlight w:val="none"/>
              </w:rPr>
              <w:t>托</w:t>
            </w:r>
            <w:r>
              <w:rPr>
                <w:rFonts w:hint="eastAsia" w:ascii="Times New Roman" w:hAnsi="Times New Roman"/>
                <w:color w:val="auto"/>
                <w:sz w:val="24"/>
                <w:szCs w:val="24"/>
                <w:highlight w:val="none"/>
                <w:lang w:eastAsia="zh-CN"/>
              </w:rPr>
              <w:t>黑龙江平成</w:t>
            </w:r>
            <w:r>
              <w:rPr>
                <w:rFonts w:hint="eastAsia" w:ascii="Times New Roman" w:hAnsi="Times New Roman"/>
                <w:color w:val="auto"/>
                <w:sz w:val="24"/>
                <w:szCs w:val="24"/>
                <w:highlight w:val="none"/>
              </w:rPr>
              <w:t>环</w:t>
            </w:r>
            <w:r>
              <w:rPr>
                <w:rFonts w:hint="eastAsia" w:ascii="Times New Roman" w:hAnsi="Times New Roman"/>
                <w:color w:val="auto"/>
                <w:sz w:val="24"/>
                <w:szCs w:val="24"/>
              </w:rPr>
              <w:t>保科技有限公司编制该项目的环境影响报告表。我公司接受委托后，组织有关人员进行现场踏勘，在对项目开展环境现状调查、资料收集等和调研的基础上，按照环境影响评价有关技术导则和要求，编制了本项目环境影响报告表。供建设单位报环保主管部门审批。</w:t>
            </w:r>
          </w:p>
          <w:p w14:paraId="1760DAB4">
            <w:pPr>
              <w:pStyle w:val="66"/>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left="-62" w:leftChars="0" w:firstLine="482" w:firstLineChars="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主要建设内容及规模</w:t>
            </w:r>
          </w:p>
          <w:p w14:paraId="33AC8687">
            <w:pPr>
              <w:spacing w:line="360" w:lineRule="auto"/>
              <w:ind w:firstLine="480" w:firstLineChars="200"/>
              <w:rPr>
                <w:rFonts w:hint="default" w:ascii="Times New Roman" w:hAnsi="Times New Roman" w:eastAsia="宋体" w:cs="Times New Roman"/>
                <w:b/>
                <w:color w:val="auto"/>
                <w:sz w:val="21"/>
                <w:szCs w:val="21"/>
                <w:highlight w:val="none"/>
              </w:rPr>
            </w:pPr>
            <w:r>
              <w:rPr>
                <w:rFonts w:hint="default" w:ascii="Times New Roman" w:hAnsi="Times New Roman" w:cs="Times New Roman"/>
                <w:color w:val="auto"/>
                <w:sz w:val="24"/>
                <w:highlight w:val="none"/>
              </w:rPr>
              <w:t>具体项目组成见表</w:t>
            </w:r>
            <w:r>
              <w:rPr>
                <w:rFonts w:hint="default" w:ascii="Times New Roman" w:hAnsi="Times New Roman" w:cs="Times New Roman"/>
                <w:color w:val="auto"/>
                <w:sz w:val="24"/>
                <w:highlight w:val="none"/>
                <w:lang w:val="en-US" w:eastAsia="zh-CN"/>
              </w:rPr>
              <w:t>2-</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rPr>
              <w:t>。</w:t>
            </w:r>
          </w:p>
          <w:p w14:paraId="23407C59">
            <w:pPr>
              <w:pStyle w:val="66"/>
              <w:tabs>
                <w:tab w:val="left" w:pos="3590"/>
                <w:tab w:val="center" w:pos="4605"/>
              </w:tabs>
              <w:adjustRightInd w:val="0"/>
              <w:snapToGrid w:val="0"/>
              <w:spacing w:after="60" w:line="240" w:lineRule="auto"/>
              <w:ind w:firstLine="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bCs/>
                <w:color w:val="auto"/>
                <w:kern w:val="2"/>
                <w:sz w:val="21"/>
                <w:szCs w:val="21"/>
                <w:lang w:val="en-US" w:eastAsia="zh-CN" w:bidi="ar-SA"/>
              </w:rPr>
              <w:t>表2-</w:t>
            </w:r>
            <w:r>
              <w:rPr>
                <w:rFonts w:hint="eastAsia" w:cs="Times New Roman"/>
                <w:b/>
                <w:bCs/>
                <w:color w:val="auto"/>
                <w:kern w:val="2"/>
                <w:sz w:val="21"/>
                <w:szCs w:val="21"/>
                <w:lang w:val="en-US" w:eastAsia="zh-CN" w:bidi="ar-SA"/>
              </w:rPr>
              <w:t>2</w:t>
            </w:r>
            <w:r>
              <w:rPr>
                <w:rFonts w:hint="default" w:ascii="Times New Roman" w:hAnsi="Times New Roman" w:eastAsia="宋体" w:cs="Times New Roman"/>
                <w:b/>
                <w:bCs/>
                <w:color w:val="auto"/>
                <w:kern w:val="2"/>
                <w:sz w:val="21"/>
                <w:szCs w:val="21"/>
                <w:lang w:val="en-US" w:eastAsia="zh-CN" w:bidi="ar-SA"/>
              </w:rPr>
              <w:t xml:space="preserve"> 本项目主要建设内容</w:t>
            </w:r>
          </w:p>
          <w:tbl>
            <w:tblPr>
              <w:tblStyle w:val="31"/>
              <w:tblW w:w="493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9"/>
              <w:gridCol w:w="492"/>
              <w:gridCol w:w="821"/>
              <w:gridCol w:w="5063"/>
              <w:gridCol w:w="1107"/>
            </w:tblGrid>
            <w:tr w14:paraId="6AABA3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388" w:type="pct"/>
                  <w:noWrap w:val="0"/>
                  <w:vAlign w:val="center"/>
                </w:tcPr>
                <w:p w14:paraId="0EC148B5">
                  <w:pPr>
                    <w:spacing w:line="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工程分类</w:t>
                  </w:r>
                </w:p>
              </w:tc>
              <w:tc>
                <w:tcPr>
                  <w:tcW w:w="809" w:type="pct"/>
                  <w:gridSpan w:val="2"/>
                  <w:noWrap w:val="0"/>
                  <w:vAlign w:val="center"/>
                </w:tcPr>
                <w:p w14:paraId="35B00FD0">
                  <w:pPr>
                    <w:spacing w:line="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项目名称</w:t>
                  </w:r>
                </w:p>
              </w:tc>
              <w:tc>
                <w:tcPr>
                  <w:tcW w:w="3120" w:type="pct"/>
                  <w:noWrap w:val="0"/>
                  <w:vAlign w:val="center"/>
                </w:tcPr>
                <w:p w14:paraId="201E42B1">
                  <w:pPr>
                    <w:spacing w:line="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工程内容</w:t>
                  </w:r>
                </w:p>
              </w:tc>
              <w:tc>
                <w:tcPr>
                  <w:tcW w:w="682" w:type="pct"/>
                  <w:noWrap w:val="0"/>
                  <w:vAlign w:val="center"/>
                </w:tcPr>
                <w:p w14:paraId="3AE84AC0">
                  <w:pPr>
                    <w:spacing w:line="0" w:lineRule="atLeast"/>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备注</w:t>
                  </w:r>
                </w:p>
              </w:tc>
            </w:tr>
            <w:tr w14:paraId="2A7EB1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8" w:type="pct"/>
                  <w:vMerge w:val="restart"/>
                  <w:noWrap w:val="0"/>
                  <w:vAlign w:val="center"/>
                </w:tcPr>
                <w:p w14:paraId="3FAEA693">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主体工程</w:t>
                  </w:r>
                </w:p>
              </w:tc>
              <w:tc>
                <w:tcPr>
                  <w:tcW w:w="809" w:type="pct"/>
                  <w:gridSpan w:val="2"/>
                  <w:noWrap w:val="0"/>
                  <w:vAlign w:val="center"/>
                </w:tcPr>
                <w:p w14:paraId="424C5D1A">
                  <w:pPr>
                    <w:spacing w:line="0" w:lineRule="atLeast"/>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 w:val="21"/>
                      <w:szCs w:val="21"/>
                      <w:highlight w:val="none"/>
                      <w:lang w:val="en-US" w:eastAsia="zh-CN"/>
                    </w:rPr>
                    <w:t>主厂房</w:t>
                  </w:r>
                </w:p>
              </w:tc>
              <w:tc>
                <w:tcPr>
                  <w:tcW w:w="3120" w:type="pct"/>
                  <w:noWrap w:val="0"/>
                  <w:vAlign w:val="center"/>
                </w:tcPr>
                <w:p w14:paraId="28D69D23">
                  <w:pPr>
                    <w:snapToGrid w:val="0"/>
                    <w:jc w:val="left"/>
                    <w:rPr>
                      <w:rFonts w:hint="default" w:ascii="Times New Roman" w:hAnsi="Times New Roman" w:eastAsia="宋体" w:cs="Times New Roman"/>
                      <w:color w:val="auto"/>
                      <w:kern w:val="2"/>
                      <w:sz w:val="21"/>
                      <w:szCs w:val="21"/>
                      <w:highlight w:val="none"/>
                      <w:u w:val="none" w:color="000000"/>
                      <w:lang w:val="en-US" w:eastAsia="zh-CN" w:bidi="ar-SA"/>
                    </w:rPr>
                  </w:pPr>
                  <w:r>
                    <w:rPr>
                      <w:rFonts w:hint="eastAsia" w:ascii="Times New Roman" w:hAnsi="Times New Roman"/>
                      <w:color w:val="auto"/>
                      <w:szCs w:val="21"/>
                      <w:highlight w:val="none"/>
                      <w:u w:val="none" w:color="000000"/>
                      <w:lang w:eastAsia="zh-CN"/>
                    </w:rPr>
                    <w:t>占地面积为</w:t>
                  </w:r>
                  <w:r>
                    <w:rPr>
                      <w:rFonts w:hint="eastAsia" w:ascii="Times New Roman" w:hAnsi="Times New Roman"/>
                      <w:color w:val="auto"/>
                      <w:szCs w:val="21"/>
                      <w:highlight w:val="none"/>
                      <w:u w:val="none" w:color="000000"/>
                      <w:lang w:val="en-US" w:eastAsia="zh-CN"/>
                    </w:rPr>
                    <w:t>570m</w:t>
                  </w:r>
                  <w:r>
                    <w:rPr>
                      <w:rFonts w:hint="eastAsia" w:ascii="Times New Roman" w:hAnsi="Times New Roman"/>
                      <w:color w:val="auto"/>
                      <w:szCs w:val="21"/>
                      <w:highlight w:val="none"/>
                      <w:u w:val="none" w:color="000000"/>
                      <w:vertAlign w:val="superscript"/>
                      <w:lang w:val="en-US" w:eastAsia="zh-CN"/>
                    </w:rPr>
                    <w:t>2</w:t>
                  </w:r>
                  <w:r>
                    <w:rPr>
                      <w:rFonts w:hint="eastAsia" w:ascii="Times New Roman" w:hAnsi="Times New Roman"/>
                      <w:color w:val="auto"/>
                      <w:szCs w:val="21"/>
                      <w:highlight w:val="none"/>
                      <w:u w:val="none" w:color="000000"/>
                      <w:lang w:val="en-US" w:eastAsia="zh-CN"/>
                    </w:rPr>
                    <w:t>，</w:t>
                  </w:r>
                  <w:r>
                    <w:rPr>
                      <w:rFonts w:hint="eastAsia" w:ascii="Times New Roman" w:hAnsi="Times New Roman"/>
                      <w:color w:val="auto"/>
                      <w:szCs w:val="21"/>
                      <w:highlight w:val="none"/>
                      <w:u w:val="none" w:color="000000"/>
                    </w:rPr>
                    <w:t>安装</w:t>
                  </w:r>
                  <w:r>
                    <w:rPr>
                      <w:rFonts w:hint="eastAsia" w:ascii="Times New Roman" w:hAnsi="Times New Roman"/>
                      <w:color w:val="auto"/>
                      <w:szCs w:val="21"/>
                      <w:highlight w:val="none"/>
                      <w:u w:val="none" w:color="000000"/>
                      <w:lang w:eastAsia="zh-CN"/>
                    </w:rPr>
                    <w:t>往复式给料机，跳汰机等。</w:t>
                  </w:r>
                </w:p>
              </w:tc>
              <w:tc>
                <w:tcPr>
                  <w:tcW w:w="682" w:type="pct"/>
                  <w:noWrap w:val="0"/>
                  <w:vAlign w:val="center"/>
                </w:tcPr>
                <w:p w14:paraId="722E4B56">
                  <w:pPr>
                    <w:spacing w:line="0" w:lineRule="atLeast"/>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已建成</w:t>
                  </w:r>
                </w:p>
              </w:tc>
            </w:tr>
            <w:tr w14:paraId="3900A9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8" w:type="pct"/>
                  <w:vMerge w:val="continue"/>
                  <w:noWrap w:val="0"/>
                  <w:vAlign w:val="center"/>
                </w:tcPr>
                <w:p w14:paraId="763B8C3B">
                  <w:pPr>
                    <w:spacing w:line="0" w:lineRule="atLeast"/>
                    <w:jc w:val="center"/>
                    <w:rPr>
                      <w:rFonts w:hint="default" w:ascii="Times New Roman" w:hAnsi="Times New Roman" w:cs="Times New Roman"/>
                      <w:color w:val="auto"/>
                      <w:szCs w:val="21"/>
                      <w:highlight w:val="none"/>
                    </w:rPr>
                  </w:pPr>
                </w:p>
              </w:tc>
              <w:tc>
                <w:tcPr>
                  <w:tcW w:w="809" w:type="pct"/>
                  <w:gridSpan w:val="2"/>
                  <w:noWrap w:val="0"/>
                  <w:vAlign w:val="center"/>
                </w:tcPr>
                <w:p w14:paraId="1A59E4E4">
                  <w:pPr>
                    <w:spacing w:line="0" w:lineRule="atLeast"/>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上料皮带</w:t>
                  </w:r>
                </w:p>
              </w:tc>
              <w:tc>
                <w:tcPr>
                  <w:tcW w:w="3120" w:type="pct"/>
                  <w:noWrap w:val="0"/>
                  <w:vAlign w:val="center"/>
                </w:tcPr>
                <w:p w14:paraId="620D9B96">
                  <w:pPr>
                    <w:snapToGrid w:val="0"/>
                    <w:jc w:val="left"/>
                    <w:rPr>
                      <w:rFonts w:hint="default" w:ascii="Times New Roman" w:hAnsi="Times New Roman"/>
                      <w:color w:val="auto"/>
                      <w:szCs w:val="21"/>
                      <w:highlight w:val="none"/>
                      <w:u w:val="none" w:color="000000"/>
                      <w:lang w:val="en-US" w:eastAsia="zh-CN"/>
                    </w:rPr>
                  </w:pPr>
                  <w:r>
                    <w:rPr>
                      <w:rFonts w:hint="eastAsia" w:ascii="Times New Roman" w:hAnsi="Times New Roman"/>
                      <w:color w:val="auto"/>
                      <w:szCs w:val="21"/>
                      <w:highlight w:val="none"/>
                      <w:u w:val="none" w:color="000000"/>
                      <w:lang w:eastAsia="zh-CN"/>
                    </w:rPr>
                    <w:t>占地面积</w:t>
                  </w:r>
                  <w:r>
                    <w:rPr>
                      <w:rFonts w:hint="eastAsia" w:ascii="Times New Roman" w:hAnsi="Times New Roman"/>
                      <w:color w:val="auto"/>
                      <w:szCs w:val="21"/>
                      <w:highlight w:val="none"/>
                      <w:u w:val="none" w:color="000000"/>
                      <w:lang w:val="en-US" w:eastAsia="zh-CN"/>
                    </w:rPr>
                    <w:t>200m</w:t>
                  </w:r>
                  <w:r>
                    <w:rPr>
                      <w:rFonts w:hint="eastAsia" w:ascii="Times New Roman" w:hAnsi="Times New Roman"/>
                      <w:color w:val="auto"/>
                      <w:szCs w:val="21"/>
                      <w:highlight w:val="none"/>
                      <w:u w:val="none" w:color="000000"/>
                      <w:vertAlign w:val="superscript"/>
                      <w:lang w:val="en-US" w:eastAsia="zh-CN"/>
                    </w:rPr>
                    <w:t>2</w:t>
                  </w:r>
                  <w:r>
                    <w:rPr>
                      <w:rFonts w:hint="eastAsia" w:ascii="Times New Roman" w:hAnsi="Times New Roman"/>
                      <w:color w:val="auto"/>
                      <w:szCs w:val="21"/>
                      <w:highlight w:val="none"/>
                      <w:u w:val="none" w:color="000000"/>
                      <w:lang w:val="en-US" w:eastAsia="zh-CN"/>
                    </w:rPr>
                    <w:t>，输送原煤。</w:t>
                  </w:r>
                </w:p>
              </w:tc>
              <w:tc>
                <w:tcPr>
                  <w:tcW w:w="682" w:type="pct"/>
                  <w:noWrap w:val="0"/>
                  <w:vAlign w:val="center"/>
                </w:tcPr>
                <w:p w14:paraId="0EF03E79">
                  <w:pPr>
                    <w:spacing w:line="0" w:lineRule="atLeast"/>
                    <w:jc w:val="center"/>
                    <w:rPr>
                      <w:rFonts w:hint="eastAsia" w:ascii="Times New Roman" w:hAnsi="Times New Roman" w:cs="Times New Roman"/>
                      <w:color w:val="auto"/>
                      <w:szCs w:val="21"/>
                      <w:highlight w:val="none"/>
                      <w:lang w:eastAsia="zh-CN"/>
                    </w:rPr>
                  </w:pPr>
                  <w:r>
                    <w:rPr>
                      <w:rFonts w:hint="eastAsia" w:cs="Times New Roman"/>
                      <w:color w:val="auto"/>
                      <w:szCs w:val="21"/>
                      <w:highlight w:val="none"/>
                      <w:lang w:eastAsia="zh-CN"/>
                    </w:rPr>
                    <w:t>已建成</w:t>
                  </w:r>
                </w:p>
              </w:tc>
            </w:tr>
            <w:tr w14:paraId="33152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88" w:type="pct"/>
                  <w:vMerge w:val="continue"/>
                  <w:noWrap w:val="0"/>
                  <w:vAlign w:val="center"/>
                </w:tcPr>
                <w:p w14:paraId="067F012E">
                  <w:pPr>
                    <w:spacing w:line="0" w:lineRule="atLeast"/>
                    <w:jc w:val="center"/>
                    <w:rPr>
                      <w:rFonts w:hint="default" w:ascii="Times New Roman" w:hAnsi="Times New Roman" w:cs="Times New Roman"/>
                      <w:color w:val="auto"/>
                      <w:szCs w:val="21"/>
                      <w:highlight w:val="none"/>
                    </w:rPr>
                  </w:pPr>
                </w:p>
              </w:tc>
              <w:tc>
                <w:tcPr>
                  <w:tcW w:w="809" w:type="pct"/>
                  <w:gridSpan w:val="2"/>
                  <w:noWrap w:val="0"/>
                  <w:vAlign w:val="center"/>
                </w:tcPr>
                <w:p w14:paraId="7F58CCDD">
                  <w:pPr>
                    <w:spacing w:line="0" w:lineRule="atLeast"/>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皮带输送</w:t>
                  </w:r>
                </w:p>
              </w:tc>
              <w:tc>
                <w:tcPr>
                  <w:tcW w:w="3120" w:type="pct"/>
                  <w:noWrap w:val="0"/>
                  <w:vAlign w:val="center"/>
                </w:tcPr>
                <w:p w14:paraId="70E5C877">
                  <w:pPr>
                    <w:snapToGrid w:val="0"/>
                    <w:jc w:val="left"/>
                    <w:rPr>
                      <w:rFonts w:hint="default" w:ascii="Times New Roman" w:hAnsi="Times New Roman"/>
                      <w:color w:val="auto"/>
                      <w:szCs w:val="21"/>
                      <w:highlight w:val="none"/>
                      <w:u w:val="none" w:color="000000"/>
                      <w:lang w:val="en-US" w:eastAsia="zh-CN"/>
                    </w:rPr>
                  </w:pPr>
                  <w:r>
                    <w:rPr>
                      <w:rFonts w:hint="eastAsia" w:ascii="Times New Roman" w:hAnsi="Times New Roman"/>
                      <w:color w:val="auto"/>
                      <w:szCs w:val="21"/>
                      <w:highlight w:val="none"/>
                      <w:u w:val="none" w:color="000000"/>
                      <w:lang w:eastAsia="zh-CN"/>
                    </w:rPr>
                    <w:t>占地</w:t>
                  </w:r>
                  <w:r>
                    <w:rPr>
                      <w:rFonts w:hint="eastAsia" w:ascii="Times New Roman" w:hAnsi="Times New Roman"/>
                      <w:color w:val="auto"/>
                      <w:szCs w:val="21"/>
                      <w:highlight w:val="none"/>
                      <w:u w:val="none" w:color="000000"/>
                      <w:lang w:val="en-US" w:eastAsia="zh-CN"/>
                    </w:rPr>
                    <w:t>150m</w:t>
                  </w:r>
                  <w:r>
                    <w:rPr>
                      <w:rFonts w:hint="eastAsia" w:ascii="Times New Roman" w:hAnsi="Times New Roman"/>
                      <w:color w:val="auto"/>
                      <w:szCs w:val="21"/>
                      <w:highlight w:val="none"/>
                      <w:u w:val="none" w:color="000000"/>
                      <w:vertAlign w:val="superscript"/>
                      <w:lang w:val="en-US" w:eastAsia="zh-CN"/>
                    </w:rPr>
                    <w:t>2</w:t>
                  </w:r>
                  <w:r>
                    <w:rPr>
                      <w:rFonts w:hint="eastAsia" w:ascii="Times New Roman" w:hAnsi="Times New Roman"/>
                      <w:color w:val="auto"/>
                      <w:szCs w:val="21"/>
                      <w:highlight w:val="none"/>
                      <w:u w:val="none" w:color="000000"/>
                      <w:lang w:val="en-US" w:eastAsia="zh-CN"/>
                    </w:rPr>
                    <w:t>，输送矸石。</w:t>
                  </w:r>
                </w:p>
              </w:tc>
              <w:tc>
                <w:tcPr>
                  <w:tcW w:w="682" w:type="pct"/>
                  <w:noWrap w:val="0"/>
                  <w:vAlign w:val="center"/>
                </w:tcPr>
                <w:p w14:paraId="48FC8F87">
                  <w:pPr>
                    <w:spacing w:line="0" w:lineRule="atLeast"/>
                    <w:jc w:val="center"/>
                    <w:rPr>
                      <w:rFonts w:hint="eastAsia" w:ascii="Times New Roman" w:hAnsi="Times New Roman" w:cs="Times New Roman"/>
                      <w:color w:val="auto"/>
                      <w:szCs w:val="21"/>
                      <w:highlight w:val="none"/>
                      <w:lang w:eastAsia="zh-CN"/>
                    </w:rPr>
                  </w:pPr>
                  <w:r>
                    <w:rPr>
                      <w:rFonts w:hint="eastAsia" w:cs="Times New Roman"/>
                      <w:color w:val="auto"/>
                      <w:szCs w:val="21"/>
                      <w:highlight w:val="none"/>
                      <w:lang w:eastAsia="zh-CN"/>
                    </w:rPr>
                    <w:t>已建成</w:t>
                  </w:r>
                </w:p>
              </w:tc>
            </w:tr>
            <w:tr w14:paraId="3434B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88" w:type="pct"/>
                  <w:noWrap w:val="0"/>
                  <w:vAlign w:val="center"/>
                </w:tcPr>
                <w:p w14:paraId="5F857232">
                  <w:pPr>
                    <w:spacing w:line="0" w:lineRule="atLeast"/>
                    <w:jc w:val="center"/>
                    <w:rPr>
                      <w:rFonts w:hint="default" w:ascii="Times New Roman" w:hAnsi="Times New Roman" w:cs="Times New Roman"/>
                      <w:color w:val="auto"/>
                      <w:szCs w:val="21"/>
                      <w:highlight w:val="none"/>
                    </w:rPr>
                  </w:pPr>
                  <w:r>
                    <w:rPr>
                      <w:rFonts w:hint="eastAsia" w:ascii="Times New Roman" w:hAnsi="Times New Roman" w:cs="Times New Roman"/>
                      <w:color w:val="auto"/>
                      <w:sz w:val="21"/>
                      <w:szCs w:val="21"/>
                      <w:highlight w:val="none"/>
                      <w:lang w:eastAsia="zh-CN"/>
                    </w:rPr>
                    <w:t>辅助工程</w:t>
                  </w:r>
                </w:p>
              </w:tc>
              <w:tc>
                <w:tcPr>
                  <w:tcW w:w="809" w:type="pct"/>
                  <w:gridSpan w:val="2"/>
                  <w:noWrap w:val="0"/>
                  <w:vAlign w:val="center"/>
                </w:tcPr>
                <w:p w14:paraId="7852169D">
                  <w:pPr>
                    <w:spacing w:line="0" w:lineRule="atLeast"/>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泵房</w:t>
                  </w:r>
                </w:p>
              </w:tc>
              <w:tc>
                <w:tcPr>
                  <w:tcW w:w="3120" w:type="pct"/>
                  <w:noWrap w:val="0"/>
                  <w:vAlign w:val="center"/>
                </w:tcPr>
                <w:p w14:paraId="5E7F6B38">
                  <w:pPr>
                    <w:snapToGrid w:val="0"/>
                    <w:jc w:val="left"/>
                    <w:rPr>
                      <w:rFonts w:hint="default" w:ascii="Times New Roman" w:hAnsi="Times New Roman"/>
                      <w:color w:val="auto"/>
                      <w:szCs w:val="21"/>
                      <w:highlight w:val="none"/>
                      <w:u w:val="none" w:color="000000"/>
                      <w:lang w:val="en-US" w:eastAsia="zh-CN"/>
                    </w:rPr>
                  </w:pPr>
                  <w:r>
                    <w:rPr>
                      <w:rFonts w:hint="eastAsia" w:ascii="Times New Roman" w:hAnsi="Times New Roman"/>
                      <w:color w:val="auto"/>
                      <w:szCs w:val="21"/>
                      <w:highlight w:val="none"/>
                      <w:u w:val="none" w:color="000000"/>
                      <w:lang w:eastAsia="zh-CN"/>
                    </w:rPr>
                    <w:t>位于主厂房内，占地面积</w:t>
                  </w:r>
                  <w:r>
                    <w:rPr>
                      <w:rFonts w:hint="eastAsia" w:ascii="Times New Roman" w:hAnsi="Times New Roman"/>
                      <w:color w:val="auto"/>
                      <w:szCs w:val="21"/>
                      <w:highlight w:val="none"/>
                      <w:u w:val="none" w:color="000000"/>
                      <w:lang w:val="en-US" w:eastAsia="zh-CN"/>
                    </w:rPr>
                    <w:t>50m</w:t>
                  </w:r>
                  <w:r>
                    <w:rPr>
                      <w:rFonts w:hint="eastAsia" w:ascii="Times New Roman" w:hAnsi="Times New Roman"/>
                      <w:color w:val="auto"/>
                      <w:szCs w:val="21"/>
                      <w:highlight w:val="none"/>
                      <w:u w:val="none" w:color="000000"/>
                      <w:vertAlign w:val="superscript"/>
                      <w:lang w:val="en-US" w:eastAsia="zh-CN"/>
                    </w:rPr>
                    <w:t>2</w:t>
                  </w:r>
                  <w:r>
                    <w:rPr>
                      <w:rFonts w:hint="eastAsia" w:ascii="Times New Roman" w:hAnsi="Times New Roman"/>
                      <w:color w:val="auto"/>
                      <w:szCs w:val="21"/>
                      <w:highlight w:val="none"/>
                      <w:u w:val="none" w:color="000000"/>
                      <w:lang w:val="en-US" w:eastAsia="zh-CN"/>
                    </w:rPr>
                    <w:t>，安装循环水泵。</w:t>
                  </w:r>
                </w:p>
              </w:tc>
              <w:tc>
                <w:tcPr>
                  <w:tcW w:w="682" w:type="pct"/>
                  <w:noWrap w:val="0"/>
                  <w:vAlign w:val="center"/>
                </w:tcPr>
                <w:p w14:paraId="146F6C07">
                  <w:pPr>
                    <w:spacing w:line="0" w:lineRule="atLeast"/>
                    <w:jc w:val="center"/>
                    <w:rPr>
                      <w:rFonts w:hint="eastAsia" w:ascii="Times New Roman" w:hAnsi="Times New Roman" w:cs="Times New Roman"/>
                      <w:color w:val="auto"/>
                      <w:szCs w:val="21"/>
                      <w:highlight w:val="none"/>
                      <w:lang w:eastAsia="zh-CN"/>
                    </w:rPr>
                  </w:pPr>
                  <w:r>
                    <w:rPr>
                      <w:rFonts w:hint="eastAsia" w:cs="Times New Roman"/>
                      <w:color w:val="auto"/>
                      <w:szCs w:val="21"/>
                      <w:highlight w:val="none"/>
                      <w:lang w:eastAsia="zh-CN"/>
                    </w:rPr>
                    <w:t>已建成</w:t>
                  </w:r>
                </w:p>
              </w:tc>
            </w:tr>
            <w:tr w14:paraId="06CA0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88" w:type="pct"/>
                  <w:vMerge w:val="restart"/>
                  <w:noWrap w:val="0"/>
                  <w:vAlign w:val="center"/>
                </w:tcPr>
                <w:p w14:paraId="6ED2080D">
                  <w:pPr>
                    <w:spacing w:line="0" w:lineRule="atLeast"/>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储运工程</w:t>
                  </w:r>
                </w:p>
              </w:tc>
              <w:tc>
                <w:tcPr>
                  <w:tcW w:w="809" w:type="pct"/>
                  <w:gridSpan w:val="2"/>
                  <w:noWrap w:val="0"/>
                  <w:vAlign w:val="center"/>
                </w:tcPr>
                <w:p w14:paraId="6C7E96AF">
                  <w:pPr>
                    <w:spacing w:line="0" w:lineRule="atLeast"/>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原煤堆场</w:t>
                  </w:r>
                </w:p>
              </w:tc>
              <w:tc>
                <w:tcPr>
                  <w:tcW w:w="3120" w:type="pct"/>
                  <w:noWrap w:val="0"/>
                  <w:vAlign w:val="center"/>
                </w:tcPr>
                <w:p w14:paraId="0D7DF9C2">
                  <w:pPr>
                    <w:snapToGrid w:val="0"/>
                    <w:jc w:val="left"/>
                    <w:rPr>
                      <w:rFonts w:hint="default" w:ascii="Times New Roman" w:hAnsi="Times New Roman"/>
                      <w:color w:val="auto"/>
                      <w:szCs w:val="21"/>
                      <w:highlight w:val="none"/>
                      <w:u w:val="none" w:color="000000"/>
                      <w:lang w:val="en-US" w:eastAsia="zh-CN"/>
                    </w:rPr>
                  </w:pPr>
                  <w:r>
                    <w:rPr>
                      <w:rFonts w:hint="eastAsia" w:ascii="Times New Roman" w:hAnsi="Times New Roman"/>
                      <w:color w:val="auto"/>
                      <w:szCs w:val="21"/>
                      <w:highlight w:val="none"/>
                      <w:u w:val="none" w:color="000000"/>
                      <w:lang w:eastAsia="zh-CN"/>
                    </w:rPr>
                    <w:t>占地面积</w:t>
                  </w:r>
                  <w:r>
                    <w:rPr>
                      <w:rFonts w:hint="eastAsia" w:ascii="Times New Roman" w:hAnsi="Times New Roman"/>
                      <w:color w:val="auto"/>
                      <w:szCs w:val="21"/>
                      <w:highlight w:val="none"/>
                      <w:u w:val="none" w:color="000000"/>
                      <w:lang w:val="en-US" w:eastAsia="zh-CN"/>
                    </w:rPr>
                    <w:t>2000m</w:t>
                  </w:r>
                  <w:r>
                    <w:rPr>
                      <w:rFonts w:hint="eastAsia" w:ascii="Times New Roman" w:hAnsi="Times New Roman"/>
                      <w:color w:val="auto"/>
                      <w:szCs w:val="21"/>
                      <w:highlight w:val="none"/>
                      <w:u w:val="none" w:color="000000"/>
                      <w:vertAlign w:val="superscript"/>
                      <w:lang w:val="en-US" w:eastAsia="zh-CN"/>
                    </w:rPr>
                    <w:t>2</w:t>
                  </w:r>
                  <w:r>
                    <w:rPr>
                      <w:rFonts w:hint="eastAsia" w:ascii="Times New Roman" w:hAnsi="Times New Roman"/>
                      <w:color w:val="auto"/>
                      <w:szCs w:val="21"/>
                      <w:highlight w:val="none"/>
                      <w:u w:val="none" w:color="000000"/>
                      <w:lang w:val="en-US" w:eastAsia="zh-CN"/>
                    </w:rPr>
                    <w:t>，用于储存原煤，</w:t>
                  </w:r>
                  <w:r>
                    <w:rPr>
                      <w:rFonts w:hint="default" w:ascii="Times New Roman" w:hAnsi="Times New Roman" w:eastAsia="宋体" w:cs="Times New Roman"/>
                      <w:color w:val="auto"/>
                      <w:sz w:val="21"/>
                      <w:szCs w:val="21"/>
                      <w:highlight w:val="none"/>
                      <w:u w:val="none" w:color="000000"/>
                    </w:rPr>
                    <w:t>最大贮存量约</w:t>
                  </w:r>
                  <w:r>
                    <w:rPr>
                      <w:rFonts w:hint="default" w:ascii="Times New Roman" w:hAnsi="Times New Roman" w:eastAsia="宋体" w:cs="Times New Roman"/>
                      <w:color w:val="auto"/>
                      <w:sz w:val="21"/>
                      <w:szCs w:val="21"/>
                      <w:highlight w:val="none"/>
                      <w:u w:val="none" w:color="000000"/>
                      <w:lang w:val="en-US" w:eastAsia="zh-CN"/>
                    </w:rPr>
                    <w:t>2</w:t>
                  </w:r>
                  <w:r>
                    <w:rPr>
                      <w:rFonts w:hint="eastAsia" w:ascii="Times New Roman" w:hAnsi="Times New Roman" w:cs="Times New Roman"/>
                      <w:color w:val="auto"/>
                      <w:sz w:val="21"/>
                      <w:szCs w:val="21"/>
                      <w:highlight w:val="none"/>
                      <w:u w:val="none" w:color="000000"/>
                      <w:lang w:val="en-US" w:eastAsia="zh-CN"/>
                    </w:rPr>
                    <w:t>0</w:t>
                  </w:r>
                  <w:r>
                    <w:rPr>
                      <w:rFonts w:hint="default" w:ascii="Times New Roman" w:hAnsi="Times New Roman" w:eastAsia="宋体" w:cs="Times New Roman"/>
                      <w:color w:val="auto"/>
                      <w:sz w:val="21"/>
                      <w:szCs w:val="21"/>
                      <w:highlight w:val="none"/>
                      <w:u w:val="none" w:color="000000"/>
                      <w:lang w:val="en-US" w:eastAsia="zh-CN"/>
                    </w:rPr>
                    <w:t>000</w:t>
                  </w:r>
                  <w:r>
                    <w:rPr>
                      <w:rFonts w:hint="default" w:ascii="Times New Roman" w:hAnsi="Times New Roman" w:eastAsia="宋体" w:cs="Times New Roman"/>
                      <w:color w:val="auto"/>
                      <w:sz w:val="21"/>
                      <w:szCs w:val="21"/>
                      <w:highlight w:val="none"/>
                      <w:u w:val="none" w:color="000000"/>
                    </w:rPr>
                    <w:t>t，周转周期约为</w:t>
                  </w:r>
                  <w:r>
                    <w:rPr>
                      <w:rFonts w:hint="default" w:ascii="Times New Roman" w:hAnsi="Times New Roman" w:eastAsia="宋体" w:cs="Times New Roman"/>
                      <w:color w:val="auto"/>
                      <w:sz w:val="21"/>
                      <w:szCs w:val="21"/>
                      <w:highlight w:val="none"/>
                      <w:u w:val="none" w:color="000000"/>
                      <w:lang w:val="en-US" w:eastAsia="zh-CN"/>
                    </w:rPr>
                    <w:t>3d</w:t>
                  </w:r>
                  <w:r>
                    <w:rPr>
                      <w:rFonts w:hint="default" w:ascii="Times New Roman" w:hAnsi="Times New Roman" w:eastAsia="宋体" w:cs="Times New Roman"/>
                      <w:color w:val="auto"/>
                      <w:sz w:val="21"/>
                      <w:szCs w:val="21"/>
                      <w:highlight w:val="none"/>
                      <w:u w:val="none" w:color="000000"/>
                    </w:rPr>
                    <w:t>。</w:t>
                  </w:r>
                </w:p>
              </w:tc>
              <w:tc>
                <w:tcPr>
                  <w:tcW w:w="682" w:type="pct"/>
                  <w:noWrap w:val="0"/>
                  <w:vAlign w:val="center"/>
                </w:tcPr>
                <w:p w14:paraId="42BAD62D">
                  <w:pPr>
                    <w:spacing w:line="0" w:lineRule="atLeast"/>
                    <w:jc w:val="center"/>
                    <w:rPr>
                      <w:rFonts w:hint="eastAsia" w:ascii="Times New Roman" w:hAnsi="Times New Roman" w:cs="Times New Roman"/>
                      <w:color w:val="auto"/>
                      <w:szCs w:val="21"/>
                      <w:highlight w:val="none"/>
                      <w:lang w:eastAsia="zh-CN"/>
                    </w:rPr>
                  </w:pPr>
                  <w:r>
                    <w:rPr>
                      <w:rFonts w:hint="eastAsia" w:cs="Times New Roman"/>
                      <w:color w:val="auto"/>
                      <w:szCs w:val="21"/>
                      <w:highlight w:val="none"/>
                      <w:lang w:eastAsia="zh-CN"/>
                    </w:rPr>
                    <w:t>已建成</w:t>
                  </w:r>
                </w:p>
              </w:tc>
            </w:tr>
            <w:tr w14:paraId="5C74E0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88" w:type="pct"/>
                  <w:vMerge w:val="continue"/>
                  <w:noWrap w:val="0"/>
                  <w:vAlign w:val="center"/>
                </w:tcPr>
                <w:p w14:paraId="767A2361">
                  <w:pPr>
                    <w:spacing w:line="0" w:lineRule="atLeast"/>
                    <w:jc w:val="center"/>
                    <w:rPr>
                      <w:rFonts w:hint="eastAsia" w:ascii="Times New Roman" w:hAnsi="Times New Roman" w:cs="Times New Roman"/>
                      <w:color w:val="auto"/>
                      <w:sz w:val="21"/>
                      <w:szCs w:val="21"/>
                      <w:highlight w:val="none"/>
                      <w:lang w:eastAsia="zh-CN"/>
                    </w:rPr>
                  </w:pPr>
                </w:p>
              </w:tc>
              <w:tc>
                <w:tcPr>
                  <w:tcW w:w="809" w:type="pct"/>
                  <w:gridSpan w:val="2"/>
                  <w:noWrap w:val="0"/>
                  <w:vAlign w:val="center"/>
                </w:tcPr>
                <w:p w14:paraId="4D878018">
                  <w:pPr>
                    <w:spacing w:line="0" w:lineRule="atLeast"/>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中煤堆场</w:t>
                  </w:r>
                </w:p>
              </w:tc>
              <w:tc>
                <w:tcPr>
                  <w:tcW w:w="3120" w:type="pct"/>
                  <w:noWrap w:val="0"/>
                  <w:vAlign w:val="center"/>
                </w:tcPr>
                <w:p w14:paraId="7209D7BD">
                  <w:pPr>
                    <w:snapToGrid w:val="0"/>
                    <w:jc w:val="left"/>
                    <w:rPr>
                      <w:rFonts w:hint="default" w:ascii="Times New Roman" w:hAnsi="Times New Roman"/>
                      <w:color w:val="auto"/>
                      <w:szCs w:val="21"/>
                      <w:highlight w:val="none"/>
                      <w:u w:val="none" w:color="000000"/>
                      <w:vertAlign w:val="baseline"/>
                      <w:lang w:val="en-US" w:eastAsia="zh-CN"/>
                    </w:rPr>
                  </w:pPr>
                  <w:r>
                    <w:rPr>
                      <w:rFonts w:hint="eastAsia" w:ascii="Times New Roman" w:hAnsi="Times New Roman"/>
                      <w:color w:val="auto"/>
                      <w:szCs w:val="21"/>
                      <w:highlight w:val="none"/>
                      <w:u w:val="none" w:color="000000"/>
                      <w:lang w:eastAsia="zh-CN"/>
                    </w:rPr>
                    <w:t>堆场占地面积</w:t>
                  </w:r>
                  <w:r>
                    <w:rPr>
                      <w:rFonts w:hint="eastAsia" w:ascii="Times New Roman" w:hAnsi="Times New Roman"/>
                      <w:color w:val="auto"/>
                      <w:szCs w:val="21"/>
                      <w:highlight w:val="none"/>
                      <w:u w:val="none" w:color="000000"/>
                      <w:lang w:val="en-US" w:eastAsia="zh-CN"/>
                    </w:rPr>
                    <w:t>1500m</w:t>
                  </w:r>
                  <w:r>
                    <w:rPr>
                      <w:rFonts w:hint="eastAsia" w:ascii="Times New Roman" w:hAnsi="Times New Roman"/>
                      <w:color w:val="auto"/>
                      <w:szCs w:val="21"/>
                      <w:highlight w:val="none"/>
                      <w:u w:val="none" w:color="000000"/>
                      <w:vertAlign w:val="superscript"/>
                      <w:lang w:val="en-US" w:eastAsia="zh-CN"/>
                    </w:rPr>
                    <w:t>2</w:t>
                  </w:r>
                  <w:r>
                    <w:rPr>
                      <w:rFonts w:hint="eastAsia" w:ascii="Times New Roman" w:hAnsi="Times New Roman"/>
                      <w:color w:val="auto"/>
                      <w:szCs w:val="21"/>
                      <w:highlight w:val="none"/>
                      <w:u w:val="none" w:color="000000"/>
                      <w:lang w:val="en-US" w:eastAsia="zh-CN"/>
                    </w:rPr>
                    <w:t>，</w:t>
                  </w:r>
                  <w:r>
                    <w:rPr>
                      <w:rFonts w:hint="default" w:ascii="Times New Roman" w:hAnsi="Times New Roman" w:eastAsia="宋体" w:cs="Times New Roman"/>
                      <w:color w:val="auto"/>
                      <w:sz w:val="21"/>
                      <w:szCs w:val="21"/>
                      <w:highlight w:val="none"/>
                      <w:u w:val="none" w:color="000000"/>
                    </w:rPr>
                    <w:t>最大贮存量约</w:t>
                  </w:r>
                  <w:r>
                    <w:rPr>
                      <w:rFonts w:hint="eastAsia" w:ascii="Times New Roman" w:hAnsi="Times New Roman" w:cs="Times New Roman"/>
                      <w:color w:val="auto"/>
                      <w:sz w:val="21"/>
                      <w:szCs w:val="21"/>
                      <w:highlight w:val="none"/>
                      <w:u w:val="none" w:color="000000"/>
                      <w:lang w:val="en-US" w:eastAsia="zh-CN"/>
                    </w:rPr>
                    <w:t>20000</w:t>
                  </w:r>
                  <w:r>
                    <w:rPr>
                      <w:rFonts w:hint="default" w:ascii="Times New Roman" w:hAnsi="Times New Roman" w:eastAsia="宋体" w:cs="Times New Roman"/>
                      <w:color w:val="auto"/>
                      <w:sz w:val="21"/>
                      <w:szCs w:val="21"/>
                      <w:highlight w:val="none"/>
                      <w:u w:val="none" w:color="000000"/>
                    </w:rPr>
                    <w:t>t，周转周期约为</w:t>
                  </w:r>
                  <w:r>
                    <w:rPr>
                      <w:rFonts w:hint="eastAsia" w:ascii="Times New Roman" w:hAnsi="Times New Roman" w:cs="Times New Roman"/>
                      <w:color w:val="auto"/>
                      <w:sz w:val="21"/>
                      <w:szCs w:val="21"/>
                      <w:highlight w:val="none"/>
                      <w:u w:val="none" w:color="000000"/>
                      <w:lang w:val="en-US" w:eastAsia="zh-CN"/>
                    </w:rPr>
                    <w:t>14</w:t>
                  </w:r>
                  <w:r>
                    <w:rPr>
                      <w:rFonts w:hint="default" w:ascii="Times New Roman" w:hAnsi="Times New Roman" w:eastAsia="宋体" w:cs="Times New Roman"/>
                      <w:color w:val="auto"/>
                      <w:sz w:val="21"/>
                      <w:szCs w:val="21"/>
                      <w:highlight w:val="none"/>
                      <w:u w:val="none" w:color="000000"/>
                      <w:lang w:val="en-US" w:eastAsia="zh-CN"/>
                    </w:rPr>
                    <w:t>d</w:t>
                  </w:r>
                  <w:r>
                    <w:rPr>
                      <w:rFonts w:hint="eastAsia" w:ascii="Times New Roman" w:hAnsi="Times New Roman" w:cs="Times New Roman"/>
                      <w:color w:val="auto"/>
                      <w:sz w:val="21"/>
                      <w:szCs w:val="21"/>
                      <w:highlight w:val="none"/>
                      <w:u w:val="none" w:color="000000"/>
                      <w:lang w:val="en-US" w:eastAsia="zh-CN"/>
                    </w:rPr>
                    <w:t>.。</w:t>
                  </w:r>
                </w:p>
              </w:tc>
              <w:tc>
                <w:tcPr>
                  <w:tcW w:w="682" w:type="pct"/>
                  <w:noWrap w:val="0"/>
                  <w:vAlign w:val="center"/>
                </w:tcPr>
                <w:p w14:paraId="43789CDF">
                  <w:pPr>
                    <w:spacing w:line="0" w:lineRule="atLeast"/>
                    <w:jc w:val="center"/>
                    <w:rPr>
                      <w:rFonts w:hint="eastAsia" w:ascii="Times New Roman" w:hAnsi="Times New Roman" w:cs="Times New Roman"/>
                      <w:color w:val="auto"/>
                      <w:szCs w:val="21"/>
                      <w:highlight w:val="none"/>
                      <w:lang w:eastAsia="zh-CN"/>
                    </w:rPr>
                  </w:pPr>
                  <w:r>
                    <w:rPr>
                      <w:rFonts w:hint="eastAsia" w:cs="Times New Roman"/>
                      <w:color w:val="auto"/>
                      <w:szCs w:val="21"/>
                      <w:highlight w:val="none"/>
                      <w:lang w:eastAsia="zh-CN"/>
                    </w:rPr>
                    <w:t>已建成</w:t>
                  </w:r>
                </w:p>
              </w:tc>
            </w:tr>
            <w:tr w14:paraId="1ED3FC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88" w:type="pct"/>
                  <w:vMerge w:val="continue"/>
                  <w:noWrap w:val="0"/>
                  <w:vAlign w:val="center"/>
                </w:tcPr>
                <w:p w14:paraId="31E4904D">
                  <w:pPr>
                    <w:spacing w:line="0" w:lineRule="atLeast"/>
                    <w:jc w:val="center"/>
                    <w:rPr>
                      <w:rFonts w:hint="eastAsia" w:ascii="Times New Roman" w:hAnsi="Times New Roman" w:cs="Times New Roman"/>
                      <w:color w:val="auto"/>
                      <w:sz w:val="21"/>
                      <w:szCs w:val="21"/>
                      <w:highlight w:val="none"/>
                      <w:lang w:eastAsia="zh-CN"/>
                    </w:rPr>
                  </w:pPr>
                </w:p>
              </w:tc>
              <w:tc>
                <w:tcPr>
                  <w:tcW w:w="809" w:type="pct"/>
                  <w:gridSpan w:val="2"/>
                  <w:noWrap w:val="0"/>
                  <w:vAlign w:val="center"/>
                </w:tcPr>
                <w:p w14:paraId="2E5EFC05">
                  <w:pPr>
                    <w:spacing w:line="0" w:lineRule="atLeast"/>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矸石堆场</w:t>
                  </w:r>
                </w:p>
              </w:tc>
              <w:tc>
                <w:tcPr>
                  <w:tcW w:w="3120" w:type="pct"/>
                  <w:noWrap w:val="0"/>
                  <w:vAlign w:val="center"/>
                </w:tcPr>
                <w:p w14:paraId="432D744B">
                  <w:pPr>
                    <w:snapToGrid w:val="0"/>
                    <w:jc w:val="left"/>
                    <w:rPr>
                      <w:rFonts w:hint="eastAsia" w:ascii="Times New Roman" w:hAnsi="Times New Roman"/>
                      <w:color w:val="auto"/>
                      <w:szCs w:val="21"/>
                      <w:highlight w:val="none"/>
                      <w:u w:val="none" w:color="000000"/>
                      <w:lang w:eastAsia="zh-CN"/>
                    </w:rPr>
                  </w:pPr>
                  <w:r>
                    <w:rPr>
                      <w:rFonts w:hint="eastAsia" w:ascii="Times New Roman" w:hAnsi="Times New Roman"/>
                      <w:color w:val="auto"/>
                      <w:szCs w:val="21"/>
                      <w:highlight w:val="none"/>
                      <w:u w:val="none" w:color="000000"/>
                      <w:lang w:val="en-US" w:eastAsia="zh-CN"/>
                    </w:rPr>
                    <w:t>堆场占地面积1500m</w:t>
                  </w:r>
                  <w:r>
                    <w:rPr>
                      <w:rFonts w:hint="eastAsia" w:ascii="Times New Roman" w:hAnsi="Times New Roman"/>
                      <w:color w:val="auto"/>
                      <w:szCs w:val="21"/>
                      <w:highlight w:val="none"/>
                      <w:u w:val="none" w:color="000000"/>
                      <w:vertAlign w:val="superscript"/>
                      <w:lang w:val="en-US" w:eastAsia="zh-CN"/>
                    </w:rPr>
                    <w:t>2</w:t>
                  </w:r>
                  <w:r>
                    <w:rPr>
                      <w:rFonts w:hint="eastAsia" w:ascii="Times New Roman" w:hAnsi="Times New Roman"/>
                      <w:color w:val="auto"/>
                      <w:szCs w:val="21"/>
                      <w:highlight w:val="none"/>
                      <w:u w:val="none" w:color="000000"/>
                      <w:vertAlign w:val="baseline"/>
                      <w:lang w:val="en-US" w:eastAsia="zh-CN"/>
                    </w:rPr>
                    <w:t>，</w:t>
                  </w:r>
                  <w:r>
                    <w:rPr>
                      <w:rFonts w:hint="default" w:ascii="Times New Roman" w:hAnsi="Times New Roman" w:eastAsia="宋体" w:cs="Times New Roman"/>
                      <w:color w:val="auto"/>
                      <w:sz w:val="21"/>
                      <w:szCs w:val="21"/>
                      <w:highlight w:val="none"/>
                      <w:u w:val="none" w:color="000000"/>
                    </w:rPr>
                    <w:t>最大贮存量约</w:t>
                  </w:r>
                  <w:r>
                    <w:rPr>
                      <w:rFonts w:hint="eastAsia" w:ascii="Times New Roman" w:hAnsi="Times New Roman" w:cs="Times New Roman"/>
                      <w:color w:val="auto"/>
                      <w:sz w:val="21"/>
                      <w:szCs w:val="21"/>
                      <w:highlight w:val="none"/>
                      <w:u w:val="none" w:color="000000"/>
                      <w:lang w:val="en-US" w:eastAsia="zh-CN"/>
                    </w:rPr>
                    <w:t>20</w:t>
                  </w:r>
                  <w:r>
                    <w:rPr>
                      <w:rFonts w:hint="default" w:ascii="Times New Roman" w:hAnsi="Times New Roman" w:eastAsia="宋体" w:cs="Times New Roman"/>
                      <w:color w:val="auto"/>
                      <w:sz w:val="21"/>
                      <w:szCs w:val="21"/>
                      <w:highlight w:val="none"/>
                      <w:u w:val="none" w:color="000000"/>
                      <w:lang w:val="en-US" w:eastAsia="zh-CN"/>
                    </w:rPr>
                    <w:t>00</w:t>
                  </w:r>
                  <w:r>
                    <w:rPr>
                      <w:rFonts w:hint="default" w:ascii="Times New Roman" w:hAnsi="Times New Roman" w:eastAsia="宋体" w:cs="Times New Roman"/>
                      <w:color w:val="auto"/>
                      <w:sz w:val="21"/>
                      <w:szCs w:val="21"/>
                      <w:highlight w:val="none"/>
                      <w:u w:val="none" w:color="000000"/>
                    </w:rPr>
                    <w:t>t，周转周期约为</w:t>
                  </w:r>
                  <w:r>
                    <w:rPr>
                      <w:rFonts w:hint="eastAsia" w:ascii="Times New Roman" w:hAnsi="Times New Roman" w:cs="Times New Roman"/>
                      <w:color w:val="auto"/>
                      <w:sz w:val="21"/>
                      <w:szCs w:val="21"/>
                      <w:highlight w:val="none"/>
                      <w:u w:val="none" w:color="000000"/>
                      <w:lang w:val="en-US" w:eastAsia="zh-CN"/>
                    </w:rPr>
                    <w:t>2</w:t>
                  </w:r>
                  <w:r>
                    <w:rPr>
                      <w:rFonts w:hint="default" w:ascii="Times New Roman" w:hAnsi="Times New Roman" w:eastAsia="宋体" w:cs="Times New Roman"/>
                      <w:color w:val="auto"/>
                      <w:sz w:val="21"/>
                      <w:szCs w:val="21"/>
                      <w:highlight w:val="none"/>
                      <w:u w:val="none" w:color="000000"/>
                      <w:lang w:val="en-US" w:eastAsia="zh-CN"/>
                    </w:rPr>
                    <w:t>d</w:t>
                  </w:r>
                  <w:r>
                    <w:rPr>
                      <w:rFonts w:hint="default" w:ascii="Times New Roman" w:hAnsi="Times New Roman" w:eastAsia="宋体" w:cs="Times New Roman"/>
                      <w:color w:val="auto"/>
                      <w:sz w:val="21"/>
                      <w:szCs w:val="21"/>
                      <w:highlight w:val="none"/>
                    </w:rPr>
                    <w:t>，用于储存矸石。</w:t>
                  </w:r>
                </w:p>
              </w:tc>
              <w:tc>
                <w:tcPr>
                  <w:tcW w:w="682" w:type="pct"/>
                  <w:noWrap w:val="0"/>
                  <w:vAlign w:val="center"/>
                </w:tcPr>
                <w:p w14:paraId="66C090B4">
                  <w:pPr>
                    <w:spacing w:line="0" w:lineRule="atLeast"/>
                    <w:jc w:val="center"/>
                    <w:rPr>
                      <w:rFonts w:hint="eastAsia" w:ascii="Times New Roman" w:hAnsi="Times New Roman" w:cs="Times New Roman"/>
                      <w:color w:val="auto"/>
                      <w:szCs w:val="21"/>
                      <w:highlight w:val="none"/>
                      <w:lang w:eastAsia="zh-CN"/>
                    </w:rPr>
                  </w:pPr>
                  <w:r>
                    <w:rPr>
                      <w:rFonts w:hint="eastAsia" w:cs="Times New Roman"/>
                      <w:color w:val="auto"/>
                      <w:szCs w:val="21"/>
                      <w:highlight w:val="none"/>
                      <w:lang w:eastAsia="zh-CN"/>
                    </w:rPr>
                    <w:t>已建成</w:t>
                  </w:r>
                </w:p>
              </w:tc>
            </w:tr>
            <w:tr w14:paraId="18C5E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88" w:type="pct"/>
                  <w:vMerge w:val="continue"/>
                  <w:noWrap w:val="0"/>
                  <w:vAlign w:val="center"/>
                </w:tcPr>
                <w:p w14:paraId="1E174B71">
                  <w:pPr>
                    <w:spacing w:line="0" w:lineRule="atLeast"/>
                    <w:jc w:val="center"/>
                    <w:rPr>
                      <w:rFonts w:hint="eastAsia" w:ascii="Times New Roman" w:hAnsi="Times New Roman" w:cs="Times New Roman"/>
                      <w:color w:val="auto"/>
                      <w:sz w:val="21"/>
                      <w:szCs w:val="21"/>
                      <w:highlight w:val="none"/>
                      <w:lang w:eastAsia="zh-CN"/>
                    </w:rPr>
                  </w:pPr>
                </w:p>
              </w:tc>
              <w:tc>
                <w:tcPr>
                  <w:tcW w:w="809" w:type="pct"/>
                  <w:gridSpan w:val="2"/>
                  <w:noWrap w:val="0"/>
                  <w:vAlign w:val="center"/>
                </w:tcPr>
                <w:p w14:paraId="0C609401">
                  <w:pPr>
                    <w:spacing w:line="0" w:lineRule="atLeast"/>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煤泥堆场</w:t>
                  </w:r>
                </w:p>
              </w:tc>
              <w:tc>
                <w:tcPr>
                  <w:tcW w:w="3120" w:type="pct"/>
                  <w:noWrap w:val="0"/>
                  <w:vAlign w:val="center"/>
                </w:tcPr>
                <w:p w14:paraId="0F214800">
                  <w:pPr>
                    <w:snapToGrid w:val="0"/>
                    <w:jc w:val="left"/>
                    <w:rPr>
                      <w:rFonts w:hint="eastAsia" w:ascii="Times New Roman" w:hAnsi="Times New Roman"/>
                      <w:color w:val="auto"/>
                      <w:szCs w:val="21"/>
                      <w:highlight w:val="none"/>
                      <w:u w:val="none" w:color="000000"/>
                      <w:lang w:eastAsia="zh-CN"/>
                    </w:rPr>
                  </w:pPr>
                  <w:r>
                    <w:rPr>
                      <w:rFonts w:hint="eastAsia" w:ascii="Times New Roman" w:hAnsi="Times New Roman"/>
                      <w:color w:val="auto"/>
                      <w:szCs w:val="21"/>
                      <w:highlight w:val="none"/>
                      <w:u w:val="none" w:color="000000"/>
                      <w:lang w:eastAsia="zh-CN"/>
                    </w:rPr>
                    <w:t>煤泥堆场占地面积100 m</w:t>
                  </w:r>
                  <w:r>
                    <w:rPr>
                      <w:rFonts w:hint="eastAsia" w:ascii="Times New Roman" w:hAnsi="Times New Roman"/>
                      <w:color w:val="auto"/>
                      <w:szCs w:val="21"/>
                      <w:highlight w:val="none"/>
                      <w:u w:val="none" w:color="000000"/>
                      <w:vertAlign w:val="superscript"/>
                      <w:lang w:eastAsia="zh-CN"/>
                    </w:rPr>
                    <w:t>2</w:t>
                  </w:r>
                  <w:r>
                    <w:rPr>
                      <w:rFonts w:hint="eastAsia" w:ascii="Times New Roman" w:hAnsi="Times New Roman"/>
                      <w:color w:val="auto"/>
                      <w:szCs w:val="21"/>
                      <w:highlight w:val="none"/>
                      <w:u w:val="none" w:color="000000"/>
                      <w:lang w:eastAsia="zh-CN"/>
                    </w:rPr>
                    <w:t>，地面防渗并硬化处理，最大可容纳500t煤泥，</w:t>
                  </w:r>
                  <w:r>
                    <w:rPr>
                      <w:rFonts w:hint="default" w:ascii="Times New Roman" w:hAnsi="Times New Roman" w:eastAsia="宋体" w:cs="Times New Roman"/>
                      <w:color w:val="auto"/>
                      <w:sz w:val="21"/>
                      <w:szCs w:val="21"/>
                      <w:highlight w:val="none"/>
                    </w:rPr>
                    <w:t>设置</w:t>
                  </w:r>
                  <w:r>
                    <w:rPr>
                      <w:rFonts w:hint="eastAsia"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m高的防风抑尘网</w:t>
                  </w:r>
                  <w:r>
                    <w:rPr>
                      <w:rFonts w:hint="eastAsia" w:ascii="Times New Roman" w:hAnsi="Times New Roman" w:cs="Times New Roman"/>
                      <w:color w:val="auto"/>
                      <w:sz w:val="21"/>
                      <w:szCs w:val="21"/>
                      <w:highlight w:val="none"/>
                      <w:lang w:eastAsia="zh-CN"/>
                    </w:rPr>
                    <w:t>，</w:t>
                  </w:r>
                  <w:r>
                    <w:rPr>
                      <w:rFonts w:hint="eastAsia" w:ascii="Times New Roman" w:hAnsi="Times New Roman"/>
                      <w:color w:val="auto"/>
                      <w:szCs w:val="21"/>
                      <w:highlight w:val="none"/>
                      <w:u w:val="none" w:color="000000"/>
                      <w:lang w:eastAsia="zh-CN"/>
                    </w:rPr>
                    <w:t>堆场四周设置围堰及雨水收集渠。</w:t>
                  </w:r>
                </w:p>
              </w:tc>
              <w:tc>
                <w:tcPr>
                  <w:tcW w:w="682" w:type="pct"/>
                  <w:noWrap w:val="0"/>
                  <w:vAlign w:val="center"/>
                </w:tcPr>
                <w:p w14:paraId="0DB7B31D">
                  <w:pPr>
                    <w:spacing w:line="0" w:lineRule="atLeast"/>
                    <w:jc w:val="center"/>
                    <w:rPr>
                      <w:rFonts w:hint="eastAsia" w:ascii="Times New Roman" w:hAnsi="Times New Roman" w:eastAsia="宋体"/>
                      <w:color w:val="auto"/>
                      <w:highlight w:val="none"/>
                      <w:lang w:eastAsia="zh-CN"/>
                    </w:rPr>
                  </w:pPr>
                  <w:r>
                    <w:rPr>
                      <w:rFonts w:hint="eastAsia" w:cs="Times New Roman"/>
                      <w:color w:val="auto"/>
                      <w:szCs w:val="21"/>
                      <w:highlight w:val="none"/>
                      <w:lang w:eastAsia="zh-CN"/>
                    </w:rPr>
                    <w:t>已建成</w:t>
                  </w:r>
                </w:p>
              </w:tc>
            </w:tr>
            <w:tr w14:paraId="4B030B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388" w:type="pct"/>
                  <w:vMerge w:val="restart"/>
                  <w:noWrap w:val="0"/>
                  <w:vAlign w:val="center"/>
                </w:tcPr>
                <w:p w14:paraId="71020DB0">
                  <w:pPr>
                    <w:spacing w:line="0" w:lineRule="atLeast"/>
                    <w:jc w:val="center"/>
                    <w:rPr>
                      <w:rFonts w:hint="default" w:ascii="Times New Roman" w:hAnsi="Times New Roman" w:cs="Times New Roman"/>
                      <w:color w:val="auto"/>
                      <w:szCs w:val="21"/>
                      <w:highlight w:val="none"/>
                    </w:rPr>
                  </w:pPr>
                  <w:r>
                    <w:rPr>
                      <w:rFonts w:hint="eastAsia" w:ascii="Times New Roman" w:hAnsi="Times New Roman"/>
                      <w:color w:val="auto"/>
                      <w:szCs w:val="21"/>
                      <w:highlight w:val="none"/>
                    </w:rPr>
                    <w:t>公</w:t>
                  </w:r>
                  <w:r>
                    <w:rPr>
                      <w:rFonts w:hint="eastAsia" w:ascii="Times New Roman" w:hAnsi="Times New Roman"/>
                      <w:color w:val="auto"/>
                      <w:szCs w:val="21"/>
                      <w:highlight w:val="none"/>
                      <w:lang w:eastAsia="zh-CN"/>
                    </w:rPr>
                    <w:t>用</w:t>
                  </w:r>
                  <w:r>
                    <w:rPr>
                      <w:rFonts w:ascii="Times New Roman" w:hAnsi="Times New Roman"/>
                      <w:color w:val="auto"/>
                      <w:szCs w:val="21"/>
                      <w:highlight w:val="none"/>
                    </w:rPr>
                    <w:t>工程</w:t>
                  </w:r>
                </w:p>
              </w:tc>
              <w:tc>
                <w:tcPr>
                  <w:tcW w:w="809" w:type="pct"/>
                  <w:gridSpan w:val="2"/>
                  <w:noWrap w:val="0"/>
                  <w:vAlign w:val="center"/>
                </w:tcPr>
                <w:p w14:paraId="19CB4113">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给水</w:t>
                  </w:r>
                </w:p>
              </w:tc>
              <w:tc>
                <w:tcPr>
                  <w:tcW w:w="3120" w:type="pct"/>
                  <w:noWrap w:val="0"/>
                  <w:vAlign w:val="center"/>
                </w:tcPr>
                <w:p w14:paraId="17355279">
                  <w:pPr>
                    <w:spacing w:line="0" w:lineRule="atLeast"/>
                    <w:jc w:val="left"/>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本项目生产用水为宏源煤矿地下空巷水，设置一台80m</w:t>
                  </w:r>
                  <w:r>
                    <w:rPr>
                      <w:rFonts w:hint="eastAsia" w:ascii="Times New Roman" w:hAnsi="Times New Roman" w:cs="Times New Roman"/>
                      <w:color w:val="auto"/>
                      <w:szCs w:val="21"/>
                      <w:highlight w:val="none"/>
                      <w:vertAlign w:val="superscript"/>
                      <w:lang w:val="en-US" w:eastAsia="zh-CN"/>
                    </w:rPr>
                    <w:t>3</w:t>
                  </w:r>
                  <w:r>
                    <w:rPr>
                      <w:rFonts w:hint="eastAsia" w:ascii="Times New Roman" w:hAnsi="Times New Roman" w:cs="Times New Roman"/>
                      <w:color w:val="auto"/>
                      <w:szCs w:val="21"/>
                      <w:highlight w:val="none"/>
                      <w:lang w:val="en-US" w:eastAsia="zh-CN"/>
                    </w:rPr>
                    <w:t>/h水泵；生活用水由恒山区自来水公司供给。</w:t>
                  </w:r>
                </w:p>
              </w:tc>
              <w:tc>
                <w:tcPr>
                  <w:tcW w:w="682" w:type="pct"/>
                  <w:noWrap w:val="0"/>
                  <w:vAlign w:val="center"/>
                </w:tcPr>
                <w:p w14:paraId="07D29626">
                  <w:pPr>
                    <w:spacing w:line="0" w:lineRule="atLeast"/>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已建成</w:t>
                  </w:r>
                </w:p>
              </w:tc>
            </w:tr>
            <w:tr w14:paraId="272AEF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388" w:type="pct"/>
                  <w:vMerge w:val="continue"/>
                  <w:noWrap w:val="0"/>
                  <w:vAlign w:val="center"/>
                </w:tcPr>
                <w:p w14:paraId="423DC99C">
                  <w:pPr>
                    <w:spacing w:line="0" w:lineRule="atLeast"/>
                    <w:jc w:val="center"/>
                    <w:rPr>
                      <w:rFonts w:hint="default" w:ascii="Times New Roman" w:hAnsi="Times New Roman" w:cs="Times New Roman"/>
                      <w:color w:val="auto"/>
                      <w:szCs w:val="21"/>
                      <w:highlight w:val="none"/>
                    </w:rPr>
                  </w:pPr>
                </w:p>
              </w:tc>
              <w:tc>
                <w:tcPr>
                  <w:tcW w:w="809" w:type="pct"/>
                  <w:gridSpan w:val="2"/>
                  <w:noWrap w:val="0"/>
                  <w:vAlign w:val="center"/>
                </w:tcPr>
                <w:p w14:paraId="0B84CC04">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排水</w:t>
                  </w:r>
                </w:p>
              </w:tc>
              <w:tc>
                <w:tcPr>
                  <w:tcW w:w="3120" w:type="pct"/>
                  <w:noWrap w:val="0"/>
                  <w:vAlign w:val="center"/>
                </w:tcPr>
                <w:p w14:paraId="4FFA82B4">
                  <w:pPr>
                    <w:spacing w:line="0" w:lineRule="atLeast"/>
                    <w:jc w:val="left"/>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eastAsia="zh-CN"/>
                    </w:rPr>
                    <w:t>项目生产用水采用全闭路循环工艺，无生产废水外排；场地污水及雨水经排水沟进入集水池沉淀后用于洗矸，无外排；</w:t>
                  </w:r>
                  <w:r>
                    <w:rPr>
                      <w:rFonts w:hint="eastAsia" w:cs="宋体"/>
                      <w:color w:val="auto"/>
                      <w:kern w:val="0"/>
                      <w:szCs w:val="21"/>
                      <w:highlight w:val="none"/>
                      <w:lang w:eastAsia="zh-CN" w:bidi="ar"/>
                    </w:rPr>
                    <w:t>生活污水排入防渗旱厕，定期清掏，外运至污水处理厂</w:t>
                  </w:r>
                  <w:r>
                    <w:rPr>
                      <w:rFonts w:hint="eastAsia" w:ascii="Times New Roman" w:hAnsi="Times New Roman" w:cs="Times New Roman"/>
                      <w:color w:val="auto"/>
                      <w:szCs w:val="21"/>
                      <w:highlight w:val="none"/>
                      <w:lang w:eastAsia="zh-CN"/>
                    </w:rPr>
                    <w:t>。</w:t>
                  </w:r>
                </w:p>
              </w:tc>
              <w:tc>
                <w:tcPr>
                  <w:tcW w:w="682" w:type="pct"/>
                  <w:noWrap w:val="0"/>
                  <w:vAlign w:val="center"/>
                </w:tcPr>
                <w:p w14:paraId="6EBD802E">
                  <w:pPr>
                    <w:spacing w:line="0" w:lineRule="atLeast"/>
                    <w:jc w:val="center"/>
                    <w:rPr>
                      <w:rFonts w:hint="default" w:ascii="Times New Roman" w:hAnsi="Times New Roman" w:cs="Times New Roman"/>
                      <w:color w:val="auto"/>
                      <w:szCs w:val="21"/>
                      <w:highlight w:val="none"/>
                    </w:rPr>
                  </w:pPr>
                  <w:r>
                    <w:rPr>
                      <w:rFonts w:hint="eastAsia" w:cs="Times New Roman"/>
                      <w:color w:val="auto"/>
                      <w:szCs w:val="21"/>
                      <w:highlight w:val="none"/>
                      <w:lang w:eastAsia="zh-CN"/>
                    </w:rPr>
                    <w:t>已建成</w:t>
                  </w:r>
                </w:p>
              </w:tc>
            </w:tr>
            <w:tr w14:paraId="49B85B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388" w:type="pct"/>
                  <w:vMerge w:val="continue"/>
                  <w:noWrap w:val="0"/>
                  <w:vAlign w:val="center"/>
                </w:tcPr>
                <w:p w14:paraId="3ED0AE61">
                  <w:pPr>
                    <w:spacing w:line="0" w:lineRule="atLeast"/>
                    <w:jc w:val="center"/>
                    <w:rPr>
                      <w:rFonts w:hint="default" w:ascii="Times New Roman" w:hAnsi="Times New Roman" w:cs="Times New Roman"/>
                      <w:color w:val="auto"/>
                      <w:szCs w:val="21"/>
                      <w:highlight w:val="none"/>
                    </w:rPr>
                  </w:pPr>
                </w:p>
              </w:tc>
              <w:tc>
                <w:tcPr>
                  <w:tcW w:w="809" w:type="pct"/>
                  <w:gridSpan w:val="2"/>
                  <w:noWrap w:val="0"/>
                  <w:vAlign w:val="center"/>
                </w:tcPr>
                <w:p w14:paraId="24BCD02C">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供热</w:t>
                  </w:r>
                </w:p>
              </w:tc>
              <w:tc>
                <w:tcPr>
                  <w:tcW w:w="3120" w:type="pct"/>
                  <w:noWrap w:val="0"/>
                  <w:vAlign w:val="center"/>
                </w:tcPr>
                <w:p w14:paraId="2BFFE01B">
                  <w:pPr>
                    <w:spacing w:line="0" w:lineRule="atLeast"/>
                    <w:jc w:val="left"/>
                    <w:rPr>
                      <w:rFonts w:hint="default" w:ascii="Times New Roman" w:hAnsi="Times New Roman" w:eastAsia="宋体" w:cs="Times New Roman"/>
                      <w:color w:val="auto"/>
                      <w:szCs w:val="21"/>
                      <w:highlight w:val="none"/>
                      <w:lang w:val="en-US" w:eastAsia="zh-CN"/>
                    </w:rPr>
                  </w:pPr>
                  <w:r>
                    <w:rPr>
                      <w:rFonts w:hint="eastAsia" w:ascii="Times New Roman" w:hAnsi="Times New Roman"/>
                      <w:color w:val="auto"/>
                      <w:lang w:eastAsia="zh-CN"/>
                    </w:rPr>
                    <w:t>生产</w:t>
                  </w:r>
                  <w:r>
                    <w:rPr>
                      <w:rFonts w:hint="eastAsia" w:ascii="Times New Roman" w:hAnsi="Times New Roman" w:cs="Times New Roman"/>
                      <w:color w:val="auto"/>
                      <w:szCs w:val="21"/>
                      <w:highlight w:val="none"/>
                      <w:lang w:val="en-US" w:eastAsia="zh-CN"/>
                    </w:rPr>
                    <w:t>车间不设置采暖系统，生活采用电供暖。</w:t>
                  </w:r>
                </w:p>
              </w:tc>
              <w:tc>
                <w:tcPr>
                  <w:tcW w:w="682" w:type="pct"/>
                  <w:noWrap w:val="0"/>
                  <w:vAlign w:val="center"/>
                </w:tcPr>
                <w:p w14:paraId="63C5A308">
                  <w:pPr>
                    <w:spacing w:line="0" w:lineRule="atLeast"/>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已建成</w:t>
                  </w:r>
                </w:p>
              </w:tc>
            </w:tr>
            <w:tr w14:paraId="4297F7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388" w:type="pct"/>
                  <w:vMerge w:val="continue"/>
                  <w:noWrap w:val="0"/>
                  <w:vAlign w:val="center"/>
                </w:tcPr>
                <w:p w14:paraId="648D5162">
                  <w:pPr>
                    <w:spacing w:line="0" w:lineRule="atLeast"/>
                    <w:jc w:val="center"/>
                    <w:rPr>
                      <w:rFonts w:hint="default" w:ascii="Times New Roman" w:hAnsi="Times New Roman" w:cs="Times New Roman"/>
                      <w:color w:val="auto"/>
                      <w:szCs w:val="21"/>
                      <w:highlight w:val="none"/>
                    </w:rPr>
                  </w:pPr>
                </w:p>
              </w:tc>
              <w:tc>
                <w:tcPr>
                  <w:tcW w:w="809" w:type="pct"/>
                  <w:gridSpan w:val="2"/>
                  <w:noWrap w:val="0"/>
                  <w:vAlign w:val="center"/>
                </w:tcPr>
                <w:p w14:paraId="3A823E0F">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供电</w:t>
                  </w:r>
                </w:p>
              </w:tc>
              <w:tc>
                <w:tcPr>
                  <w:tcW w:w="3120" w:type="pct"/>
                  <w:noWrap w:val="0"/>
                  <w:vAlign w:val="center"/>
                </w:tcPr>
                <w:p w14:paraId="2A3F657E">
                  <w:pPr>
                    <w:tabs>
                      <w:tab w:val="center" w:pos="2304"/>
                    </w:tabs>
                    <w:spacing w:line="0" w:lineRule="atLeast"/>
                    <w:jc w:val="lef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eastAsia="zh-CN"/>
                    </w:rPr>
                    <w:t>本项目用电由</w:t>
                  </w:r>
                  <w:r>
                    <w:rPr>
                      <w:rFonts w:hint="eastAsia" w:ascii="Times New Roman" w:hAnsi="Times New Roman" w:cs="Times New Roman"/>
                      <w:color w:val="auto"/>
                      <w:szCs w:val="21"/>
                      <w:highlight w:val="none"/>
                      <w:lang w:val="en-US" w:eastAsia="zh-CN"/>
                    </w:rPr>
                    <w:t>大恒山供电所</w:t>
                  </w:r>
                  <w:r>
                    <w:rPr>
                      <w:rFonts w:hint="eastAsia" w:ascii="Times New Roman" w:hAnsi="Times New Roman" w:cs="Times New Roman"/>
                      <w:color w:val="auto"/>
                      <w:szCs w:val="21"/>
                      <w:highlight w:val="none"/>
                      <w:lang w:eastAsia="zh-CN"/>
                    </w:rPr>
                    <w:t>提供</w:t>
                  </w:r>
                  <w:r>
                    <w:rPr>
                      <w:rFonts w:hint="eastAsia" w:ascii="Times New Roman" w:hAnsi="Times New Roman" w:cs="Times New Roman"/>
                      <w:color w:val="auto"/>
                      <w:szCs w:val="21"/>
                      <w:highlight w:val="none"/>
                      <w:lang w:val="en-US" w:eastAsia="zh-CN"/>
                    </w:rPr>
                    <w:t>。</w:t>
                  </w:r>
                </w:p>
              </w:tc>
              <w:tc>
                <w:tcPr>
                  <w:tcW w:w="682" w:type="pct"/>
                  <w:noWrap w:val="0"/>
                  <w:vAlign w:val="center"/>
                </w:tcPr>
                <w:p w14:paraId="30B575CA">
                  <w:pPr>
                    <w:spacing w:line="0" w:lineRule="atLeast"/>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依托原有</w:t>
                  </w:r>
                </w:p>
              </w:tc>
            </w:tr>
            <w:tr w14:paraId="1A9FF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8" w:type="pct"/>
                  <w:vMerge w:val="restart"/>
                  <w:noWrap w:val="0"/>
                  <w:vAlign w:val="center"/>
                </w:tcPr>
                <w:p w14:paraId="3CA054D8">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环保工程</w:t>
                  </w:r>
                </w:p>
              </w:tc>
              <w:tc>
                <w:tcPr>
                  <w:tcW w:w="809" w:type="pct"/>
                  <w:gridSpan w:val="2"/>
                  <w:noWrap w:val="0"/>
                  <w:vAlign w:val="center"/>
                </w:tcPr>
                <w:p w14:paraId="0C07166F">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w:t>
                  </w:r>
                </w:p>
              </w:tc>
              <w:tc>
                <w:tcPr>
                  <w:tcW w:w="3120" w:type="pct"/>
                  <w:noWrap w:val="0"/>
                  <w:vAlign w:val="center"/>
                </w:tcPr>
                <w:p w14:paraId="47AB1153">
                  <w:pPr>
                    <w:spacing w:line="0" w:lineRule="atLeast"/>
                    <w:jc w:val="left"/>
                    <w:rPr>
                      <w:rFonts w:hint="default" w:ascii="Times New Roman" w:hAnsi="Times New Roman" w:eastAsia="宋体" w:cs="Times New Roman"/>
                      <w:color w:val="auto"/>
                      <w:szCs w:val="21"/>
                      <w:highlight w:val="none"/>
                      <w:lang w:eastAsia="zh-CN"/>
                    </w:rPr>
                  </w:pPr>
                  <w:r>
                    <w:rPr>
                      <w:rFonts w:hint="eastAsia" w:ascii="Times New Roman" w:hAnsi="Times New Roman" w:cs="宋体"/>
                      <w:color w:val="auto"/>
                      <w:kern w:val="0"/>
                      <w:szCs w:val="21"/>
                      <w:highlight w:val="none"/>
                      <w:lang w:bidi="ar"/>
                    </w:rPr>
                    <w:t>本项目生产废水经处理后全部回用不外排，</w:t>
                  </w:r>
                  <w:r>
                    <w:rPr>
                      <w:rFonts w:hint="eastAsia" w:cs="宋体"/>
                      <w:color w:val="auto"/>
                      <w:kern w:val="0"/>
                      <w:szCs w:val="21"/>
                      <w:highlight w:val="none"/>
                      <w:lang w:eastAsia="zh-CN" w:bidi="ar"/>
                    </w:rPr>
                    <w:t>生活污水排入防渗旱厕，定期清掏，外运至污水处理厂</w:t>
                  </w:r>
                  <w:r>
                    <w:rPr>
                      <w:rFonts w:hint="eastAsia" w:ascii="Times New Roman" w:hAnsi="Times New Roman" w:cs="宋体"/>
                      <w:color w:val="auto"/>
                      <w:kern w:val="0"/>
                      <w:szCs w:val="21"/>
                      <w:highlight w:val="none"/>
                      <w:lang w:eastAsia="zh-CN" w:bidi="ar"/>
                    </w:rPr>
                    <w:t>。</w:t>
                  </w:r>
                </w:p>
              </w:tc>
              <w:tc>
                <w:tcPr>
                  <w:tcW w:w="682" w:type="pct"/>
                  <w:noWrap w:val="0"/>
                  <w:vAlign w:val="center"/>
                </w:tcPr>
                <w:p w14:paraId="52E7271D">
                  <w:pPr>
                    <w:spacing w:line="0" w:lineRule="atLeast"/>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已建成</w:t>
                  </w:r>
                </w:p>
              </w:tc>
            </w:tr>
            <w:tr w14:paraId="62F76B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88" w:type="pct"/>
                  <w:vMerge w:val="continue"/>
                  <w:noWrap w:val="0"/>
                  <w:vAlign w:val="center"/>
                </w:tcPr>
                <w:p w14:paraId="740DD739">
                  <w:pPr>
                    <w:spacing w:line="0" w:lineRule="atLeast"/>
                    <w:jc w:val="center"/>
                    <w:rPr>
                      <w:rFonts w:hint="default" w:ascii="Times New Roman" w:hAnsi="Times New Roman" w:cs="Times New Roman"/>
                      <w:color w:val="auto"/>
                      <w:szCs w:val="21"/>
                      <w:highlight w:val="none"/>
                    </w:rPr>
                  </w:pPr>
                </w:p>
              </w:tc>
              <w:tc>
                <w:tcPr>
                  <w:tcW w:w="809" w:type="pct"/>
                  <w:gridSpan w:val="2"/>
                  <w:noWrap w:val="0"/>
                  <w:vAlign w:val="center"/>
                </w:tcPr>
                <w:p w14:paraId="12BE4516">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3120" w:type="pct"/>
                  <w:noWrap w:val="0"/>
                  <w:vAlign w:val="center"/>
                </w:tcPr>
                <w:p w14:paraId="267975A5">
                  <w:pPr>
                    <w:spacing w:line="0" w:lineRule="atLeast"/>
                    <w:jc w:val="left"/>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选用低噪声设备，底座固定，安装减振、隔声装置</w:t>
                  </w:r>
                  <w:r>
                    <w:rPr>
                      <w:rFonts w:hint="eastAsia" w:ascii="Times New Roman" w:hAnsi="Times New Roman" w:cs="Times New Roman"/>
                      <w:color w:val="auto"/>
                      <w:szCs w:val="21"/>
                      <w:highlight w:val="none"/>
                      <w:lang w:eastAsia="zh-CN"/>
                    </w:rPr>
                    <w:t>。</w:t>
                  </w:r>
                </w:p>
              </w:tc>
              <w:tc>
                <w:tcPr>
                  <w:tcW w:w="682" w:type="pct"/>
                  <w:noWrap w:val="0"/>
                  <w:vAlign w:val="center"/>
                </w:tcPr>
                <w:p w14:paraId="08758A34">
                  <w:pPr>
                    <w:spacing w:line="0" w:lineRule="atLeast"/>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已建成</w:t>
                  </w:r>
                </w:p>
              </w:tc>
            </w:tr>
            <w:tr w14:paraId="2A051D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388" w:type="pct"/>
                  <w:vMerge w:val="continue"/>
                  <w:noWrap w:val="0"/>
                  <w:vAlign w:val="center"/>
                </w:tcPr>
                <w:p w14:paraId="40F43B57">
                  <w:pPr>
                    <w:spacing w:line="0" w:lineRule="atLeast"/>
                    <w:jc w:val="center"/>
                    <w:rPr>
                      <w:rFonts w:hint="default" w:ascii="Times New Roman" w:hAnsi="Times New Roman" w:cs="Times New Roman"/>
                      <w:color w:val="auto"/>
                      <w:szCs w:val="21"/>
                      <w:highlight w:val="none"/>
                    </w:rPr>
                  </w:pPr>
                </w:p>
              </w:tc>
              <w:tc>
                <w:tcPr>
                  <w:tcW w:w="303" w:type="pct"/>
                  <w:vMerge w:val="restart"/>
                  <w:noWrap w:val="0"/>
                  <w:vAlign w:val="center"/>
                </w:tcPr>
                <w:p w14:paraId="2E6D26B9">
                  <w:pPr>
                    <w:spacing w:line="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506" w:type="pct"/>
                  <w:noWrap w:val="0"/>
                  <w:vAlign w:val="center"/>
                </w:tcPr>
                <w:p w14:paraId="28F38104">
                  <w:pPr>
                    <w:jc w:val="center"/>
                    <w:textAlignment w:val="center"/>
                    <w:rPr>
                      <w:rFonts w:hint="default" w:ascii="Times New Roman" w:hAnsi="Times New Roman" w:cs="Times New Roman"/>
                      <w:color w:val="auto"/>
                      <w:szCs w:val="21"/>
                      <w:highlight w:val="none"/>
                    </w:rPr>
                  </w:pPr>
                  <w:r>
                    <w:rPr>
                      <w:rFonts w:hint="eastAsia" w:ascii="Times New Roman" w:hAnsi="Times New Roman"/>
                      <w:color w:val="auto"/>
                      <w:szCs w:val="21"/>
                      <w:highlight w:val="none"/>
                    </w:rPr>
                    <w:t>原料卸车扬尘</w:t>
                  </w:r>
                </w:p>
              </w:tc>
              <w:tc>
                <w:tcPr>
                  <w:tcW w:w="3120" w:type="pct"/>
                  <w:noWrap w:val="0"/>
                  <w:vAlign w:val="center"/>
                </w:tcPr>
                <w:p w14:paraId="659CC03B">
                  <w:pPr>
                    <w:jc w:val="left"/>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宋体"/>
                      <w:color w:val="auto"/>
                      <w:szCs w:val="21"/>
                      <w:highlight w:val="none"/>
                    </w:rPr>
                    <w:t>本项目采取洒水降尘措施，</w:t>
                  </w:r>
                  <w:r>
                    <w:rPr>
                      <w:rFonts w:hint="default" w:ascii="Times New Roman" w:hAnsi="Times New Roman" w:eastAsia="宋体" w:cs="Times New Roman"/>
                      <w:color w:val="auto"/>
                      <w:sz w:val="21"/>
                      <w:szCs w:val="21"/>
                      <w:highlight w:val="none"/>
                    </w:rPr>
                    <w:t>设置</w:t>
                  </w:r>
                  <w:r>
                    <w:rPr>
                      <w:rFonts w:hint="eastAsia"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m高的防风抑尘网</w:t>
                  </w:r>
                  <w:r>
                    <w:rPr>
                      <w:rFonts w:hint="eastAsia" w:ascii="Times New Roman" w:hAnsi="Times New Roman" w:cs="宋体"/>
                      <w:color w:val="auto"/>
                      <w:szCs w:val="21"/>
                      <w:highlight w:val="none"/>
                      <w:lang w:eastAsia="zh-CN"/>
                    </w:rPr>
                    <w:t>。</w:t>
                  </w:r>
                </w:p>
              </w:tc>
              <w:tc>
                <w:tcPr>
                  <w:tcW w:w="682" w:type="pct"/>
                  <w:vMerge w:val="restart"/>
                  <w:noWrap w:val="0"/>
                  <w:vAlign w:val="center"/>
                </w:tcPr>
                <w:p w14:paraId="58927BAD">
                  <w:pPr>
                    <w:spacing w:line="0" w:lineRule="atLeast"/>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已建成</w:t>
                  </w:r>
                </w:p>
              </w:tc>
            </w:tr>
            <w:tr w14:paraId="0D3DB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388" w:type="pct"/>
                  <w:vMerge w:val="continue"/>
                  <w:noWrap w:val="0"/>
                  <w:vAlign w:val="center"/>
                </w:tcPr>
                <w:p w14:paraId="4E89A7F8">
                  <w:pPr>
                    <w:spacing w:line="0" w:lineRule="atLeast"/>
                    <w:rPr>
                      <w:rFonts w:ascii="Times New Roman" w:hAnsi="Times New Roman"/>
                      <w:color w:val="auto"/>
                      <w:highlight w:val="none"/>
                    </w:rPr>
                  </w:pPr>
                </w:p>
              </w:tc>
              <w:tc>
                <w:tcPr>
                  <w:tcW w:w="303" w:type="pct"/>
                  <w:vMerge w:val="continue"/>
                  <w:noWrap w:val="0"/>
                  <w:vAlign w:val="center"/>
                </w:tcPr>
                <w:p w14:paraId="2352C15C">
                  <w:pPr>
                    <w:spacing w:line="0" w:lineRule="atLeast"/>
                    <w:rPr>
                      <w:rFonts w:ascii="Times New Roman" w:hAnsi="Times New Roman"/>
                      <w:color w:val="auto"/>
                      <w:highlight w:val="none"/>
                    </w:rPr>
                  </w:pPr>
                </w:p>
              </w:tc>
              <w:tc>
                <w:tcPr>
                  <w:tcW w:w="506" w:type="pct"/>
                  <w:noWrap w:val="0"/>
                  <w:vAlign w:val="center"/>
                </w:tcPr>
                <w:p w14:paraId="71952550">
                  <w:pPr>
                    <w:jc w:val="center"/>
                    <w:textAlignment w:val="center"/>
                    <w:rPr>
                      <w:rFonts w:ascii="Times New Roman" w:hAnsi="Times New Roman"/>
                      <w:color w:val="auto"/>
                      <w:highlight w:val="none"/>
                    </w:rPr>
                  </w:pPr>
                  <w:r>
                    <w:rPr>
                      <w:rFonts w:hint="eastAsia" w:ascii="Times New Roman" w:hAnsi="Times New Roman"/>
                      <w:color w:val="auto"/>
                      <w:szCs w:val="21"/>
                      <w:highlight w:val="none"/>
                    </w:rPr>
                    <w:t>转运环节粉尘</w:t>
                  </w:r>
                </w:p>
              </w:tc>
              <w:tc>
                <w:tcPr>
                  <w:tcW w:w="3120" w:type="pct"/>
                  <w:noWrap w:val="0"/>
                  <w:vAlign w:val="center"/>
                </w:tcPr>
                <w:p w14:paraId="30EF02F5">
                  <w:pPr>
                    <w:jc w:val="left"/>
                    <w:textAlignment w:val="center"/>
                    <w:rPr>
                      <w:rFonts w:hint="eastAsia" w:ascii="Times New Roman" w:hAnsi="Times New Roman" w:eastAsia="宋体" w:cs="Times New Roman"/>
                      <w:color w:val="auto"/>
                      <w:szCs w:val="21"/>
                      <w:highlight w:val="none"/>
                      <w:lang w:eastAsia="zh-CN"/>
                    </w:rPr>
                  </w:pPr>
                  <w:r>
                    <w:rPr>
                      <w:rFonts w:hint="eastAsia" w:ascii="Times New Roman" w:hAnsi="Times New Roman" w:cs="宋体"/>
                      <w:color w:val="auto"/>
                      <w:szCs w:val="21"/>
                      <w:highlight w:val="none"/>
                      <w:lang w:eastAsia="zh-CN"/>
                    </w:rPr>
                    <w:t>上料口、</w:t>
                  </w:r>
                  <w:r>
                    <w:rPr>
                      <w:rFonts w:hint="eastAsia" w:ascii="Times New Roman" w:hAnsi="Times New Roman" w:cs="宋体"/>
                      <w:color w:val="auto"/>
                      <w:szCs w:val="21"/>
                      <w:highlight w:val="none"/>
                    </w:rPr>
                    <w:t>运输皮带均安装在封闭的通廊中，通廊上方留有通风口，并在转载点采取洒水降尘</w:t>
                  </w:r>
                  <w:r>
                    <w:rPr>
                      <w:rFonts w:hint="eastAsia" w:ascii="Times New Roman" w:hAnsi="Times New Roman" w:cs="宋体"/>
                      <w:color w:val="auto"/>
                      <w:szCs w:val="21"/>
                      <w:highlight w:val="none"/>
                      <w:lang w:eastAsia="zh-CN"/>
                    </w:rPr>
                    <w:t>。</w:t>
                  </w:r>
                </w:p>
              </w:tc>
              <w:tc>
                <w:tcPr>
                  <w:tcW w:w="682" w:type="pct"/>
                  <w:vMerge w:val="continue"/>
                  <w:noWrap w:val="0"/>
                  <w:vAlign w:val="center"/>
                </w:tcPr>
                <w:p w14:paraId="2B7FBF51">
                  <w:pPr>
                    <w:spacing w:line="0" w:lineRule="atLeast"/>
                    <w:rPr>
                      <w:rFonts w:hint="eastAsia" w:ascii="Times New Roman" w:hAnsi="Times New Roman" w:cs="Times New Roman"/>
                      <w:color w:val="auto"/>
                      <w:szCs w:val="21"/>
                      <w:highlight w:val="none"/>
                      <w:lang w:eastAsia="zh-CN"/>
                    </w:rPr>
                  </w:pPr>
                </w:p>
              </w:tc>
            </w:tr>
            <w:tr w14:paraId="4995FE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388" w:type="pct"/>
                  <w:vMerge w:val="continue"/>
                  <w:noWrap w:val="0"/>
                  <w:vAlign w:val="center"/>
                </w:tcPr>
                <w:p w14:paraId="067E473A">
                  <w:pPr>
                    <w:spacing w:line="0" w:lineRule="atLeast"/>
                    <w:rPr>
                      <w:rFonts w:ascii="Times New Roman" w:hAnsi="Times New Roman"/>
                      <w:color w:val="auto"/>
                      <w:highlight w:val="none"/>
                    </w:rPr>
                  </w:pPr>
                </w:p>
              </w:tc>
              <w:tc>
                <w:tcPr>
                  <w:tcW w:w="303" w:type="pct"/>
                  <w:vMerge w:val="continue"/>
                  <w:noWrap w:val="0"/>
                  <w:vAlign w:val="center"/>
                </w:tcPr>
                <w:p w14:paraId="668ABC3D">
                  <w:pPr>
                    <w:spacing w:line="0" w:lineRule="atLeast"/>
                    <w:rPr>
                      <w:rFonts w:ascii="Times New Roman" w:hAnsi="Times New Roman"/>
                      <w:color w:val="auto"/>
                      <w:highlight w:val="none"/>
                    </w:rPr>
                  </w:pPr>
                </w:p>
              </w:tc>
              <w:tc>
                <w:tcPr>
                  <w:tcW w:w="506" w:type="pct"/>
                  <w:noWrap w:val="0"/>
                  <w:vAlign w:val="center"/>
                </w:tcPr>
                <w:p w14:paraId="45D5DD7B">
                  <w:pPr>
                    <w:jc w:val="center"/>
                    <w:textAlignment w:val="center"/>
                    <w:rPr>
                      <w:rFonts w:ascii="Times New Roman" w:hAnsi="Times New Roman"/>
                      <w:color w:val="auto"/>
                      <w:highlight w:val="none"/>
                    </w:rPr>
                  </w:pPr>
                  <w:r>
                    <w:rPr>
                      <w:rFonts w:hint="eastAsia" w:ascii="Times New Roman" w:hAnsi="Times New Roman"/>
                      <w:color w:val="auto"/>
                      <w:szCs w:val="21"/>
                      <w:highlight w:val="none"/>
                    </w:rPr>
                    <w:t>运输扬尘</w:t>
                  </w:r>
                </w:p>
              </w:tc>
              <w:tc>
                <w:tcPr>
                  <w:tcW w:w="3120" w:type="pct"/>
                  <w:noWrap w:val="0"/>
                  <w:vAlign w:val="center"/>
                </w:tcPr>
                <w:p w14:paraId="2A1B0589">
                  <w:pPr>
                    <w:jc w:val="left"/>
                    <w:textAlignment w:val="center"/>
                    <w:rPr>
                      <w:rFonts w:hint="eastAsia" w:ascii="Times New Roman" w:hAnsi="Times New Roman" w:cs="宋体"/>
                      <w:color w:val="auto"/>
                      <w:sz w:val="21"/>
                      <w:szCs w:val="21"/>
                      <w:highlight w:val="none"/>
                    </w:rPr>
                  </w:pPr>
                  <w:r>
                    <w:rPr>
                      <w:rFonts w:hint="eastAsia" w:ascii="Times New Roman" w:hAnsi="Times New Roman"/>
                      <w:color w:val="auto"/>
                      <w:sz w:val="21"/>
                      <w:szCs w:val="21"/>
                      <w:highlight w:val="none"/>
                      <w:lang w:eastAsia="zh-CN"/>
                    </w:rPr>
                    <w:t>本项目厂区内对运输车辆车身加盖苫布，防止物料的洒落，运输道路进行洒水降尘措施。</w:t>
                  </w:r>
                </w:p>
              </w:tc>
              <w:tc>
                <w:tcPr>
                  <w:tcW w:w="682" w:type="pct"/>
                  <w:vMerge w:val="continue"/>
                  <w:noWrap w:val="0"/>
                  <w:vAlign w:val="center"/>
                </w:tcPr>
                <w:p w14:paraId="3B0B1054">
                  <w:pPr>
                    <w:spacing w:line="0" w:lineRule="atLeast"/>
                    <w:rPr>
                      <w:rFonts w:hint="eastAsia" w:ascii="Times New Roman" w:hAnsi="Times New Roman" w:cs="Times New Roman"/>
                      <w:color w:val="auto"/>
                      <w:szCs w:val="21"/>
                      <w:highlight w:val="none"/>
                      <w:lang w:eastAsia="zh-CN"/>
                    </w:rPr>
                  </w:pPr>
                </w:p>
              </w:tc>
            </w:tr>
            <w:tr w14:paraId="5912DC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388" w:type="pct"/>
                  <w:vMerge w:val="continue"/>
                  <w:noWrap w:val="0"/>
                  <w:vAlign w:val="center"/>
                </w:tcPr>
                <w:p w14:paraId="42F7B788">
                  <w:pPr>
                    <w:spacing w:line="0" w:lineRule="atLeast"/>
                    <w:rPr>
                      <w:rFonts w:ascii="Times New Roman" w:hAnsi="Times New Roman"/>
                      <w:color w:val="auto"/>
                      <w:highlight w:val="none"/>
                    </w:rPr>
                  </w:pPr>
                </w:p>
              </w:tc>
              <w:tc>
                <w:tcPr>
                  <w:tcW w:w="303" w:type="pct"/>
                  <w:vMerge w:val="continue"/>
                  <w:noWrap w:val="0"/>
                  <w:vAlign w:val="center"/>
                </w:tcPr>
                <w:p w14:paraId="37911E68">
                  <w:pPr>
                    <w:spacing w:line="0" w:lineRule="atLeast"/>
                    <w:rPr>
                      <w:rFonts w:ascii="Times New Roman" w:hAnsi="Times New Roman"/>
                      <w:color w:val="auto"/>
                      <w:highlight w:val="none"/>
                    </w:rPr>
                  </w:pPr>
                </w:p>
              </w:tc>
              <w:tc>
                <w:tcPr>
                  <w:tcW w:w="506" w:type="pct"/>
                  <w:noWrap w:val="0"/>
                  <w:vAlign w:val="center"/>
                </w:tcPr>
                <w:p w14:paraId="445DB325">
                  <w:pPr>
                    <w:jc w:val="center"/>
                    <w:rPr>
                      <w:rFonts w:ascii="Times New Roman" w:hAnsi="Times New Roman"/>
                      <w:color w:val="auto"/>
                      <w:highlight w:val="none"/>
                    </w:rPr>
                  </w:pPr>
                  <w:r>
                    <w:rPr>
                      <w:rFonts w:hint="eastAsia" w:ascii="Times New Roman" w:hAnsi="Times New Roman"/>
                      <w:color w:val="auto"/>
                      <w:szCs w:val="21"/>
                      <w:highlight w:val="none"/>
                    </w:rPr>
                    <w:t>堆场扬尘</w:t>
                  </w:r>
                </w:p>
              </w:tc>
              <w:tc>
                <w:tcPr>
                  <w:tcW w:w="3120" w:type="pct"/>
                  <w:noWrap w:val="0"/>
                  <w:vAlign w:val="center"/>
                </w:tcPr>
                <w:p w14:paraId="7E17D276">
                  <w:pPr>
                    <w:jc w:val="left"/>
                    <w:textAlignment w:val="center"/>
                    <w:rPr>
                      <w:rFonts w:hint="eastAsia" w:ascii="Times New Roman" w:hAnsi="Times New Roman" w:cs="宋体"/>
                      <w:color w:val="auto"/>
                      <w:sz w:val="21"/>
                      <w:szCs w:val="21"/>
                      <w:highlight w:val="none"/>
                    </w:rPr>
                  </w:pPr>
                  <w:r>
                    <w:rPr>
                      <w:rFonts w:hint="eastAsia" w:ascii="Times New Roman" w:hAnsi="Times New Roman" w:cs="Times New Roman"/>
                      <w:b w:val="0"/>
                      <w:bCs/>
                      <w:color w:val="auto"/>
                      <w:sz w:val="21"/>
                      <w:szCs w:val="21"/>
                      <w:highlight w:val="none"/>
                      <w:lang w:eastAsia="zh-CN"/>
                    </w:rPr>
                    <w:t>本项目</w:t>
                  </w:r>
                  <w:r>
                    <w:rPr>
                      <w:rFonts w:hint="default" w:ascii="Times New Roman" w:hAnsi="Times New Roman" w:eastAsia="宋体" w:cs="Times New Roman"/>
                      <w:color w:val="auto"/>
                      <w:sz w:val="21"/>
                      <w:szCs w:val="21"/>
                      <w:highlight w:val="none"/>
                    </w:rPr>
                    <w:t>设置</w:t>
                  </w:r>
                  <w:r>
                    <w:rPr>
                      <w:rFonts w:hint="eastAsia"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m高的防风抑尘网</w:t>
                  </w:r>
                  <w:r>
                    <w:rPr>
                      <w:rFonts w:hint="eastAsia" w:ascii="Times New Roman" w:hAnsi="Times New Roman" w:eastAsia="宋体" w:cs="Times New Roman"/>
                      <w:color w:val="auto"/>
                      <w:sz w:val="21"/>
                      <w:szCs w:val="21"/>
                      <w:highlight w:val="none"/>
                      <w:lang w:eastAsia="zh-CN"/>
                    </w:rPr>
                    <w:t>苫盖</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b w:val="0"/>
                      <w:bCs/>
                      <w:color w:val="auto"/>
                      <w:sz w:val="21"/>
                      <w:szCs w:val="21"/>
                      <w:highlight w:val="none"/>
                      <w:lang w:eastAsia="zh-CN"/>
                    </w:rPr>
                    <w:t>洒水降尘。</w:t>
                  </w:r>
                </w:p>
              </w:tc>
              <w:tc>
                <w:tcPr>
                  <w:tcW w:w="682" w:type="pct"/>
                  <w:vMerge w:val="continue"/>
                  <w:noWrap w:val="0"/>
                  <w:vAlign w:val="center"/>
                </w:tcPr>
                <w:p w14:paraId="00107331">
                  <w:pPr>
                    <w:spacing w:line="0" w:lineRule="atLeast"/>
                    <w:rPr>
                      <w:rFonts w:hint="eastAsia" w:ascii="Times New Roman" w:hAnsi="Times New Roman" w:cs="Times New Roman"/>
                      <w:color w:val="auto"/>
                      <w:szCs w:val="21"/>
                      <w:highlight w:val="none"/>
                      <w:lang w:eastAsia="zh-CN"/>
                    </w:rPr>
                  </w:pPr>
                </w:p>
              </w:tc>
            </w:tr>
            <w:tr w14:paraId="5DBAE2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1" w:hRule="atLeast"/>
                <w:jc w:val="center"/>
              </w:trPr>
              <w:tc>
                <w:tcPr>
                  <w:tcW w:w="388" w:type="pct"/>
                  <w:vMerge w:val="continue"/>
                  <w:noWrap w:val="0"/>
                  <w:vAlign w:val="center"/>
                </w:tcPr>
                <w:p w14:paraId="6ABF675F">
                  <w:pPr>
                    <w:spacing w:line="0" w:lineRule="atLeast"/>
                    <w:jc w:val="center"/>
                    <w:rPr>
                      <w:rFonts w:hint="default" w:ascii="Times New Roman" w:hAnsi="Times New Roman" w:cs="Times New Roman"/>
                      <w:color w:val="auto"/>
                      <w:szCs w:val="21"/>
                      <w:highlight w:val="yellow"/>
                    </w:rPr>
                  </w:pPr>
                </w:p>
              </w:tc>
              <w:tc>
                <w:tcPr>
                  <w:tcW w:w="809" w:type="pct"/>
                  <w:gridSpan w:val="2"/>
                  <w:vMerge w:val="restart"/>
                  <w:noWrap w:val="0"/>
                  <w:vAlign w:val="center"/>
                </w:tcPr>
                <w:p w14:paraId="21A09EE6">
                  <w:pPr>
                    <w:spacing w:line="0" w:lineRule="atLeast"/>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固废</w:t>
                  </w:r>
                </w:p>
              </w:tc>
              <w:tc>
                <w:tcPr>
                  <w:tcW w:w="3120" w:type="pct"/>
                  <w:noWrap w:val="0"/>
                  <w:vAlign w:val="center"/>
                </w:tcPr>
                <w:p w14:paraId="0C893108">
                  <w:pPr>
                    <w:autoSpaceDE w:val="0"/>
                    <w:autoSpaceDN w:val="0"/>
                    <w:adjustRightInd w:val="0"/>
                    <w:snapToGrid w:val="0"/>
                    <w:jc w:val="left"/>
                    <w:rPr>
                      <w:rFonts w:hint="eastAsia" w:ascii="Times New Roman" w:hAnsi="Times New Roman" w:eastAsia="宋体" w:cs="Times New Roman"/>
                      <w:color w:val="auto"/>
                      <w:szCs w:val="21"/>
                      <w:highlight w:val="none"/>
                      <w:lang w:val="en-US" w:eastAsia="zh-CN"/>
                    </w:rPr>
                  </w:pPr>
                  <w:r>
                    <w:rPr>
                      <w:rFonts w:hint="eastAsia" w:ascii="Times New Roman" w:hAnsi="Times New Roman"/>
                      <w:color w:val="auto"/>
                      <w:szCs w:val="21"/>
                      <w:highlight w:val="none"/>
                    </w:rPr>
                    <w:t>生活垃圾统一收集后由环卫部门清运</w:t>
                  </w:r>
                  <w:r>
                    <w:rPr>
                      <w:rFonts w:hint="eastAsia" w:ascii="Times New Roman" w:hAnsi="Times New Roman" w:cs="宋体"/>
                      <w:color w:val="auto"/>
                      <w:kern w:val="0"/>
                      <w:szCs w:val="21"/>
                      <w:highlight w:val="none"/>
                    </w:rPr>
                    <w:t>填埋</w:t>
                  </w:r>
                  <w:r>
                    <w:rPr>
                      <w:rFonts w:hint="eastAsia" w:ascii="Times New Roman" w:hAnsi="Times New Roman" w:cs="宋体"/>
                      <w:color w:val="auto"/>
                      <w:kern w:val="0"/>
                      <w:szCs w:val="21"/>
                      <w:highlight w:val="none"/>
                      <w:lang w:eastAsia="zh-CN"/>
                    </w:rPr>
                    <w:t>；包装袋、除铁杂质、煤泥暂存于洗选车间的固废堆场，统一外售综合利用；废机油、废油桶和含油抹布暂存于危废间内，委托有资质单位处置</w:t>
                  </w:r>
                  <w:r>
                    <w:rPr>
                      <w:rFonts w:hint="eastAsia" w:cs="宋体"/>
                      <w:color w:val="auto"/>
                      <w:kern w:val="0"/>
                      <w:szCs w:val="21"/>
                      <w:highlight w:val="none"/>
                      <w:lang w:eastAsia="zh-CN"/>
                    </w:rPr>
                    <w:t>。</w:t>
                  </w:r>
                </w:p>
              </w:tc>
              <w:tc>
                <w:tcPr>
                  <w:tcW w:w="682" w:type="pct"/>
                  <w:vMerge w:val="restart"/>
                  <w:noWrap w:val="0"/>
                  <w:vAlign w:val="center"/>
                </w:tcPr>
                <w:p w14:paraId="372ED4C8">
                  <w:pPr>
                    <w:spacing w:line="0" w:lineRule="atLeast"/>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已建成</w:t>
                  </w:r>
                </w:p>
              </w:tc>
            </w:tr>
            <w:tr w14:paraId="1C104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388" w:type="pct"/>
                  <w:vMerge w:val="continue"/>
                  <w:noWrap w:val="0"/>
                  <w:vAlign w:val="center"/>
                </w:tcPr>
                <w:p w14:paraId="545F6F61">
                  <w:pPr>
                    <w:spacing w:line="0" w:lineRule="atLeast"/>
                    <w:jc w:val="center"/>
                    <w:rPr>
                      <w:rFonts w:hint="default" w:ascii="Times New Roman" w:hAnsi="Times New Roman" w:cs="Times New Roman"/>
                      <w:color w:val="auto"/>
                      <w:szCs w:val="21"/>
                      <w:highlight w:val="none"/>
                    </w:rPr>
                  </w:pPr>
                </w:p>
              </w:tc>
              <w:tc>
                <w:tcPr>
                  <w:tcW w:w="809" w:type="pct"/>
                  <w:gridSpan w:val="2"/>
                  <w:vMerge w:val="continue"/>
                  <w:noWrap w:val="0"/>
                  <w:vAlign w:val="center"/>
                </w:tcPr>
                <w:p w14:paraId="7D883C1D">
                  <w:pPr>
                    <w:spacing w:line="0" w:lineRule="atLeast"/>
                    <w:jc w:val="center"/>
                    <w:rPr>
                      <w:rFonts w:hint="eastAsia" w:ascii="Times New Roman" w:hAnsi="Times New Roman" w:cs="Times New Roman"/>
                      <w:color w:val="auto"/>
                      <w:szCs w:val="21"/>
                      <w:highlight w:val="none"/>
                      <w:lang w:eastAsia="zh-CN"/>
                    </w:rPr>
                  </w:pPr>
                </w:p>
              </w:tc>
              <w:tc>
                <w:tcPr>
                  <w:tcW w:w="3120" w:type="pct"/>
                  <w:noWrap w:val="0"/>
                  <w:vAlign w:val="center"/>
                </w:tcPr>
                <w:p w14:paraId="140C445F">
                  <w:pPr>
                    <w:autoSpaceDE w:val="0"/>
                    <w:autoSpaceDN w:val="0"/>
                    <w:adjustRightInd w:val="0"/>
                    <w:snapToGrid w:val="0"/>
                    <w:rPr>
                      <w:rFonts w:hint="eastAsia" w:ascii="Times New Roman" w:hAnsi="Times New Roman" w:cs="Times New Roman"/>
                      <w:b w:val="0"/>
                      <w:bCs/>
                      <w:color w:val="auto"/>
                      <w:szCs w:val="21"/>
                      <w:highlight w:val="none"/>
                      <w:lang w:val="en-US" w:eastAsia="zh-CN"/>
                    </w:rPr>
                  </w:pPr>
                  <w:r>
                    <w:rPr>
                      <w:rFonts w:hint="default" w:ascii="Times New Roman" w:hAnsi="Times New Roman" w:eastAsia="宋体" w:cs="Times New Roman"/>
                      <w:color w:val="auto"/>
                      <w:sz w:val="21"/>
                      <w:szCs w:val="21"/>
                      <w:highlight w:val="none"/>
                    </w:rPr>
                    <w:t>建设一座危险废物暂存间，位于</w:t>
                  </w:r>
                  <w:r>
                    <w:rPr>
                      <w:rFonts w:hint="eastAsia" w:ascii="Times New Roman" w:hAnsi="Times New Roman" w:cs="Times New Roman"/>
                      <w:color w:val="auto"/>
                      <w:sz w:val="21"/>
                      <w:szCs w:val="21"/>
                      <w:highlight w:val="none"/>
                      <w:lang w:eastAsia="zh-CN"/>
                    </w:rPr>
                    <w:t>准备车间东侧</w:t>
                  </w:r>
                  <w:r>
                    <w:rPr>
                      <w:rFonts w:hint="default" w:ascii="Times New Roman" w:hAnsi="Times New Roman" w:eastAsia="宋体" w:cs="Times New Roman"/>
                      <w:color w:val="auto"/>
                      <w:sz w:val="21"/>
                      <w:szCs w:val="21"/>
                      <w:highlight w:val="none"/>
                    </w:rPr>
                    <w:t>，面积为</w:t>
                  </w:r>
                  <w:r>
                    <w:rPr>
                      <w:rFonts w:hint="eastAsia" w:ascii="Times New Roman" w:hAnsi="Times New Roman"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lang w:eastAsia="zh-CN"/>
                    </w:rPr>
                    <w:t>，最大储存量为</w:t>
                  </w:r>
                  <w:r>
                    <w:rPr>
                      <w:rFonts w:hint="eastAsia" w:ascii="Times New Roman" w:hAnsi="Times New Roman" w:cs="Times New Roman"/>
                      <w:color w:val="auto"/>
                      <w:sz w:val="21"/>
                      <w:szCs w:val="21"/>
                      <w:highlight w:val="none"/>
                      <w:lang w:val="en-US" w:eastAsia="zh-CN"/>
                    </w:rPr>
                    <w:t>8t</w:t>
                  </w:r>
                  <w:r>
                    <w:rPr>
                      <w:rFonts w:hint="default" w:ascii="Times New Roman" w:hAnsi="Times New Roman" w:eastAsia="宋体" w:cs="Times New Roman"/>
                      <w:color w:val="auto"/>
                      <w:sz w:val="21"/>
                      <w:szCs w:val="21"/>
                      <w:highlight w:val="none"/>
                      <w:lang w:eastAsia="zh-CN"/>
                    </w:rPr>
                    <w:t>。</w:t>
                  </w:r>
                </w:p>
              </w:tc>
              <w:tc>
                <w:tcPr>
                  <w:tcW w:w="682" w:type="pct"/>
                  <w:vMerge w:val="continue"/>
                  <w:noWrap w:val="0"/>
                  <w:vAlign w:val="center"/>
                </w:tcPr>
                <w:p w14:paraId="632B3413">
                  <w:pPr>
                    <w:spacing w:line="0" w:lineRule="atLeast"/>
                    <w:jc w:val="center"/>
                    <w:rPr>
                      <w:rFonts w:hint="default" w:ascii="Times New Roman" w:hAnsi="Times New Roman" w:cs="Times New Roman"/>
                      <w:color w:val="auto"/>
                      <w:szCs w:val="21"/>
                      <w:highlight w:val="none"/>
                    </w:rPr>
                  </w:pPr>
                </w:p>
              </w:tc>
            </w:tr>
          </w:tbl>
          <w:p w14:paraId="728B8E4B">
            <w:pPr>
              <w:pStyle w:val="66"/>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left="-62" w:leftChars="0" w:firstLine="482" w:firstLineChars="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主要设备</w:t>
            </w:r>
          </w:p>
          <w:p w14:paraId="329B436C">
            <w:pPr>
              <w:spacing w:line="360" w:lineRule="auto"/>
              <w:ind w:firstLine="480" w:firstLineChars="200"/>
              <w:jc w:val="both"/>
              <w:rPr>
                <w:rFonts w:hint="default" w:ascii="Times New Roman" w:hAnsi="Times New Roman" w:cs="Times New Roman"/>
                <w:b/>
                <w:color w:val="auto"/>
                <w:sz w:val="24"/>
                <w:highlight w:val="none"/>
              </w:rPr>
            </w:pPr>
            <w:r>
              <w:rPr>
                <w:rFonts w:hint="default" w:ascii="Times New Roman" w:hAnsi="Times New Roman" w:eastAsia="宋体" w:cs="Times New Roman"/>
                <w:color w:val="auto"/>
                <w:kern w:val="0"/>
                <w:sz w:val="24"/>
                <w:szCs w:val="24"/>
                <w:highlight w:val="none"/>
                <w:lang w:val="en-US" w:eastAsia="zh-CN"/>
              </w:rPr>
              <w:t>项目主要设备见</w:t>
            </w:r>
            <w:r>
              <w:rPr>
                <w:rFonts w:hint="eastAsia" w:ascii="Times New Roman" w:hAnsi="Times New Roman" w:eastAsia="宋体" w:cs="Times New Roman"/>
                <w:color w:val="auto"/>
                <w:kern w:val="0"/>
                <w:sz w:val="24"/>
                <w:szCs w:val="24"/>
                <w:highlight w:val="none"/>
                <w:lang w:val="en-US" w:eastAsia="zh-CN"/>
              </w:rPr>
              <w:t>下表</w:t>
            </w:r>
            <w:r>
              <w:rPr>
                <w:rFonts w:hint="default" w:ascii="Times New Roman" w:hAnsi="Times New Roman" w:eastAsia="宋体" w:cs="Times New Roman"/>
                <w:color w:val="auto"/>
                <w:kern w:val="0"/>
                <w:sz w:val="24"/>
                <w:szCs w:val="24"/>
                <w:highlight w:val="none"/>
                <w:lang w:val="en-US" w:eastAsia="zh-CN"/>
              </w:rPr>
              <w:t>。</w:t>
            </w:r>
          </w:p>
          <w:p w14:paraId="3D545DC1">
            <w:pPr>
              <w:spacing w:line="360" w:lineRule="auto"/>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bCs/>
                <w:color w:val="auto"/>
                <w:kern w:val="2"/>
                <w:sz w:val="21"/>
                <w:szCs w:val="21"/>
                <w:lang w:val="en-US" w:eastAsia="zh-CN" w:bidi="ar-SA"/>
              </w:rPr>
              <w:t>表2-</w:t>
            </w:r>
            <w:r>
              <w:rPr>
                <w:rFonts w:hint="eastAsia" w:cs="Times New Roman"/>
                <w:b/>
                <w:bCs/>
                <w:color w:val="auto"/>
                <w:kern w:val="2"/>
                <w:sz w:val="21"/>
                <w:szCs w:val="21"/>
                <w:lang w:val="en-US" w:eastAsia="zh-CN" w:bidi="ar-SA"/>
              </w:rPr>
              <w:t>3</w:t>
            </w:r>
            <w:r>
              <w:rPr>
                <w:rFonts w:hint="default" w:ascii="Times New Roman" w:hAnsi="Times New Roman" w:eastAsia="宋体" w:cs="Times New Roman"/>
                <w:b/>
                <w:bCs/>
                <w:color w:val="auto"/>
                <w:kern w:val="2"/>
                <w:sz w:val="21"/>
                <w:szCs w:val="21"/>
                <w:lang w:val="en-US" w:eastAsia="zh-CN" w:bidi="ar-SA"/>
              </w:rPr>
              <w:t xml:space="preserve"> 项目设备一览表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63"/>
              <w:gridCol w:w="2156"/>
              <w:gridCol w:w="1788"/>
              <w:gridCol w:w="859"/>
              <w:gridCol w:w="1084"/>
              <w:gridCol w:w="1567"/>
            </w:tblGrid>
            <w:tr w14:paraId="6AD562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64" w:type="pct"/>
                  <w:noWrap w:val="0"/>
                  <w:vAlign w:val="center"/>
                </w:tcPr>
                <w:p w14:paraId="4918C42A">
                  <w:pPr>
                    <w:autoSpaceDE w:val="0"/>
                    <w:autoSpaceDN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序号</w:t>
                  </w:r>
                </w:p>
              </w:tc>
              <w:tc>
                <w:tcPr>
                  <w:tcW w:w="1311" w:type="pct"/>
                  <w:noWrap w:val="0"/>
                  <w:vAlign w:val="center"/>
                </w:tcPr>
                <w:p w14:paraId="2651EAE0">
                  <w:pPr>
                    <w:autoSpaceDE w:val="0"/>
                    <w:autoSpaceDN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设备名称</w:t>
                  </w:r>
                </w:p>
              </w:tc>
              <w:tc>
                <w:tcPr>
                  <w:tcW w:w="1087" w:type="pct"/>
                  <w:noWrap w:val="0"/>
                  <w:vAlign w:val="center"/>
                </w:tcPr>
                <w:p w14:paraId="526312C9">
                  <w:pPr>
                    <w:autoSpaceDE w:val="0"/>
                    <w:autoSpaceDN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规格/型号</w:t>
                  </w:r>
                </w:p>
              </w:tc>
              <w:tc>
                <w:tcPr>
                  <w:tcW w:w="522" w:type="pct"/>
                  <w:noWrap w:val="0"/>
                  <w:vAlign w:val="center"/>
                </w:tcPr>
                <w:p w14:paraId="3C10A448">
                  <w:pPr>
                    <w:autoSpaceDE w:val="0"/>
                    <w:autoSpaceDN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单位</w:t>
                  </w:r>
                </w:p>
              </w:tc>
              <w:tc>
                <w:tcPr>
                  <w:tcW w:w="659" w:type="pct"/>
                  <w:noWrap w:val="0"/>
                  <w:vAlign w:val="center"/>
                </w:tcPr>
                <w:p w14:paraId="695EE40F">
                  <w:pPr>
                    <w:autoSpaceDE w:val="0"/>
                    <w:autoSpaceDN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数量</w:t>
                  </w:r>
                </w:p>
              </w:tc>
              <w:tc>
                <w:tcPr>
                  <w:tcW w:w="953" w:type="pct"/>
                  <w:noWrap w:val="0"/>
                  <w:vAlign w:val="center"/>
                </w:tcPr>
                <w:p w14:paraId="7DB9BD80">
                  <w:pPr>
                    <w:autoSpaceDE w:val="0"/>
                    <w:autoSpaceDN w:val="0"/>
                    <w:jc w:val="center"/>
                    <w:rPr>
                      <w:rFonts w:hint="eastAsia" w:ascii="Times New Roman" w:hAnsi="Times New Roman" w:eastAsia="宋体" w:cs="Times New Roman"/>
                      <w:b/>
                      <w:bCs/>
                      <w:color w:val="auto"/>
                      <w:szCs w:val="21"/>
                      <w:highlight w:val="none"/>
                      <w:lang w:val="en-US" w:eastAsia="zh-CN"/>
                    </w:rPr>
                  </w:pPr>
                  <w:r>
                    <w:rPr>
                      <w:rFonts w:hint="eastAsia" w:ascii="Times New Roman" w:hAnsi="Times New Roman" w:cs="Times New Roman"/>
                      <w:b/>
                      <w:bCs/>
                      <w:color w:val="auto"/>
                      <w:szCs w:val="21"/>
                      <w:highlight w:val="none"/>
                      <w:lang w:val="en-US" w:eastAsia="zh-CN"/>
                    </w:rPr>
                    <w:t>备注</w:t>
                  </w:r>
                </w:p>
              </w:tc>
            </w:tr>
            <w:tr w14:paraId="5B3DD2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64" w:type="pct"/>
                  <w:noWrap w:val="0"/>
                  <w:vAlign w:val="center"/>
                </w:tcPr>
                <w:p w14:paraId="3AE873A4">
                  <w:pPr>
                    <w:jc w:val="center"/>
                    <w:rPr>
                      <w:rFonts w:hint="default" w:ascii="Times New Roman" w:hAnsi="Times New Roman" w:cs="Times New Roman"/>
                      <w:color w:val="auto"/>
                      <w:szCs w:val="21"/>
                      <w:highlight w:val="none"/>
                    </w:rPr>
                  </w:pPr>
                  <w:r>
                    <w:rPr>
                      <w:rFonts w:ascii="Times New Roman" w:hAnsi="Times New Roman"/>
                      <w:color w:val="auto"/>
                      <w:highlight w:val="none"/>
                    </w:rPr>
                    <w:t>1</w:t>
                  </w:r>
                </w:p>
              </w:tc>
              <w:tc>
                <w:tcPr>
                  <w:tcW w:w="1311" w:type="pct"/>
                  <w:noWrap w:val="0"/>
                  <w:vAlign w:val="center"/>
                </w:tcPr>
                <w:p w14:paraId="011D41B1">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eastAsia="zh-CN"/>
                    </w:rPr>
                    <w:t>往复式给料机</w:t>
                  </w:r>
                </w:p>
              </w:tc>
              <w:tc>
                <w:tcPr>
                  <w:tcW w:w="1087" w:type="pct"/>
                  <w:noWrap w:val="0"/>
                  <w:vAlign w:val="center"/>
                </w:tcPr>
                <w:p w14:paraId="653B87F7">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TDY16</w:t>
                  </w:r>
                </w:p>
              </w:tc>
              <w:tc>
                <w:tcPr>
                  <w:tcW w:w="522" w:type="pct"/>
                  <w:noWrap w:val="0"/>
                  <w:vAlign w:val="center"/>
                </w:tcPr>
                <w:p w14:paraId="29BF6119">
                  <w:pPr>
                    <w:jc w:val="center"/>
                    <w:rPr>
                      <w:rFonts w:hint="eastAsia" w:ascii="Times New Roman" w:hAnsi="Times New Roman" w:eastAsia="宋体" w:cs="Times New Roman"/>
                      <w:color w:val="auto"/>
                      <w:szCs w:val="21"/>
                      <w:highlight w:val="none"/>
                      <w:lang w:val="en-US" w:eastAsia="zh-Hans"/>
                    </w:rPr>
                  </w:pPr>
                  <w:r>
                    <w:rPr>
                      <w:rFonts w:hint="default" w:ascii="Times New Roman" w:hAnsi="Times New Roman" w:cs="Times New Roman"/>
                      <w:color w:val="auto"/>
                      <w:kern w:val="2"/>
                      <w:sz w:val="21"/>
                      <w:szCs w:val="21"/>
                      <w:highlight w:val="none"/>
                      <w:lang w:val="en-US" w:eastAsia="zh-CN" w:bidi="ar-SA"/>
                    </w:rPr>
                    <w:t>台</w:t>
                  </w:r>
                </w:p>
              </w:tc>
              <w:tc>
                <w:tcPr>
                  <w:tcW w:w="659" w:type="pct"/>
                  <w:noWrap w:val="0"/>
                  <w:vAlign w:val="center"/>
                </w:tcPr>
                <w:p w14:paraId="6962B87F">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2</w:t>
                  </w:r>
                </w:p>
              </w:tc>
              <w:tc>
                <w:tcPr>
                  <w:tcW w:w="953" w:type="pct"/>
                  <w:noWrap w:val="0"/>
                  <w:vAlign w:val="center"/>
                </w:tcPr>
                <w:p w14:paraId="48C3F245">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14:paraId="6E3E9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64" w:type="pct"/>
                  <w:noWrap w:val="0"/>
                  <w:vAlign w:val="center"/>
                </w:tcPr>
                <w:p w14:paraId="21363E29">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olor w:val="auto"/>
                      <w:highlight w:val="none"/>
                    </w:rPr>
                    <w:t>2</w:t>
                  </w:r>
                </w:p>
              </w:tc>
              <w:tc>
                <w:tcPr>
                  <w:tcW w:w="1311" w:type="pct"/>
                  <w:noWrap w:val="0"/>
                  <w:vAlign w:val="center"/>
                </w:tcPr>
                <w:p w14:paraId="7C85E2D5">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eastAsia="zh-CN"/>
                    </w:rPr>
                    <w:t>脱水振动筛</w:t>
                  </w:r>
                </w:p>
              </w:tc>
              <w:tc>
                <w:tcPr>
                  <w:tcW w:w="1087" w:type="pct"/>
                  <w:noWrap w:val="0"/>
                  <w:vAlign w:val="center"/>
                </w:tcPr>
                <w:p w14:paraId="761DC71F">
                  <w:pPr>
                    <w:jc w:val="center"/>
                    <w:rPr>
                      <w:rFonts w:hint="default" w:ascii="Times New Roman" w:hAnsi="Times New Roman" w:eastAsia="仿宋_GB2312"/>
                      <w:color w:val="auto"/>
                      <w:szCs w:val="21"/>
                      <w:highlight w:val="none"/>
                      <w:lang w:val="en-US" w:eastAsia="zh-CN"/>
                    </w:rPr>
                  </w:pPr>
                  <w:r>
                    <w:rPr>
                      <w:rFonts w:hint="eastAsia" w:ascii="Times New Roman" w:hAnsi="Times New Roman" w:eastAsia="仿宋_GB2312" w:cs="Times New Roman"/>
                      <w:color w:val="auto"/>
                      <w:szCs w:val="21"/>
                      <w:highlight w:val="none"/>
                      <w:lang w:val="en-US" w:eastAsia="zh-CN"/>
                    </w:rPr>
                    <w:t>GZT48</w:t>
                  </w:r>
                </w:p>
              </w:tc>
              <w:tc>
                <w:tcPr>
                  <w:tcW w:w="522" w:type="pct"/>
                  <w:noWrap w:val="0"/>
                  <w:vAlign w:val="center"/>
                </w:tcPr>
                <w:p w14:paraId="050D83BF">
                  <w:pPr>
                    <w:jc w:val="center"/>
                    <w:rPr>
                      <w:rFonts w:hint="eastAsia" w:ascii="Times New Roman" w:hAnsi="Times New Roman" w:eastAsia="宋体" w:cs="Times New Roman"/>
                      <w:color w:val="auto"/>
                      <w:szCs w:val="21"/>
                      <w:highlight w:val="none"/>
                      <w:lang w:val="en-US" w:eastAsia="zh-Hans"/>
                    </w:rPr>
                  </w:pPr>
                  <w:r>
                    <w:rPr>
                      <w:rFonts w:hint="default" w:ascii="Times New Roman" w:hAnsi="Times New Roman" w:cs="Times New Roman"/>
                      <w:color w:val="auto"/>
                      <w:kern w:val="2"/>
                      <w:sz w:val="21"/>
                      <w:szCs w:val="21"/>
                      <w:highlight w:val="none"/>
                      <w:lang w:val="en-US" w:eastAsia="zh-CN" w:bidi="ar-SA"/>
                    </w:rPr>
                    <w:t>台</w:t>
                  </w:r>
                </w:p>
              </w:tc>
              <w:tc>
                <w:tcPr>
                  <w:tcW w:w="659" w:type="pct"/>
                  <w:noWrap w:val="0"/>
                  <w:vAlign w:val="center"/>
                </w:tcPr>
                <w:p w14:paraId="30F74AF1">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2</w:t>
                  </w:r>
                </w:p>
              </w:tc>
              <w:tc>
                <w:tcPr>
                  <w:tcW w:w="953" w:type="pct"/>
                  <w:noWrap w:val="0"/>
                  <w:vAlign w:val="center"/>
                </w:tcPr>
                <w:p w14:paraId="73487559">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14:paraId="1AABB4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64" w:type="pct"/>
                  <w:noWrap w:val="0"/>
                  <w:vAlign w:val="center"/>
                </w:tcPr>
                <w:p w14:paraId="1D00C51A">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olor w:val="auto"/>
                      <w:highlight w:val="none"/>
                    </w:rPr>
                    <w:t>3</w:t>
                  </w:r>
                </w:p>
              </w:tc>
              <w:tc>
                <w:tcPr>
                  <w:tcW w:w="1311" w:type="pct"/>
                  <w:noWrap w:val="0"/>
                  <w:vAlign w:val="center"/>
                </w:tcPr>
                <w:p w14:paraId="2182568C">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跳汰机</w:t>
                  </w:r>
                </w:p>
              </w:tc>
              <w:tc>
                <w:tcPr>
                  <w:tcW w:w="1087" w:type="pct"/>
                  <w:noWrap w:val="0"/>
                  <w:vAlign w:val="center"/>
                </w:tcPr>
                <w:p w14:paraId="76A73029">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JZQ360</w:t>
                  </w:r>
                </w:p>
              </w:tc>
              <w:tc>
                <w:tcPr>
                  <w:tcW w:w="522" w:type="pct"/>
                  <w:noWrap w:val="0"/>
                  <w:vAlign w:val="center"/>
                </w:tcPr>
                <w:p w14:paraId="299FB9B4">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2"/>
                      <w:sz w:val="21"/>
                      <w:szCs w:val="21"/>
                      <w:highlight w:val="none"/>
                      <w:lang w:val="en-US" w:eastAsia="zh-CN" w:bidi="ar-SA"/>
                    </w:rPr>
                    <w:t>台</w:t>
                  </w:r>
                </w:p>
              </w:tc>
              <w:tc>
                <w:tcPr>
                  <w:tcW w:w="659" w:type="pct"/>
                  <w:noWrap w:val="0"/>
                  <w:vAlign w:val="center"/>
                </w:tcPr>
                <w:p w14:paraId="0EB370AA">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rPr>
                    <w:t>1</w:t>
                  </w:r>
                </w:p>
              </w:tc>
              <w:tc>
                <w:tcPr>
                  <w:tcW w:w="953" w:type="pct"/>
                  <w:noWrap w:val="0"/>
                  <w:vAlign w:val="center"/>
                </w:tcPr>
                <w:p w14:paraId="6B3B6738">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14:paraId="086C36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64" w:type="pct"/>
                  <w:noWrap w:val="0"/>
                  <w:vAlign w:val="center"/>
                </w:tcPr>
                <w:p w14:paraId="35F72777">
                  <w:pPr>
                    <w:jc w:val="center"/>
                    <w:rPr>
                      <w:rFonts w:hint="default" w:ascii="Times New Roman" w:hAnsi="Times New Roman" w:cs="Times New Roman"/>
                      <w:color w:val="auto"/>
                      <w:szCs w:val="21"/>
                      <w:highlight w:val="none"/>
                      <w:lang w:val="en-US" w:eastAsia="zh-CN"/>
                    </w:rPr>
                  </w:pPr>
                  <w:r>
                    <w:rPr>
                      <w:rFonts w:hint="eastAsia" w:ascii="Times New Roman" w:hAnsi="Times New Roman"/>
                      <w:color w:val="auto"/>
                      <w:highlight w:val="none"/>
                    </w:rPr>
                    <w:t>4</w:t>
                  </w:r>
                </w:p>
              </w:tc>
              <w:tc>
                <w:tcPr>
                  <w:tcW w:w="1311" w:type="pct"/>
                  <w:noWrap w:val="0"/>
                  <w:vAlign w:val="center"/>
                </w:tcPr>
                <w:p w14:paraId="2A28AB67">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循环水泵</w:t>
                  </w:r>
                </w:p>
              </w:tc>
              <w:tc>
                <w:tcPr>
                  <w:tcW w:w="1087" w:type="pct"/>
                  <w:noWrap w:val="0"/>
                  <w:vAlign w:val="center"/>
                </w:tcPr>
                <w:p w14:paraId="0A584E07">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15千瓦</w:t>
                  </w:r>
                </w:p>
              </w:tc>
              <w:tc>
                <w:tcPr>
                  <w:tcW w:w="522" w:type="pct"/>
                  <w:noWrap w:val="0"/>
                  <w:vAlign w:val="center"/>
                </w:tcPr>
                <w:p w14:paraId="788EBC9A">
                  <w:pPr>
                    <w:jc w:val="center"/>
                    <w:rPr>
                      <w:rFonts w:hint="eastAsia" w:ascii="Times New Roman" w:hAnsi="Times New Roman" w:eastAsia="宋体" w:cs="Times New Roman"/>
                      <w:color w:val="auto"/>
                      <w:kern w:val="2"/>
                      <w:sz w:val="21"/>
                      <w:szCs w:val="21"/>
                      <w:highlight w:val="none"/>
                      <w:lang w:val="en-US" w:eastAsia="zh-Hans" w:bidi="ar-SA"/>
                    </w:rPr>
                  </w:pPr>
                  <w:r>
                    <w:rPr>
                      <w:rFonts w:hint="default" w:ascii="Times New Roman" w:hAnsi="Times New Roman" w:cs="Times New Roman"/>
                      <w:color w:val="auto"/>
                      <w:kern w:val="2"/>
                      <w:sz w:val="21"/>
                      <w:szCs w:val="21"/>
                      <w:highlight w:val="none"/>
                      <w:lang w:val="en-US" w:eastAsia="zh-CN" w:bidi="ar-SA"/>
                    </w:rPr>
                    <w:t>台</w:t>
                  </w:r>
                </w:p>
              </w:tc>
              <w:tc>
                <w:tcPr>
                  <w:tcW w:w="659" w:type="pct"/>
                  <w:noWrap w:val="0"/>
                  <w:vAlign w:val="center"/>
                </w:tcPr>
                <w:p w14:paraId="02B8DD21">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rPr>
                    <w:t>1</w:t>
                  </w:r>
                </w:p>
              </w:tc>
              <w:tc>
                <w:tcPr>
                  <w:tcW w:w="953" w:type="pct"/>
                  <w:noWrap w:val="0"/>
                  <w:vAlign w:val="center"/>
                </w:tcPr>
                <w:p w14:paraId="125F8B7D">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80m</w:t>
                  </w:r>
                  <w:r>
                    <w:rPr>
                      <w:rFonts w:hint="eastAsia" w:ascii="Times New Roman" w:hAnsi="Times New Roman" w:cs="Times New Roman"/>
                      <w:color w:val="auto"/>
                      <w:szCs w:val="21"/>
                      <w:highlight w:val="none"/>
                      <w:vertAlign w:val="superscript"/>
                      <w:lang w:val="en-US" w:eastAsia="zh-CN"/>
                    </w:rPr>
                    <w:t>3</w:t>
                  </w:r>
                  <w:r>
                    <w:rPr>
                      <w:rFonts w:hint="eastAsia" w:ascii="Times New Roman" w:hAnsi="Times New Roman" w:cs="Times New Roman"/>
                      <w:color w:val="auto"/>
                      <w:szCs w:val="21"/>
                      <w:highlight w:val="none"/>
                      <w:lang w:val="en-US" w:eastAsia="zh-CN"/>
                    </w:rPr>
                    <w:t>/h，扬程60m</w:t>
                  </w:r>
                </w:p>
              </w:tc>
            </w:tr>
            <w:tr w14:paraId="296AE3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64" w:type="pct"/>
                  <w:noWrap w:val="0"/>
                  <w:vAlign w:val="center"/>
                </w:tcPr>
                <w:p w14:paraId="12304F5F">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w:t>
                  </w:r>
                </w:p>
              </w:tc>
              <w:tc>
                <w:tcPr>
                  <w:tcW w:w="1311" w:type="pct"/>
                  <w:noWrap w:val="0"/>
                  <w:vAlign w:val="center"/>
                </w:tcPr>
                <w:p w14:paraId="670EE190">
                  <w:pPr>
                    <w:jc w:val="center"/>
                    <w:rPr>
                      <w:rFonts w:hint="default" w:ascii="Times New Roman" w:hAnsi="Times New Roman" w:cs="Times New Roman"/>
                      <w:color w:val="auto"/>
                      <w:szCs w:val="21"/>
                      <w:highlight w:val="none"/>
                      <w:lang w:eastAsia="zh-CN"/>
                    </w:rPr>
                  </w:pPr>
                  <w:r>
                    <w:rPr>
                      <w:rFonts w:hint="eastAsia" w:ascii="Times New Roman" w:hAnsi="Times New Roman" w:cs="Times New Roman"/>
                      <w:color w:val="auto"/>
                      <w:szCs w:val="21"/>
                      <w:highlight w:val="none"/>
                      <w:lang w:eastAsia="zh-CN"/>
                    </w:rPr>
                    <w:t>矿浆预处理器</w:t>
                  </w:r>
                </w:p>
              </w:tc>
              <w:tc>
                <w:tcPr>
                  <w:tcW w:w="1087" w:type="pct"/>
                  <w:noWrap w:val="0"/>
                  <w:vAlign w:val="center"/>
                </w:tcPr>
                <w:p w14:paraId="656F162B">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铵率浓缩</w:t>
                  </w:r>
                </w:p>
              </w:tc>
              <w:tc>
                <w:tcPr>
                  <w:tcW w:w="522" w:type="pct"/>
                  <w:noWrap w:val="0"/>
                  <w:vAlign w:val="center"/>
                </w:tcPr>
                <w:p w14:paraId="246E4E9C">
                  <w:pPr>
                    <w:jc w:val="center"/>
                    <w:rPr>
                      <w:rFonts w:hint="eastAsia" w:ascii="Times New Roman" w:hAnsi="Times New Roman" w:eastAsia="宋体" w:cs="Times New Roman"/>
                      <w:color w:val="auto"/>
                      <w:kern w:val="2"/>
                      <w:sz w:val="21"/>
                      <w:szCs w:val="21"/>
                      <w:highlight w:val="none"/>
                      <w:lang w:val="en-US" w:eastAsia="zh-Hans" w:bidi="ar-SA"/>
                    </w:rPr>
                  </w:pPr>
                  <w:r>
                    <w:rPr>
                      <w:rFonts w:hint="default" w:ascii="Times New Roman" w:hAnsi="Times New Roman" w:cs="Times New Roman"/>
                      <w:color w:val="auto"/>
                      <w:kern w:val="2"/>
                      <w:sz w:val="21"/>
                      <w:szCs w:val="21"/>
                      <w:highlight w:val="none"/>
                      <w:lang w:val="en-US" w:eastAsia="zh-CN" w:bidi="ar-SA"/>
                    </w:rPr>
                    <w:t>台</w:t>
                  </w:r>
                </w:p>
              </w:tc>
              <w:tc>
                <w:tcPr>
                  <w:tcW w:w="659" w:type="pct"/>
                  <w:noWrap w:val="0"/>
                  <w:vAlign w:val="center"/>
                </w:tcPr>
                <w:p w14:paraId="003DB51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2</w:t>
                  </w:r>
                </w:p>
              </w:tc>
              <w:tc>
                <w:tcPr>
                  <w:tcW w:w="953" w:type="pct"/>
                  <w:noWrap w:val="0"/>
                  <w:vAlign w:val="center"/>
                </w:tcPr>
                <w:p w14:paraId="05540F15">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14:paraId="7B228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64" w:type="pct"/>
                  <w:noWrap w:val="0"/>
                  <w:vAlign w:val="center"/>
                </w:tcPr>
                <w:p w14:paraId="1DA61EC9">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w:t>
                  </w:r>
                </w:p>
              </w:tc>
              <w:tc>
                <w:tcPr>
                  <w:tcW w:w="1311" w:type="pct"/>
                  <w:noWrap w:val="0"/>
                  <w:vAlign w:val="center"/>
                </w:tcPr>
                <w:p w14:paraId="324A8323">
                  <w:pPr>
                    <w:jc w:val="center"/>
                    <w:rPr>
                      <w:rFonts w:hint="default" w:ascii="Times New Roman" w:hAnsi="Times New Roman" w:cs="Times New Roman"/>
                      <w:color w:val="auto"/>
                      <w:szCs w:val="21"/>
                      <w:highlight w:val="none"/>
                      <w:lang w:eastAsia="zh-CN"/>
                    </w:rPr>
                  </w:pPr>
                  <w:r>
                    <w:rPr>
                      <w:rFonts w:hint="eastAsia" w:ascii="Times New Roman" w:hAnsi="Times New Roman" w:cs="Times New Roman"/>
                      <w:color w:val="auto"/>
                      <w:szCs w:val="21"/>
                      <w:highlight w:val="none"/>
                      <w:lang w:eastAsia="zh-CN"/>
                    </w:rPr>
                    <w:t>压缩机入料泵</w:t>
                  </w:r>
                </w:p>
              </w:tc>
              <w:tc>
                <w:tcPr>
                  <w:tcW w:w="1087" w:type="pct"/>
                  <w:noWrap w:val="0"/>
                  <w:vAlign w:val="center"/>
                </w:tcPr>
                <w:p w14:paraId="01DDA0C5">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5.5千瓦</w:t>
                  </w:r>
                </w:p>
              </w:tc>
              <w:tc>
                <w:tcPr>
                  <w:tcW w:w="522" w:type="pct"/>
                  <w:noWrap w:val="0"/>
                  <w:vAlign w:val="center"/>
                </w:tcPr>
                <w:p w14:paraId="69A0FA6D">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台</w:t>
                  </w:r>
                </w:p>
              </w:tc>
              <w:tc>
                <w:tcPr>
                  <w:tcW w:w="659" w:type="pct"/>
                  <w:noWrap w:val="0"/>
                  <w:vAlign w:val="center"/>
                </w:tcPr>
                <w:p w14:paraId="3D4D54EA">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w:t>
                  </w:r>
                </w:p>
              </w:tc>
              <w:tc>
                <w:tcPr>
                  <w:tcW w:w="953" w:type="pct"/>
                  <w:noWrap w:val="0"/>
                  <w:vAlign w:val="center"/>
                </w:tcPr>
                <w:p w14:paraId="2ECF8698">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14:paraId="5AB5C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64" w:type="pct"/>
                  <w:noWrap w:val="0"/>
                  <w:vAlign w:val="center"/>
                </w:tcPr>
                <w:p w14:paraId="590FFAF0">
                  <w:pPr>
                    <w:jc w:val="center"/>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7</w:t>
                  </w:r>
                </w:p>
              </w:tc>
              <w:tc>
                <w:tcPr>
                  <w:tcW w:w="1311" w:type="pct"/>
                  <w:noWrap w:val="0"/>
                  <w:vAlign w:val="center"/>
                </w:tcPr>
                <w:p w14:paraId="16AF4A8B">
                  <w:pPr>
                    <w:jc w:val="center"/>
                    <w:rPr>
                      <w:rFonts w:hint="eastAsia" w:ascii="Times New Roman" w:hAnsi="Times New Roman" w:eastAsia="宋体"/>
                      <w:color w:val="auto"/>
                      <w:highlight w:val="none"/>
                      <w:lang w:eastAsia="zh-CN"/>
                    </w:rPr>
                  </w:pPr>
                  <w:r>
                    <w:rPr>
                      <w:rFonts w:hint="eastAsia" w:ascii="Times New Roman" w:hAnsi="Times New Roman"/>
                      <w:color w:val="auto"/>
                      <w:highlight w:val="none"/>
                      <w:lang w:eastAsia="zh-CN"/>
                    </w:rPr>
                    <w:t>推土机</w:t>
                  </w:r>
                </w:p>
              </w:tc>
              <w:tc>
                <w:tcPr>
                  <w:tcW w:w="1087" w:type="pct"/>
                  <w:noWrap w:val="0"/>
                  <w:vAlign w:val="center"/>
                </w:tcPr>
                <w:p w14:paraId="410A540C">
                  <w:pPr>
                    <w:jc w:val="center"/>
                    <w:rPr>
                      <w:rFonts w:hint="default" w:ascii="Times New Roman" w:hAnsi="Times New Roman" w:eastAsia="宋体"/>
                      <w:color w:val="auto"/>
                      <w:highlight w:val="none"/>
                      <w:lang w:val="en-US" w:eastAsia="zh-CN"/>
                    </w:rPr>
                  </w:pPr>
                  <w:r>
                    <w:rPr>
                      <w:rFonts w:hint="eastAsia" w:ascii="Times New Roman" w:hAnsi="Times New Roman"/>
                      <w:color w:val="auto"/>
                      <w:highlight w:val="none"/>
                      <w:lang w:eastAsia="zh-CN"/>
                    </w:rPr>
                    <w:t>东方红</w:t>
                  </w:r>
                  <w:r>
                    <w:rPr>
                      <w:rFonts w:hint="eastAsia" w:ascii="Times New Roman" w:hAnsi="Times New Roman"/>
                      <w:color w:val="auto"/>
                      <w:highlight w:val="none"/>
                      <w:lang w:val="en-US" w:eastAsia="zh-CN"/>
                    </w:rPr>
                    <w:t>70</w:t>
                  </w:r>
                </w:p>
              </w:tc>
              <w:tc>
                <w:tcPr>
                  <w:tcW w:w="522" w:type="pct"/>
                  <w:noWrap w:val="0"/>
                  <w:vAlign w:val="center"/>
                </w:tcPr>
                <w:p w14:paraId="2EEFFA7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台</w:t>
                  </w:r>
                </w:p>
              </w:tc>
              <w:tc>
                <w:tcPr>
                  <w:tcW w:w="659" w:type="pct"/>
                  <w:noWrap w:val="0"/>
                  <w:vAlign w:val="center"/>
                </w:tcPr>
                <w:p w14:paraId="2D330A4F">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1</w:t>
                  </w:r>
                </w:p>
              </w:tc>
              <w:tc>
                <w:tcPr>
                  <w:tcW w:w="953" w:type="pct"/>
                  <w:noWrap w:val="0"/>
                  <w:vAlign w:val="center"/>
                </w:tcPr>
                <w:p w14:paraId="7C770999">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14:paraId="199EF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64" w:type="pct"/>
                  <w:noWrap w:val="0"/>
                  <w:vAlign w:val="center"/>
                </w:tcPr>
                <w:p w14:paraId="40AC7A9D">
                  <w:pPr>
                    <w:jc w:val="center"/>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8</w:t>
                  </w:r>
                </w:p>
              </w:tc>
              <w:tc>
                <w:tcPr>
                  <w:tcW w:w="1311" w:type="pct"/>
                  <w:noWrap w:val="0"/>
                  <w:vAlign w:val="center"/>
                </w:tcPr>
                <w:p w14:paraId="331D02EB">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eastAsia="zh-CN"/>
                    </w:rPr>
                    <w:t>压滤机</w:t>
                  </w:r>
                </w:p>
              </w:tc>
              <w:tc>
                <w:tcPr>
                  <w:tcW w:w="1087" w:type="pct"/>
                  <w:noWrap w:val="0"/>
                  <w:vAlign w:val="center"/>
                </w:tcPr>
                <w:p w14:paraId="71654570">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XMY1000</w:t>
                  </w:r>
                </w:p>
              </w:tc>
              <w:tc>
                <w:tcPr>
                  <w:tcW w:w="522" w:type="pct"/>
                  <w:noWrap w:val="0"/>
                  <w:vAlign w:val="center"/>
                </w:tcPr>
                <w:p w14:paraId="374E5ABC">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台</w:t>
                  </w:r>
                </w:p>
              </w:tc>
              <w:tc>
                <w:tcPr>
                  <w:tcW w:w="659" w:type="pct"/>
                  <w:noWrap w:val="0"/>
                  <w:vAlign w:val="center"/>
                </w:tcPr>
                <w:p w14:paraId="4C23C4F2">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1</w:t>
                  </w:r>
                </w:p>
              </w:tc>
              <w:tc>
                <w:tcPr>
                  <w:tcW w:w="953" w:type="pct"/>
                  <w:noWrap w:val="0"/>
                  <w:vAlign w:val="center"/>
                </w:tcPr>
                <w:p w14:paraId="6BDAA83E">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bl>
          <w:p w14:paraId="0FC87EDA">
            <w:pPr>
              <w:pStyle w:val="66"/>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left="-62" w:leftChars="0" w:firstLine="482" w:firstLineChars="0"/>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主要原辅材料</w:t>
            </w:r>
          </w:p>
          <w:p w14:paraId="225B7799">
            <w:pPr>
              <w:spacing w:line="360" w:lineRule="auto"/>
              <w:ind w:firstLine="480" w:firstLineChars="200"/>
              <w:rPr>
                <w:rFonts w:hint="default" w:ascii="Times New Roman" w:hAnsi="Times New Roman" w:cs="Times New Roman"/>
                <w:b/>
                <w:color w:val="auto"/>
                <w:sz w:val="24"/>
                <w:highlight w:val="none"/>
              </w:rPr>
            </w:pPr>
            <w:r>
              <w:rPr>
                <w:rFonts w:hint="default" w:ascii="Times New Roman" w:hAnsi="Times New Roman" w:eastAsia="宋体" w:cs="Times New Roman"/>
                <w:color w:val="auto"/>
                <w:kern w:val="0"/>
                <w:sz w:val="24"/>
                <w:szCs w:val="24"/>
                <w:highlight w:val="none"/>
                <w:lang w:val="en-US" w:eastAsia="zh-CN"/>
              </w:rPr>
              <w:t>本项目主要原辅材料消耗情况见下表。</w:t>
            </w:r>
          </w:p>
          <w:p w14:paraId="7DA63AB6">
            <w:pPr>
              <w:spacing w:line="360" w:lineRule="auto"/>
              <w:jc w:val="center"/>
              <w:rPr>
                <w:rFonts w:hint="default" w:ascii="Times New Roman" w:hAnsi="Times New Roman" w:cs="Times New Roman"/>
                <w:b/>
                <w:color w:val="auto"/>
                <w:sz w:val="24"/>
                <w:szCs w:val="24"/>
                <w:highlight w:val="none"/>
              </w:rPr>
            </w:pPr>
            <w:r>
              <w:rPr>
                <w:rFonts w:hint="default" w:ascii="Times New Roman" w:hAnsi="Times New Roman" w:eastAsia="宋体" w:cs="Times New Roman"/>
                <w:b/>
                <w:bCs/>
                <w:color w:val="auto"/>
                <w:kern w:val="2"/>
                <w:sz w:val="21"/>
                <w:szCs w:val="21"/>
                <w:lang w:val="en-US" w:eastAsia="zh-CN" w:bidi="ar-SA"/>
              </w:rPr>
              <w:t>表2-</w:t>
            </w:r>
            <w:r>
              <w:rPr>
                <w:rFonts w:hint="eastAsia" w:cs="Times New Roman"/>
                <w:b/>
                <w:bCs/>
                <w:color w:val="auto"/>
                <w:kern w:val="2"/>
                <w:sz w:val="21"/>
                <w:szCs w:val="21"/>
                <w:lang w:val="en-US" w:eastAsia="zh-CN" w:bidi="ar-SA"/>
              </w:rPr>
              <w:t>4</w:t>
            </w:r>
            <w:r>
              <w:rPr>
                <w:rFonts w:hint="default" w:ascii="Times New Roman" w:hAnsi="Times New Roman" w:eastAsia="宋体" w:cs="Times New Roman"/>
                <w:b/>
                <w:bCs/>
                <w:color w:val="auto"/>
                <w:kern w:val="2"/>
                <w:sz w:val="21"/>
                <w:szCs w:val="21"/>
                <w:lang w:val="en-US" w:eastAsia="zh-CN" w:bidi="ar-SA"/>
              </w:rPr>
              <w:t xml:space="preserve"> 项目原辅材料一览表</w:t>
            </w:r>
          </w:p>
          <w:tbl>
            <w:tblPr>
              <w:tblStyle w:val="31"/>
              <w:tblW w:w="505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67"/>
              <w:gridCol w:w="2286"/>
              <w:gridCol w:w="966"/>
              <w:gridCol w:w="1625"/>
              <w:gridCol w:w="2167"/>
            </w:tblGrid>
            <w:tr w14:paraId="7FF918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62" w:type="pct"/>
                  <w:noWrap w:val="0"/>
                  <w:vAlign w:val="center"/>
                </w:tcPr>
                <w:p w14:paraId="730CE774">
                  <w:pPr>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序号</w:t>
                  </w:r>
                </w:p>
              </w:tc>
              <w:tc>
                <w:tcPr>
                  <w:tcW w:w="1375" w:type="pct"/>
                  <w:noWrap w:val="0"/>
                  <w:vAlign w:val="center"/>
                </w:tcPr>
                <w:p w14:paraId="2B39529A">
                  <w:pPr>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原辅料名称</w:t>
                  </w:r>
                </w:p>
              </w:tc>
              <w:tc>
                <w:tcPr>
                  <w:tcW w:w="581" w:type="pct"/>
                  <w:noWrap w:val="0"/>
                  <w:vAlign w:val="center"/>
                </w:tcPr>
                <w:p w14:paraId="3317B6C8">
                  <w:pPr>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单位</w:t>
                  </w:r>
                </w:p>
              </w:tc>
              <w:tc>
                <w:tcPr>
                  <w:tcW w:w="977" w:type="pct"/>
                  <w:noWrap w:val="0"/>
                  <w:vAlign w:val="center"/>
                </w:tcPr>
                <w:p w14:paraId="0245F12B">
                  <w:pPr>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用量</w:t>
                  </w:r>
                </w:p>
              </w:tc>
              <w:tc>
                <w:tcPr>
                  <w:tcW w:w="1303" w:type="pct"/>
                  <w:noWrap w:val="0"/>
                  <w:vAlign w:val="center"/>
                </w:tcPr>
                <w:p w14:paraId="0F7820B6">
                  <w:pPr>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备注</w:t>
                  </w:r>
                </w:p>
              </w:tc>
            </w:tr>
            <w:tr w14:paraId="02975F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62" w:type="pct"/>
                  <w:noWrap w:val="0"/>
                  <w:vAlign w:val="center"/>
                </w:tcPr>
                <w:p w14:paraId="10184102">
                  <w:pPr>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375" w:type="pct"/>
                  <w:noWrap w:val="0"/>
                  <w:vAlign w:val="center"/>
                </w:tcPr>
                <w:p w14:paraId="2D05DA6A">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原煤</w:t>
                  </w:r>
                </w:p>
              </w:tc>
              <w:tc>
                <w:tcPr>
                  <w:tcW w:w="581" w:type="pct"/>
                  <w:noWrap w:val="0"/>
                  <w:vAlign w:val="center"/>
                </w:tcPr>
                <w:p w14:paraId="0C99D8C4">
                  <w:pPr>
                    <w:keepNext w:val="0"/>
                    <w:keepLines w:val="0"/>
                    <w:pageBreakBefore w:val="0"/>
                    <w:widowControl w:val="0"/>
                    <w:kinsoku/>
                    <w:wordWrap/>
                    <w:overflowPunct/>
                    <w:topLinePunct w:val="0"/>
                    <w:bidi w:val="0"/>
                    <w:spacing w:line="240" w:lineRule="auto"/>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ascii="Times New Roman" w:hAnsi="Times New Roman"/>
                      <w:color w:val="auto"/>
                      <w:highlight w:val="none"/>
                    </w:rPr>
                    <w:t>t/a</w:t>
                  </w:r>
                </w:p>
              </w:tc>
              <w:tc>
                <w:tcPr>
                  <w:tcW w:w="977" w:type="pct"/>
                  <w:noWrap w:val="0"/>
                  <w:vAlign w:val="center"/>
                </w:tcPr>
                <w:p w14:paraId="3A62ECDB">
                  <w:pPr>
                    <w:keepNext w:val="0"/>
                    <w:keepLines w:val="0"/>
                    <w:pageBreakBefore w:val="0"/>
                    <w:widowControl w:val="0"/>
                    <w:kinsoku/>
                    <w:wordWrap/>
                    <w:overflowPunct/>
                    <w:topLinePunct w:val="0"/>
                    <w:bidi w:val="0"/>
                    <w:spacing w:line="240" w:lineRule="auto"/>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color w:val="auto"/>
                      <w:highlight w:val="none"/>
                      <w:lang w:val="en-US" w:eastAsia="zh-CN"/>
                    </w:rPr>
                    <w:t>120万</w:t>
                  </w:r>
                </w:p>
              </w:tc>
              <w:tc>
                <w:tcPr>
                  <w:tcW w:w="1303" w:type="pct"/>
                  <w:noWrap w:val="0"/>
                  <w:vAlign w:val="center"/>
                </w:tcPr>
                <w:p w14:paraId="3BA0032F">
                  <w:pPr>
                    <w:keepNext w:val="0"/>
                    <w:keepLines w:val="0"/>
                    <w:pageBreakBefore w:val="0"/>
                    <w:widowControl w:val="0"/>
                    <w:kinsoku/>
                    <w:wordWrap/>
                    <w:overflowPunct/>
                    <w:topLinePunct w:val="0"/>
                    <w:autoSpaceDE w:val="0"/>
                    <w:autoSpaceDN w:val="0"/>
                    <w:bidi w:val="0"/>
                    <w:spacing w:line="240" w:lineRule="auto"/>
                    <w:jc w:val="center"/>
                    <w:textAlignment w:val="auto"/>
                    <w:rPr>
                      <w:rFonts w:hint="eastAsia" w:ascii="Times New Roman" w:hAnsi="Times New Roman" w:eastAsia="宋体" w:cs="Times New Roman"/>
                      <w:color w:val="auto"/>
                      <w:szCs w:val="21"/>
                      <w:highlight w:val="none"/>
                      <w:lang w:val="en-US" w:eastAsia="zh-Hans"/>
                    </w:rPr>
                  </w:pPr>
                  <w:r>
                    <w:rPr>
                      <w:rFonts w:hint="eastAsia" w:ascii="Times New Roman" w:hAnsi="Times New Roman" w:cs="Times New Roman"/>
                      <w:color w:val="auto"/>
                      <w:szCs w:val="21"/>
                      <w:highlight w:val="none"/>
                      <w:lang w:val="en-US" w:eastAsia="zh-Hans"/>
                    </w:rPr>
                    <w:t>外购</w:t>
                  </w:r>
                </w:p>
              </w:tc>
            </w:tr>
            <w:tr w14:paraId="2BE3D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62" w:type="pct"/>
                  <w:noWrap w:val="0"/>
                  <w:vAlign w:val="center"/>
                </w:tcPr>
                <w:p w14:paraId="2563806B">
                  <w:pPr>
                    <w:keepNext w:val="0"/>
                    <w:keepLines w:val="0"/>
                    <w:pageBreakBefore w:val="0"/>
                    <w:widowControl w:val="0"/>
                    <w:kinsoku/>
                    <w:wordWrap/>
                    <w:overflowPunct/>
                    <w:topLinePunct w:val="0"/>
                    <w:autoSpaceDE w:val="0"/>
                    <w:autoSpaceDN w:val="0"/>
                    <w:bidi w:val="0"/>
                    <w:spacing w:line="240" w:lineRule="auto"/>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w:t>
                  </w:r>
                </w:p>
              </w:tc>
              <w:tc>
                <w:tcPr>
                  <w:tcW w:w="1375" w:type="pct"/>
                  <w:noWrap w:val="0"/>
                  <w:vAlign w:val="center"/>
                </w:tcPr>
                <w:p w14:paraId="34E8162E">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eastAsia="宋体"/>
                      <w:color w:val="auto"/>
                      <w:highlight w:val="none"/>
                      <w:lang w:eastAsia="zh-CN"/>
                    </w:rPr>
                  </w:pPr>
                  <w:r>
                    <w:rPr>
                      <w:rFonts w:hint="eastAsia" w:ascii="Times New Roman" w:hAnsi="Times New Roman"/>
                      <w:color w:val="auto"/>
                      <w:highlight w:val="none"/>
                      <w:lang w:eastAsia="zh-CN"/>
                    </w:rPr>
                    <w:t>水</w:t>
                  </w:r>
                </w:p>
              </w:tc>
              <w:tc>
                <w:tcPr>
                  <w:tcW w:w="581" w:type="pct"/>
                  <w:noWrap w:val="0"/>
                  <w:vAlign w:val="center"/>
                </w:tcPr>
                <w:p w14:paraId="38E58EA1">
                  <w:pPr>
                    <w:keepNext w:val="0"/>
                    <w:keepLines w:val="0"/>
                    <w:pageBreakBefore w:val="0"/>
                    <w:widowControl w:val="0"/>
                    <w:kinsoku/>
                    <w:wordWrap/>
                    <w:overflowPunct/>
                    <w:topLinePunct w:val="0"/>
                    <w:bidi w:val="0"/>
                    <w:spacing w:line="240" w:lineRule="auto"/>
                    <w:jc w:val="center"/>
                    <w:textAlignment w:val="auto"/>
                    <w:rPr>
                      <w:rFonts w:ascii="Times New Roman" w:hAnsi="Times New Roman"/>
                      <w:color w:val="auto"/>
                      <w:highlight w:val="none"/>
                    </w:rPr>
                  </w:pPr>
                  <w:r>
                    <w:rPr>
                      <w:rFonts w:ascii="Times New Roman" w:hAnsi="Times New Roman"/>
                      <w:color w:val="auto"/>
                      <w:highlight w:val="none"/>
                    </w:rPr>
                    <w:t>t/a</w:t>
                  </w:r>
                </w:p>
              </w:tc>
              <w:tc>
                <w:tcPr>
                  <w:tcW w:w="977" w:type="pct"/>
                  <w:noWrap w:val="0"/>
                  <w:vAlign w:val="center"/>
                </w:tcPr>
                <w:p w14:paraId="18C9CC64">
                  <w:pPr>
                    <w:keepNext w:val="0"/>
                    <w:keepLines w:val="0"/>
                    <w:pageBreakBefore w:val="0"/>
                    <w:widowControl w:val="0"/>
                    <w:kinsoku/>
                    <w:wordWrap/>
                    <w:overflowPunct/>
                    <w:topLinePunct w:val="0"/>
                    <w:bidi w:val="0"/>
                    <w:spacing w:line="240" w:lineRule="auto"/>
                    <w:jc w:val="center"/>
                    <w:textAlignment w:val="auto"/>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107736</w:t>
                  </w:r>
                </w:p>
              </w:tc>
              <w:tc>
                <w:tcPr>
                  <w:tcW w:w="1303" w:type="pct"/>
                  <w:noWrap w:val="0"/>
                  <w:vAlign w:val="center"/>
                </w:tcPr>
                <w:p w14:paraId="56D58CC0">
                  <w:pPr>
                    <w:keepNext w:val="0"/>
                    <w:keepLines w:val="0"/>
                    <w:pageBreakBefore w:val="0"/>
                    <w:widowControl w:val="0"/>
                    <w:kinsoku/>
                    <w:wordWrap/>
                    <w:overflowPunct/>
                    <w:topLinePunct w:val="0"/>
                    <w:autoSpaceDE w:val="0"/>
                    <w:autoSpaceDN w:val="0"/>
                    <w:bidi w:val="0"/>
                    <w:spacing w:line="240" w:lineRule="auto"/>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14:paraId="08273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62" w:type="pct"/>
                  <w:noWrap w:val="0"/>
                  <w:vAlign w:val="center"/>
                </w:tcPr>
                <w:p w14:paraId="4F98E401">
                  <w:pPr>
                    <w:pStyle w:val="95"/>
                    <w:keepNext w:val="0"/>
                    <w:keepLines w:val="0"/>
                    <w:pageBreakBefore w:val="0"/>
                    <w:widowControl w:val="0"/>
                    <w:kinsoku/>
                    <w:wordWrap/>
                    <w:overflowPunct/>
                    <w:topLinePunct w:val="0"/>
                    <w:bidi w:val="0"/>
                    <w:spacing w:line="240" w:lineRule="auto"/>
                    <w:ind w:firstLine="0" w:firstLineChars="0"/>
                    <w:textAlignment w:val="auto"/>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lang w:val="en-US" w:eastAsia="zh-CN"/>
                    </w:rPr>
                    <w:t>3</w:t>
                  </w:r>
                </w:p>
              </w:tc>
              <w:tc>
                <w:tcPr>
                  <w:tcW w:w="1375" w:type="pct"/>
                  <w:noWrap w:val="0"/>
                  <w:vAlign w:val="center"/>
                </w:tcPr>
                <w:p w14:paraId="24C09518">
                  <w:pPr>
                    <w:pStyle w:val="95"/>
                    <w:keepNext w:val="0"/>
                    <w:keepLines w:val="0"/>
                    <w:pageBreakBefore w:val="0"/>
                    <w:widowControl w:val="0"/>
                    <w:kinsoku/>
                    <w:wordWrap/>
                    <w:overflowPunct/>
                    <w:topLinePunct w:val="0"/>
                    <w:bidi w:val="0"/>
                    <w:spacing w:line="240" w:lineRule="auto"/>
                    <w:ind w:firstLine="0" w:firstLineChars="0"/>
                    <w:textAlignment w:val="auto"/>
                    <w:rPr>
                      <w:rFonts w:hint="eastAsia" w:ascii="Times New Roman" w:hAnsi="Times New Roman"/>
                      <w:color w:val="auto"/>
                      <w:highlight w:val="none"/>
                      <w:lang w:eastAsia="zh-CN"/>
                    </w:rPr>
                  </w:pPr>
                  <w:r>
                    <w:rPr>
                      <w:rFonts w:hint="default" w:ascii="Times New Roman" w:hAnsi="Times New Roman" w:cs="Times New Roman"/>
                      <w:color w:val="auto"/>
                    </w:rPr>
                    <w:t>聚丙烯酰胺（PAM）</w:t>
                  </w:r>
                </w:p>
              </w:tc>
              <w:tc>
                <w:tcPr>
                  <w:tcW w:w="581" w:type="pct"/>
                  <w:noWrap w:val="0"/>
                  <w:vAlign w:val="center"/>
                </w:tcPr>
                <w:p w14:paraId="7A0116D8">
                  <w:pPr>
                    <w:keepNext w:val="0"/>
                    <w:keepLines w:val="0"/>
                    <w:pageBreakBefore w:val="0"/>
                    <w:widowControl w:val="0"/>
                    <w:kinsoku/>
                    <w:wordWrap/>
                    <w:overflowPunct/>
                    <w:topLinePunct w:val="0"/>
                    <w:bidi w:val="0"/>
                    <w:spacing w:line="240" w:lineRule="auto"/>
                    <w:ind w:firstLine="0" w:firstLineChars="0"/>
                    <w:jc w:val="center"/>
                    <w:textAlignment w:val="auto"/>
                    <w:rPr>
                      <w:rFonts w:ascii="Times New Roman" w:hAnsi="Times New Roman"/>
                      <w:color w:val="auto"/>
                      <w:highlight w:val="none"/>
                    </w:rPr>
                  </w:pPr>
                  <w:r>
                    <w:rPr>
                      <w:rFonts w:ascii="Times New Roman" w:hAnsi="Times New Roman"/>
                      <w:color w:val="auto"/>
                      <w:highlight w:val="none"/>
                    </w:rPr>
                    <w:t>t/a</w:t>
                  </w:r>
                </w:p>
              </w:tc>
              <w:tc>
                <w:tcPr>
                  <w:tcW w:w="977" w:type="pct"/>
                  <w:noWrap w:val="0"/>
                  <w:vAlign w:val="center"/>
                </w:tcPr>
                <w:p w14:paraId="5C9F0B1D">
                  <w:pPr>
                    <w:pStyle w:val="95"/>
                    <w:keepNext w:val="0"/>
                    <w:keepLines w:val="0"/>
                    <w:pageBreakBefore w:val="0"/>
                    <w:widowControl w:val="0"/>
                    <w:kinsoku/>
                    <w:wordWrap/>
                    <w:overflowPunct/>
                    <w:topLinePunct w:val="0"/>
                    <w:bidi w:val="0"/>
                    <w:spacing w:line="240" w:lineRule="auto"/>
                    <w:ind w:firstLine="0" w:firstLineChars="0"/>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lang w:val="en-US" w:eastAsia="zh-CN"/>
                    </w:rPr>
                    <w:t>16</w:t>
                  </w:r>
                </w:p>
              </w:tc>
              <w:tc>
                <w:tcPr>
                  <w:tcW w:w="1303" w:type="pct"/>
                  <w:noWrap w:val="0"/>
                  <w:vAlign w:val="center"/>
                </w:tcPr>
                <w:p w14:paraId="06755644">
                  <w:pPr>
                    <w:pStyle w:val="95"/>
                    <w:keepNext w:val="0"/>
                    <w:keepLines w:val="0"/>
                    <w:pageBreakBefore w:val="0"/>
                    <w:widowControl w:val="0"/>
                    <w:kinsoku/>
                    <w:wordWrap/>
                    <w:overflowPunct/>
                    <w:topLinePunct w:val="0"/>
                    <w:bidi w:val="0"/>
                    <w:spacing w:line="240" w:lineRule="auto"/>
                    <w:ind w:firstLine="0" w:firstLineChars="0"/>
                    <w:jc w:val="both"/>
                    <w:textAlignment w:val="auto"/>
                    <w:rPr>
                      <w:rFonts w:hint="eastAsia" w:ascii="Times New Roman" w:hAnsi="Times New Roman" w:cs="Times New Roman"/>
                      <w:color w:val="auto"/>
                      <w:szCs w:val="21"/>
                      <w:highlight w:val="none"/>
                      <w:lang w:val="en-US" w:eastAsia="zh-CN"/>
                    </w:rPr>
                  </w:pPr>
                  <w:r>
                    <w:rPr>
                      <w:rFonts w:hint="default" w:ascii="Times New Roman" w:hAnsi="Times New Roman" w:cs="Times New Roman"/>
                      <w:color w:val="auto"/>
                      <w:lang w:val="en-US" w:eastAsia="zh-CN"/>
                    </w:rPr>
                    <w:t>洗选车间，袋装，50kg/袋</w:t>
                  </w:r>
                </w:p>
              </w:tc>
            </w:tr>
            <w:tr w14:paraId="24602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62" w:type="pct"/>
                  <w:noWrap w:val="0"/>
                  <w:vAlign w:val="center"/>
                </w:tcPr>
                <w:p w14:paraId="0D6F499B">
                  <w:pPr>
                    <w:pStyle w:val="95"/>
                    <w:keepNext w:val="0"/>
                    <w:keepLines w:val="0"/>
                    <w:pageBreakBefore w:val="0"/>
                    <w:widowControl w:val="0"/>
                    <w:kinsoku/>
                    <w:wordWrap/>
                    <w:overflowPunct/>
                    <w:topLinePunct w:val="0"/>
                    <w:bidi w:val="0"/>
                    <w:spacing w:line="240" w:lineRule="auto"/>
                    <w:ind w:firstLine="0" w:firstLineChars="0"/>
                    <w:textAlignment w:val="auto"/>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lang w:val="en-US" w:eastAsia="zh-CN"/>
                    </w:rPr>
                    <w:t>4</w:t>
                  </w:r>
                </w:p>
              </w:tc>
              <w:tc>
                <w:tcPr>
                  <w:tcW w:w="1375" w:type="pct"/>
                  <w:noWrap w:val="0"/>
                  <w:vAlign w:val="center"/>
                </w:tcPr>
                <w:p w14:paraId="313E50FE">
                  <w:pPr>
                    <w:pStyle w:val="95"/>
                    <w:keepNext w:val="0"/>
                    <w:keepLines w:val="0"/>
                    <w:pageBreakBefore w:val="0"/>
                    <w:widowControl w:val="0"/>
                    <w:kinsoku/>
                    <w:wordWrap/>
                    <w:overflowPunct/>
                    <w:topLinePunct w:val="0"/>
                    <w:bidi w:val="0"/>
                    <w:spacing w:line="240" w:lineRule="auto"/>
                    <w:ind w:firstLine="0" w:firstLineChars="0"/>
                    <w:textAlignment w:val="auto"/>
                    <w:rPr>
                      <w:rFonts w:hint="eastAsia" w:ascii="Times New Roman" w:hAnsi="Times New Roman"/>
                      <w:color w:val="auto"/>
                      <w:highlight w:val="none"/>
                      <w:lang w:eastAsia="zh-CN"/>
                    </w:rPr>
                  </w:pPr>
                  <w:r>
                    <w:rPr>
                      <w:rFonts w:hint="default" w:ascii="Times New Roman" w:hAnsi="Times New Roman" w:cs="Times New Roman"/>
                      <w:color w:val="auto"/>
                      <w:lang w:eastAsia="zh-CN"/>
                    </w:rPr>
                    <w:t>聚合</w:t>
                  </w:r>
                  <w:r>
                    <w:rPr>
                      <w:rFonts w:hint="default" w:ascii="Times New Roman" w:hAnsi="Times New Roman" w:cs="Times New Roman"/>
                      <w:color w:val="auto"/>
                      <w:lang w:val="en-US" w:eastAsia="zh-CN"/>
                    </w:rPr>
                    <w:t>氯化</w:t>
                  </w:r>
                  <w:r>
                    <w:rPr>
                      <w:rFonts w:hint="default" w:ascii="Times New Roman" w:hAnsi="Times New Roman" w:cs="Times New Roman"/>
                      <w:color w:val="auto"/>
                      <w:lang w:eastAsia="zh-CN"/>
                    </w:rPr>
                    <w:t>铝</w:t>
                  </w:r>
                  <w:r>
                    <w:rPr>
                      <w:rFonts w:hint="default" w:ascii="Times New Roman" w:hAnsi="Times New Roman" w:cs="Times New Roman"/>
                      <w:color w:val="auto"/>
                    </w:rPr>
                    <w:t>（PA</w:t>
                  </w:r>
                  <w:r>
                    <w:rPr>
                      <w:rFonts w:hint="default" w:ascii="Times New Roman" w:hAnsi="Times New Roman" w:cs="Times New Roman"/>
                      <w:color w:val="auto"/>
                      <w:lang w:val="en-US" w:eastAsia="zh-CN"/>
                    </w:rPr>
                    <w:t>C</w:t>
                  </w:r>
                  <w:r>
                    <w:rPr>
                      <w:rFonts w:hint="default" w:ascii="Times New Roman" w:hAnsi="Times New Roman" w:cs="Times New Roman"/>
                      <w:color w:val="auto"/>
                    </w:rPr>
                    <w:t>）</w:t>
                  </w:r>
                </w:p>
              </w:tc>
              <w:tc>
                <w:tcPr>
                  <w:tcW w:w="581" w:type="pct"/>
                  <w:noWrap w:val="0"/>
                  <w:vAlign w:val="center"/>
                </w:tcPr>
                <w:p w14:paraId="7CBA4E07">
                  <w:pPr>
                    <w:keepNext w:val="0"/>
                    <w:keepLines w:val="0"/>
                    <w:pageBreakBefore w:val="0"/>
                    <w:widowControl w:val="0"/>
                    <w:kinsoku/>
                    <w:wordWrap/>
                    <w:overflowPunct/>
                    <w:topLinePunct w:val="0"/>
                    <w:bidi w:val="0"/>
                    <w:spacing w:line="240" w:lineRule="auto"/>
                    <w:ind w:firstLine="0" w:firstLineChars="0"/>
                    <w:jc w:val="center"/>
                    <w:textAlignment w:val="auto"/>
                    <w:rPr>
                      <w:rFonts w:ascii="Times New Roman" w:hAnsi="Times New Roman"/>
                      <w:color w:val="auto"/>
                      <w:highlight w:val="none"/>
                    </w:rPr>
                  </w:pPr>
                  <w:r>
                    <w:rPr>
                      <w:rFonts w:ascii="Times New Roman" w:hAnsi="Times New Roman"/>
                      <w:color w:val="auto"/>
                      <w:highlight w:val="none"/>
                    </w:rPr>
                    <w:t>t/a</w:t>
                  </w:r>
                </w:p>
              </w:tc>
              <w:tc>
                <w:tcPr>
                  <w:tcW w:w="977" w:type="pct"/>
                  <w:noWrap w:val="0"/>
                  <w:vAlign w:val="center"/>
                </w:tcPr>
                <w:p w14:paraId="4F1F660C">
                  <w:pPr>
                    <w:pStyle w:val="95"/>
                    <w:keepNext w:val="0"/>
                    <w:keepLines w:val="0"/>
                    <w:pageBreakBefore w:val="0"/>
                    <w:widowControl w:val="0"/>
                    <w:kinsoku/>
                    <w:wordWrap/>
                    <w:overflowPunct/>
                    <w:topLinePunct w:val="0"/>
                    <w:bidi w:val="0"/>
                    <w:spacing w:line="240" w:lineRule="auto"/>
                    <w:ind w:firstLine="0" w:firstLineChars="0"/>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lang w:val="en-US" w:eastAsia="zh-CN"/>
                    </w:rPr>
                    <w:t>24</w:t>
                  </w:r>
                </w:p>
              </w:tc>
              <w:tc>
                <w:tcPr>
                  <w:tcW w:w="1303" w:type="pct"/>
                  <w:noWrap w:val="0"/>
                  <w:vAlign w:val="center"/>
                </w:tcPr>
                <w:p w14:paraId="15249BE0">
                  <w:pPr>
                    <w:pStyle w:val="95"/>
                    <w:keepNext w:val="0"/>
                    <w:keepLines w:val="0"/>
                    <w:pageBreakBefore w:val="0"/>
                    <w:widowControl w:val="0"/>
                    <w:kinsoku/>
                    <w:wordWrap/>
                    <w:overflowPunct/>
                    <w:topLinePunct w:val="0"/>
                    <w:bidi w:val="0"/>
                    <w:spacing w:line="240" w:lineRule="auto"/>
                    <w:ind w:firstLine="0" w:firstLineChars="0"/>
                    <w:jc w:val="both"/>
                    <w:textAlignment w:val="auto"/>
                    <w:rPr>
                      <w:rFonts w:hint="eastAsia" w:ascii="Times New Roman" w:hAnsi="Times New Roman" w:cs="Times New Roman"/>
                      <w:color w:val="auto"/>
                      <w:szCs w:val="21"/>
                      <w:highlight w:val="none"/>
                      <w:lang w:val="en-US" w:eastAsia="zh-CN"/>
                    </w:rPr>
                  </w:pPr>
                  <w:r>
                    <w:rPr>
                      <w:rFonts w:hint="default" w:ascii="Times New Roman" w:hAnsi="Times New Roman" w:cs="Times New Roman"/>
                      <w:color w:val="auto"/>
                      <w:lang w:val="en-US" w:eastAsia="zh-CN"/>
                    </w:rPr>
                    <w:t>洗选车间，袋装，50kg/袋</w:t>
                  </w:r>
                </w:p>
              </w:tc>
            </w:tr>
          </w:tbl>
          <w:p w14:paraId="2320386C">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left"/>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主要原辅材料物料理化性质：</w:t>
            </w:r>
          </w:p>
          <w:p w14:paraId="1BD72159">
            <w:pPr>
              <w:spacing w:line="360" w:lineRule="auto"/>
              <w:ind w:firstLine="480" w:firstLineChars="200"/>
              <w:rPr>
                <w:rFonts w:ascii="Times New Roman" w:hAnsi="Times New Roman"/>
                <w:color w:val="auto"/>
                <w:sz w:val="24"/>
                <w:highlight w:val="none"/>
              </w:rPr>
            </w:pPr>
            <w:r>
              <w:rPr>
                <w:rFonts w:hint="eastAsia" w:ascii="Times New Roman" w:hAnsi="Times New Roman" w:cs="宋体"/>
                <w:color w:val="auto"/>
                <w:sz w:val="24"/>
                <w:highlight w:val="none"/>
              </w:rPr>
              <w:t>①</w:t>
            </w:r>
            <w:r>
              <w:rPr>
                <w:rFonts w:ascii="Times New Roman" w:hAnsi="Times New Roman"/>
                <w:color w:val="auto"/>
                <w:sz w:val="24"/>
                <w:highlight w:val="none"/>
              </w:rPr>
              <w:t>PAC：聚</w:t>
            </w:r>
            <w:r>
              <w:rPr>
                <w:rFonts w:hint="eastAsia" w:ascii="Times New Roman" w:hAnsi="Times New Roman"/>
                <w:color w:val="auto"/>
                <w:sz w:val="24"/>
                <w:highlight w:val="none"/>
              </w:rPr>
              <w:t>合</w:t>
            </w:r>
            <w:r>
              <w:rPr>
                <w:rFonts w:ascii="Times New Roman" w:hAnsi="Times New Roman"/>
                <w:color w:val="auto"/>
                <w:sz w:val="24"/>
                <w:highlight w:val="none"/>
              </w:rPr>
              <w:t>氯化铝（PolyaluminumChloride）代号PAC。通常也称作净水剂或混凝剂，它是介于A</w:t>
            </w:r>
            <w:r>
              <w:rPr>
                <w:rFonts w:hint="eastAsia" w:ascii="Times New Roman" w:hAnsi="Times New Roman"/>
                <w:color w:val="auto"/>
                <w:sz w:val="24"/>
                <w:highlight w:val="none"/>
              </w:rPr>
              <w:t>lCl</w:t>
            </w:r>
            <w:r>
              <w:rPr>
                <w:rFonts w:ascii="Times New Roman" w:hAnsi="Times New Roman"/>
                <w:color w:val="auto"/>
                <w:sz w:val="24"/>
                <w:highlight w:val="none"/>
                <w:vertAlign w:val="subscript"/>
              </w:rPr>
              <w:t>3</w:t>
            </w:r>
            <w:r>
              <w:rPr>
                <w:rFonts w:ascii="Times New Roman" w:hAnsi="Times New Roman"/>
                <w:color w:val="auto"/>
                <w:sz w:val="24"/>
                <w:highlight w:val="none"/>
              </w:rPr>
              <w:t>和 A</w:t>
            </w:r>
            <w:r>
              <w:rPr>
                <w:rFonts w:hint="eastAsia" w:ascii="Times New Roman" w:hAnsi="Times New Roman"/>
                <w:color w:val="auto"/>
                <w:sz w:val="24"/>
                <w:highlight w:val="none"/>
              </w:rPr>
              <w:t>l</w:t>
            </w:r>
            <w:r>
              <w:rPr>
                <w:rFonts w:ascii="Times New Roman" w:hAnsi="Times New Roman"/>
                <w:color w:val="auto"/>
                <w:sz w:val="24"/>
                <w:highlight w:val="none"/>
              </w:rPr>
              <w:t>(OH)</w:t>
            </w:r>
            <w:r>
              <w:rPr>
                <w:rFonts w:ascii="Times New Roman" w:hAnsi="Times New Roman"/>
                <w:color w:val="auto"/>
                <w:sz w:val="24"/>
                <w:highlight w:val="none"/>
                <w:vertAlign w:val="subscript"/>
              </w:rPr>
              <w:t>3</w:t>
            </w:r>
            <w:r>
              <w:rPr>
                <w:rFonts w:ascii="Times New Roman" w:hAnsi="Times New Roman"/>
                <w:color w:val="auto"/>
                <w:sz w:val="24"/>
                <w:highlight w:val="none"/>
              </w:rPr>
              <w:t>之间的一种水溶性无机高分子聚合物。</w:t>
            </w:r>
          </w:p>
          <w:p w14:paraId="0F8B12AB">
            <w:pPr>
              <w:spacing w:line="360" w:lineRule="auto"/>
              <w:rPr>
                <w:rFonts w:ascii="Times New Roman" w:hAnsi="Times New Roman"/>
                <w:color w:val="auto"/>
                <w:sz w:val="24"/>
                <w:highlight w:val="none"/>
              </w:rPr>
            </w:pPr>
            <w:r>
              <w:rPr>
                <w:rFonts w:ascii="Times New Roman" w:hAnsi="Times New Roman"/>
                <w:color w:val="auto"/>
                <w:sz w:val="24"/>
                <w:highlight w:val="none"/>
              </w:rPr>
              <w:t>颜色呈黄色或淡黄色、深褐色、深灰色树脂状固体。该产品有较强的架桥吸附性能，在水解过程中，伴随发生凝聚，吸附和沉淀等物理化学过程。聚合氯化铝与传统无机混凝剂的根本区别在于传统无机混凝剂为低分子结晶盐，而聚合氯化铝的结构由形态多变的多元羧基络合物组成，絮凝沉淀速度快，适用PH值范围宽，对管道设备无腐蚀性，净水效果明显，能有效</w:t>
            </w:r>
            <w:r>
              <w:rPr>
                <w:rFonts w:hint="eastAsia" w:ascii="Times New Roman" w:hAnsi="Times New Roman"/>
                <w:color w:val="auto"/>
                <w:sz w:val="24"/>
                <w:highlight w:val="none"/>
              </w:rPr>
              <w:t>去</w:t>
            </w:r>
            <w:r>
              <w:rPr>
                <w:rFonts w:ascii="Times New Roman" w:hAnsi="Times New Roman"/>
                <w:color w:val="auto"/>
                <w:sz w:val="24"/>
                <w:highlight w:val="none"/>
              </w:rPr>
              <w:t>除水中</w:t>
            </w:r>
            <w:r>
              <w:rPr>
                <w:rFonts w:hint="eastAsia" w:ascii="Times New Roman" w:hAnsi="Times New Roman"/>
                <w:color w:val="auto"/>
                <w:sz w:val="24"/>
                <w:highlight w:val="none"/>
              </w:rPr>
              <w:t>杂</w:t>
            </w:r>
            <w:r>
              <w:rPr>
                <w:rFonts w:ascii="Times New Roman" w:hAnsi="Times New Roman"/>
                <w:color w:val="auto"/>
                <w:sz w:val="24"/>
                <w:highlight w:val="none"/>
              </w:rPr>
              <w:t>质SS、COD、BOD及砷</w:t>
            </w:r>
            <w:r>
              <w:rPr>
                <w:rFonts w:ascii="Times New Roman" w:hAnsi="Times New Roman" w:eastAsia="黑体"/>
                <w:color w:val="auto"/>
                <w:sz w:val="28"/>
                <w:szCs w:val="28"/>
                <w:highlight w:val="none"/>
              </w:rPr>
              <w:t>、</w:t>
            </w:r>
            <w:r>
              <w:rPr>
                <w:rFonts w:ascii="Times New Roman" w:hAnsi="Times New Roman"/>
                <w:color w:val="auto"/>
                <w:sz w:val="24"/>
                <w:highlight w:val="none"/>
              </w:rPr>
              <w:t>汞等重金属离子，该产品广泛用于饮用水、工业用水和污水处理领域。</w:t>
            </w:r>
          </w:p>
          <w:p w14:paraId="1671C04D">
            <w:pPr>
              <w:pStyle w:val="66"/>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cs="宋体"/>
                <w:color w:val="auto"/>
                <w:sz w:val="24"/>
                <w:highlight w:val="none"/>
              </w:rPr>
              <w:t>②</w:t>
            </w:r>
            <w:r>
              <w:rPr>
                <w:rFonts w:ascii="Times New Roman" w:hAnsi="Times New Roman"/>
                <w:color w:val="auto"/>
                <w:sz w:val="24"/>
                <w:highlight w:val="none"/>
              </w:rPr>
              <w:t>PAM：PAM全名为聚丙烯酰胺，该产品的分子能与分散于溶液中的悬浮粒子架桥吸附，有着极强的絮凝作用</w:t>
            </w:r>
            <w:r>
              <w:rPr>
                <w:rFonts w:hint="eastAsia" w:ascii="Times New Roman" w:hAnsi="Times New Roman"/>
                <w:color w:val="auto"/>
                <w:sz w:val="24"/>
                <w:highlight w:val="none"/>
              </w:rPr>
              <w:t>。</w:t>
            </w:r>
            <w:r>
              <w:rPr>
                <w:rFonts w:ascii="Times New Roman" w:hAnsi="Times New Roman"/>
                <w:color w:val="auto"/>
                <w:sz w:val="24"/>
                <w:highlight w:val="none"/>
              </w:rPr>
              <w:t>密度=1.3g/cm³。PAM在50-60°C下溶于水，水解度为5%-35%，也溶于乙酸、丙酸、氯代乙酸、乙二醇、甘油和胺等有机溶剂。由于单体丙烯酰胺在聚合时发生链转移产生支链，使PAM 高分子链结构中包含以支链和亚胺桥为主的交联结构。交联适度则相对分子质量高且易溶解，交联多则产物不溶。若减弱分子链的缔合，则PAM玻璃化温度降低，较易溶解。在加入低分子酰胺化合物（如尿素）后能</w:t>
            </w:r>
            <w:r>
              <w:rPr>
                <w:rFonts w:hint="eastAsia" w:ascii="Times New Roman" w:hAnsi="Times New Roman"/>
                <w:color w:val="auto"/>
                <w:sz w:val="24"/>
                <w:highlight w:val="none"/>
                <w:lang w:eastAsia="zh-CN"/>
              </w:rPr>
              <w:t>削弱</w:t>
            </w:r>
            <w:r>
              <w:rPr>
                <w:rFonts w:ascii="Times New Roman" w:hAnsi="Times New Roman"/>
                <w:color w:val="auto"/>
                <w:sz w:val="24"/>
                <w:highlight w:val="none"/>
              </w:rPr>
              <w:t>PAM的链间缔合，从而改善PAM的溶解。此外，尿素还有抑制产品交联和提高PAM相对分子质量等作用。制备高相对分子质量PAM为所追求的目标，但相对分子质量越大，则支链越多，所以增加了PAM溶解的困难。 PAM水解度：PAM的溶解可在适度水解下进行，水解度越大越溶解。PAM在大于200°C以上容易分解，在210°C无氧条件下，PAM中酰胺基脱水转变为氰基；在500°C以上时聚丙烯酰胺PAM炭化为黑色粉末。PAM分子中的酰胺基具有很高的活性，包括增稠、絮凝和降阻等多种性质。PAM：毒性：PAM本身无毒，但由于聚丙烯酰胺PAM分子内残留着丙烯酰胺，而丙烯酰胺有毒，在聚丙烯酰胺 PAM中一般允许丙烯酰胺残留量为1%。</w:t>
            </w:r>
          </w:p>
          <w:p w14:paraId="45E523CA">
            <w:pPr>
              <w:pStyle w:val="66"/>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left="-62" w:leftChars="0" w:firstLine="482" w:firstLineChars="0"/>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劳动定员及工作制度</w:t>
            </w:r>
          </w:p>
          <w:p w14:paraId="1B43883F">
            <w:pPr>
              <w:pStyle w:val="7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本项目年运行</w:t>
            </w:r>
            <w:r>
              <w:rPr>
                <w:rFonts w:hint="eastAsia" w:ascii="Times New Roman" w:hAnsi="Times New Roman" w:cs="Times New Roman"/>
                <w:color w:val="auto"/>
                <w:highlight w:val="none"/>
                <w:lang w:val="en-US" w:eastAsia="zh-CN"/>
              </w:rPr>
              <w:t>330</w:t>
            </w:r>
            <w:r>
              <w:rPr>
                <w:rFonts w:hint="default" w:ascii="Times New Roman" w:hAnsi="Times New Roman" w:cs="Times New Roman"/>
                <w:color w:val="auto"/>
                <w:highlight w:val="none"/>
              </w:rPr>
              <w:t>天，劳动定员</w:t>
            </w:r>
            <w:r>
              <w:rPr>
                <w:rFonts w:hint="eastAsia" w:ascii="Times New Roman" w:hAnsi="Times New Roman" w:cs="Times New Roman"/>
                <w:color w:val="auto"/>
                <w:highlight w:val="none"/>
                <w:lang w:val="en-US" w:eastAsia="zh-CN"/>
              </w:rPr>
              <w:t>32</w:t>
            </w:r>
            <w:r>
              <w:rPr>
                <w:rFonts w:hint="default" w:ascii="Times New Roman" w:hAnsi="Times New Roman" w:cs="Times New Roman"/>
                <w:color w:val="auto"/>
                <w:highlight w:val="none"/>
              </w:rPr>
              <w:t>人，</w:t>
            </w:r>
            <w:r>
              <w:rPr>
                <w:rFonts w:hint="eastAsia" w:ascii="Times New Roman" w:hAnsi="Times New Roman" w:cs="Times New Roman"/>
                <w:color w:val="auto"/>
                <w:szCs w:val="24"/>
                <w:lang w:eastAsia="zh-CN"/>
              </w:rPr>
              <w:t>两班制</w:t>
            </w:r>
            <w:r>
              <w:rPr>
                <w:rFonts w:hint="default" w:ascii="Times New Roman" w:hAnsi="Times New Roman" w:eastAsia="宋体" w:cs="Times New Roman"/>
                <w:color w:val="auto"/>
                <w:szCs w:val="24"/>
              </w:rPr>
              <w:t>，每班工作</w:t>
            </w:r>
            <w:r>
              <w:rPr>
                <w:rFonts w:hint="eastAsia" w:ascii="Times New Roman" w:hAnsi="Times New Roman" w:cs="Times New Roman"/>
                <w:color w:val="auto"/>
                <w:szCs w:val="24"/>
                <w:lang w:val="en-US" w:eastAsia="zh-CN"/>
              </w:rPr>
              <w:t>10</w:t>
            </w:r>
            <w:r>
              <w:rPr>
                <w:rFonts w:hint="default" w:ascii="Times New Roman" w:hAnsi="Times New Roman" w:eastAsia="宋体" w:cs="Times New Roman"/>
                <w:color w:val="auto"/>
                <w:szCs w:val="24"/>
              </w:rPr>
              <w:t>小时</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每天工作</w:t>
            </w:r>
            <w:r>
              <w:rPr>
                <w:rFonts w:hint="eastAsia" w:ascii="Times New Roman" w:hAnsi="Times New Roman" w:cs="Times New Roman"/>
                <w:color w:val="auto"/>
                <w:highlight w:val="none"/>
                <w:lang w:val="en-US" w:eastAsia="zh-CN"/>
              </w:rPr>
              <w:t>20</w:t>
            </w:r>
            <w:r>
              <w:rPr>
                <w:rFonts w:hint="default" w:ascii="Times New Roman" w:hAnsi="Times New Roman" w:cs="Times New Roman"/>
                <w:color w:val="auto"/>
                <w:highlight w:val="none"/>
              </w:rPr>
              <w:t>小时</w:t>
            </w:r>
            <w:r>
              <w:rPr>
                <w:rFonts w:hint="eastAsia" w:ascii="Times New Roman" w:hAnsi="Times New Roman" w:cs="Times New Roman"/>
                <w:color w:val="auto"/>
                <w:highlight w:val="none"/>
                <w:lang w:val="en-US" w:eastAsia="zh-CN"/>
              </w:rPr>
              <w:t>。</w:t>
            </w:r>
          </w:p>
          <w:p w14:paraId="5C42BF77">
            <w:pPr>
              <w:pStyle w:val="66"/>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left="-62" w:leftChars="0" w:firstLine="482" w:firstLineChars="0"/>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en-US" w:eastAsia="zh-CN" w:bidi="ar-SA"/>
              </w:rPr>
              <w:t>厂区平面布置</w:t>
            </w:r>
          </w:p>
          <w:p w14:paraId="24892CCC">
            <w:pPr>
              <w:pStyle w:val="73"/>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default" w:ascii="Times New Roman" w:hAnsi="Times New Roman" w:eastAsia="宋体" w:cs="Times New Roman"/>
                <w:color w:val="auto"/>
                <w:spacing w:val="0"/>
                <w:w w:val="100"/>
                <w:kern w:val="21"/>
                <w:sz w:val="24"/>
                <w:szCs w:val="20"/>
                <w:highlight w:val="none"/>
                <w:lang w:val="en-US" w:eastAsia="zh-CN" w:bidi="ar-SA"/>
              </w:rPr>
            </w:pPr>
            <w:r>
              <w:rPr>
                <w:rFonts w:hint="default" w:ascii="Times New Roman" w:hAnsi="Times New Roman" w:eastAsia="宋体" w:cs="Times New Roman"/>
                <w:color w:val="auto"/>
                <w:spacing w:val="0"/>
                <w:w w:val="100"/>
                <w:kern w:val="21"/>
                <w:sz w:val="24"/>
                <w:szCs w:val="20"/>
                <w:highlight w:val="none"/>
                <w:lang w:val="en-US" w:eastAsia="zh-CN" w:bidi="ar-SA"/>
              </w:rPr>
              <w:t>本项目厂区平面布设结合《煤炭洗选工程设计规范》（GB50359-2016）要求，</w:t>
            </w:r>
            <w:r>
              <w:rPr>
                <w:rFonts w:hint="eastAsia" w:ascii="Times New Roman" w:hAnsi="Times New Roman" w:eastAsia="宋体" w:cs="Times New Roman"/>
                <w:color w:val="auto"/>
                <w:spacing w:val="0"/>
                <w:w w:val="100"/>
                <w:kern w:val="21"/>
                <w:sz w:val="24"/>
                <w:szCs w:val="20"/>
                <w:highlight w:val="none"/>
                <w:lang w:val="en-US" w:eastAsia="zh-CN" w:bidi="ar-SA"/>
              </w:rPr>
              <w:t>洗煤厂</w:t>
            </w:r>
            <w:r>
              <w:rPr>
                <w:rFonts w:hint="default" w:ascii="Times New Roman" w:hAnsi="Times New Roman" w:eastAsia="宋体" w:cs="Times New Roman"/>
                <w:color w:val="auto"/>
                <w:spacing w:val="0"/>
                <w:w w:val="100"/>
                <w:kern w:val="21"/>
                <w:sz w:val="24"/>
                <w:szCs w:val="20"/>
                <w:highlight w:val="none"/>
                <w:lang w:val="en-US" w:eastAsia="zh-CN" w:bidi="ar-SA"/>
              </w:rPr>
              <w:t>房位于厂区中部，堆场等环绕主体工程布设，厂区分</w:t>
            </w:r>
            <w:r>
              <w:rPr>
                <w:rFonts w:hint="eastAsia" w:ascii="Times New Roman" w:hAnsi="Times New Roman" w:cs="Times New Roman"/>
                <w:color w:val="auto"/>
                <w:spacing w:val="0"/>
                <w:w w:val="100"/>
                <w:kern w:val="21"/>
                <w:sz w:val="24"/>
                <w:szCs w:val="20"/>
                <w:highlight w:val="none"/>
                <w:lang w:val="en-US" w:eastAsia="zh-CN" w:bidi="ar-SA"/>
              </w:rPr>
              <w:t>区</w:t>
            </w:r>
            <w:r>
              <w:rPr>
                <w:rFonts w:hint="default" w:ascii="Times New Roman" w:hAnsi="Times New Roman" w:eastAsia="宋体" w:cs="Times New Roman"/>
                <w:color w:val="auto"/>
                <w:spacing w:val="0"/>
                <w:w w:val="100"/>
                <w:kern w:val="21"/>
                <w:sz w:val="24"/>
                <w:szCs w:val="20"/>
                <w:highlight w:val="none"/>
                <w:lang w:val="en-US" w:eastAsia="zh-CN" w:bidi="ar-SA"/>
              </w:rPr>
              <w:t>合理，生活办公区与生产区分开，厂内道路、输煤廊道最大程度减少了物料流转途径。平面布置图见附图</w:t>
            </w:r>
            <w:r>
              <w:rPr>
                <w:rFonts w:hint="eastAsia" w:ascii="Times New Roman" w:hAnsi="Times New Roman" w:cs="Times New Roman"/>
                <w:color w:val="auto"/>
                <w:spacing w:val="0"/>
                <w:w w:val="100"/>
                <w:kern w:val="21"/>
                <w:sz w:val="24"/>
                <w:szCs w:val="20"/>
                <w:highlight w:val="none"/>
                <w:lang w:val="en-US" w:eastAsia="zh-CN" w:bidi="ar-SA"/>
              </w:rPr>
              <w:t>4</w:t>
            </w:r>
            <w:r>
              <w:rPr>
                <w:rFonts w:hint="default" w:ascii="Times New Roman" w:hAnsi="Times New Roman" w:eastAsia="宋体" w:cs="Times New Roman"/>
                <w:color w:val="auto"/>
                <w:spacing w:val="0"/>
                <w:w w:val="100"/>
                <w:kern w:val="21"/>
                <w:sz w:val="24"/>
                <w:szCs w:val="20"/>
                <w:highlight w:val="none"/>
                <w:lang w:val="en-US" w:eastAsia="zh-CN" w:bidi="ar-SA"/>
              </w:rPr>
              <w:t>。</w:t>
            </w:r>
          </w:p>
          <w:p w14:paraId="2D5486F4">
            <w:pPr>
              <w:pStyle w:val="84"/>
              <w:numPr>
                <w:ilvl w:val="0"/>
                <w:numId w:val="0"/>
              </w:numPr>
              <w:ind w:firstLine="482" w:firstLineChars="200"/>
              <w:rPr>
                <w:rFonts w:ascii="Times New Roman" w:hAnsi="Times New Roman"/>
                <w:color w:val="auto"/>
                <w:szCs w:val="24"/>
                <w:highlight w:val="none"/>
              </w:rPr>
            </w:pPr>
            <w:r>
              <w:rPr>
                <w:rFonts w:hint="eastAsia" w:ascii="Times New Roman" w:hAnsi="Times New Roman"/>
                <w:color w:val="auto"/>
                <w:szCs w:val="24"/>
                <w:highlight w:val="none"/>
                <w:lang w:val="en-US" w:eastAsia="zh-CN"/>
              </w:rPr>
              <w:t>7</w:t>
            </w:r>
            <w:r>
              <w:rPr>
                <w:rFonts w:hint="eastAsia" w:ascii="Times New Roman" w:hAnsi="Times New Roman"/>
                <w:color w:val="auto"/>
                <w:szCs w:val="24"/>
                <w:highlight w:val="none"/>
                <w:lang w:eastAsia="zh-Hans"/>
              </w:rPr>
              <w:t>、</w:t>
            </w:r>
            <w:r>
              <w:rPr>
                <w:rFonts w:hint="eastAsia" w:ascii="Times New Roman" w:hAnsi="Times New Roman"/>
                <w:color w:val="auto"/>
                <w:szCs w:val="24"/>
                <w:highlight w:val="none"/>
              </w:rPr>
              <w:t>项目产品方案</w:t>
            </w:r>
          </w:p>
          <w:p w14:paraId="2A49E8D0">
            <w:pPr>
              <w:spacing w:line="360" w:lineRule="auto"/>
              <w:ind w:firstLine="480" w:firstLineChars="200"/>
              <w:rPr>
                <w:rFonts w:hint="eastAsia"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eastAsia="zh-CN"/>
              </w:rPr>
              <w:t>本项目设计规模为</w:t>
            </w:r>
            <w:r>
              <w:rPr>
                <w:rFonts w:hint="default" w:ascii="Times New Roman" w:hAnsi="Times New Roman" w:eastAsia="宋体" w:cs="Times New Roman"/>
                <w:color w:val="auto"/>
                <w:sz w:val="24"/>
                <w:szCs w:val="22"/>
                <w:highlight w:val="none"/>
                <w:lang w:val="en-US" w:eastAsia="zh-CN"/>
              </w:rPr>
              <w:t>年</w:t>
            </w:r>
            <w:r>
              <w:rPr>
                <w:rFonts w:hint="default" w:ascii="Times New Roman" w:hAnsi="Times New Roman" w:eastAsia="宋体" w:cs="Times New Roman"/>
                <w:color w:val="auto"/>
                <w:sz w:val="24"/>
                <w:szCs w:val="22"/>
                <w:highlight w:val="none"/>
                <w:lang w:eastAsia="zh-CN"/>
              </w:rPr>
              <w:t>洗选</w:t>
            </w:r>
            <w:r>
              <w:rPr>
                <w:rFonts w:hint="default" w:ascii="Times New Roman" w:hAnsi="Times New Roman" w:eastAsia="宋体" w:cs="Times New Roman"/>
                <w:color w:val="auto"/>
                <w:sz w:val="24"/>
                <w:szCs w:val="22"/>
                <w:highlight w:val="none"/>
                <w:lang w:val="en-US" w:eastAsia="zh-CN"/>
              </w:rPr>
              <w:t>120</w:t>
            </w:r>
            <w:r>
              <w:rPr>
                <w:rFonts w:hint="default" w:ascii="Times New Roman" w:hAnsi="Times New Roman" w:eastAsia="宋体" w:cs="Times New Roman"/>
                <w:color w:val="auto"/>
                <w:sz w:val="24"/>
                <w:szCs w:val="22"/>
                <w:highlight w:val="none"/>
                <w:lang w:eastAsia="zh-CN"/>
              </w:rPr>
              <w:t>万吨跳汰洗选煤炭生产线</w:t>
            </w:r>
            <w:r>
              <w:rPr>
                <w:rFonts w:hint="eastAsia" w:ascii="Times New Roman" w:hAnsi="Times New Roman" w:eastAsia="宋体" w:cs="Times New Roman"/>
                <w:color w:val="auto"/>
                <w:sz w:val="24"/>
                <w:szCs w:val="22"/>
                <w:highlight w:val="none"/>
                <w:lang w:eastAsia="zh-CN"/>
              </w:rPr>
              <w:t>，洗煤厂生产的中煤产品灰分≤</w:t>
            </w:r>
            <w:r>
              <w:rPr>
                <w:rFonts w:hint="eastAsia" w:ascii="Times New Roman" w:hAnsi="Times New Roman" w:eastAsia="宋体" w:cs="Times New Roman"/>
                <w:color w:val="auto"/>
                <w:sz w:val="24"/>
                <w:szCs w:val="22"/>
                <w:highlight w:val="none"/>
                <w:lang w:val="en-US" w:eastAsia="zh-CN"/>
              </w:rPr>
              <w:t>27.00%，产品情况见下表。</w:t>
            </w:r>
          </w:p>
          <w:p w14:paraId="51CDA173">
            <w:pPr>
              <w:pStyle w:val="16"/>
              <w:rPr>
                <w:rFonts w:hint="eastAsia" w:ascii="Times New Roman" w:hAnsi="Times New Roman" w:eastAsia="宋体" w:cs="Times New Roman"/>
                <w:color w:val="auto"/>
                <w:sz w:val="24"/>
                <w:szCs w:val="22"/>
                <w:highlight w:val="none"/>
                <w:lang w:val="en-US" w:eastAsia="zh-CN"/>
              </w:rPr>
            </w:pPr>
          </w:p>
          <w:p w14:paraId="46862464">
            <w:pPr>
              <w:spacing w:line="360" w:lineRule="auto"/>
              <w:jc w:val="center"/>
              <w:rPr>
                <w:rFonts w:hint="default" w:ascii="Times New Roman" w:hAnsi="Times New Roman" w:cs="Times New Roman"/>
                <w:b/>
                <w:color w:val="auto"/>
                <w:sz w:val="24"/>
                <w:szCs w:val="24"/>
                <w:highlight w:val="none"/>
              </w:rPr>
            </w:pPr>
            <w:r>
              <w:rPr>
                <w:rFonts w:hint="eastAsia" w:ascii="Times New Roman" w:hAnsi="Times New Roman" w:eastAsia="宋体" w:cs="Times New Roman"/>
                <w:b/>
                <w:bCs/>
                <w:color w:val="auto"/>
                <w:kern w:val="2"/>
                <w:sz w:val="21"/>
                <w:szCs w:val="21"/>
                <w:lang w:val="en-US" w:eastAsia="zh-CN" w:bidi="ar-SA"/>
              </w:rPr>
              <w:t>表2-</w:t>
            </w:r>
            <w:r>
              <w:rPr>
                <w:rFonts w:hint="eastAsia" w:cs="Times New Roman"/>
                <w:b/>
                <w:bCs/>
                <w:color w:val="auto"/>
                <w:kern w:val="2"/>
                <w:sz w:val="21"/>
                <w:szCs w:val="21"/>
                <w:lang w:val="en-US" w:eastAsia="zh-CN" w:bidi="ar-SA"/>
              </w:rPr>
              <w:t>5</w:t>
            </w:r>
            <w:r>
              <w:rPr>
                <w:rFonts w:hint="eastAsia" w:ascii="Times New Roman" w:hAnsi="Times New Roman" w:eastAsia="宋体" w:cs="Times New Roman"/>
                <w:b/>
                <w:bCs/>
                <w:color w:val="auto"/>
                <w:kern w:val="2"/>
                <w:sz w:val="21"/>
                <w:szCs w:val="21"/>
                <w:lang w:val="en-US" w:eastAsia="zh-CN" w:bidi="ar-SA"/>
              </w:rPr>
              <w:t xml:space="preserve"> 主要产品一览表</w:t>
            </w:r>
          </w:p>
          <w:tbl>
            <w:tblPr>
              <w:tblStyle w:val="31"/>
              <w:tblW w:w="82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0"/>
              <w:gridCol w:w="3225"/>
              <w:gridCol w:w="2176"/>
              <w:gridCol w:w="2176"/>
            </w:tblGrid>
            <w:tr w14:paraId="1E71C4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40" w:type="dxa"/>
                  <w:noWrap w:val="0"/>
                  <w:vAlign w:val="center"/>
                </w:tcPr>
                <w:p w14:paraId="374DC1C9">
                  <w:pPr>
                    <w:jc w:val="center"/>
                    <w:rPr>
                      <w:rFonts w:ascii="Times New Roman" w:hAnsi="Times New Roman" w:cs="宋体"/>
                      <w:b/>
                      <w:bCs/>
                      <w:color w:val="auto"/>
                      <w:sz w:val="21"/>
                      <w:szCs w:val="21"/>
                      <w:highlight w:val="none"/>
                    </w:rPr>
                  </w:pPr>
                  <w:r>
                    <w:rPr>
                      <w:rFonts w:ascii="Times New Roman" w:hAnsi="Times New Roman"/>
                      <w:b/>
                      <w:bCs/>
                      <w:color w:val="auto"/>
                      <w:highlight w:val="none"/>
                    </w:rPr>
                    <w:t>序号</w:t>
                  </w:r>
                </w:p>
              </w:tc>
              <w:tc>
                <w:tcPr>
                  <w:tcW w:w="3225" w:type="dxa"/>
                  <w:noWrap w:val="0"/>
                  <w:vAlign w:val="center"/>
                </w:tcPr>
                <w:p w14:paraId="77B8ED7A">
                  <w:pPr>
                    <w:jc w:val="center"/>
                    <w:rPr>
                      <w:rFonts w:ascii="Times New Roman" w:hAnsi="Times New Roman" w:cs="宋体"/>
                      <w:b/>
                      <w:bCs/>
                      <w:color w:val="auto"/>
                      <w:sz w:val="21"/>
                      <w:szCs w:val="21"/>
                      <w:highlight w:val="none"/>
                    </w:rPr>
                  </w:pPr>
                  <w:r>
                    <w:rPr>
                      <w:rFonts w:ascii="Times New Roman" w:hAnsi="Times New Roman"/>
                      <w:b/>
                      <w:bCs/>
                      <w:color w:val="auto"/>
                      <w:highlight w:val="none"/>
                    </w:rPr>
                    <w:t>产品</w:t>
                  </w:r>
                  <w:r>
                    <w:rPr>
                      <w:rFonts w:hint="eastAsia" w:ascii="Times New Roman" w:hAnsi="Times New Roman"/>
                      <w:b/>
                      <w:bCs/>
                      <w:color w:val="auto"/>
                      <w:highlight w:val="none"/>
                    </w:rPr>
                    <w:t>名称</w:t>
                  </w:r>
                </w:p>
              </w:tc>
              <w:tc>
                <w:tcPr>
                  <w:tcW w:w="2176" w:type="dxa"/>
                  <w:tcBorders>
                    <w:left w:val="single" w:color="000000" w:sz="4" w:space="0"/>
                  </w:tcBorders>
                  <w:noWrap w:val="0"/>
                  <w:vAlign w:val="center"/>
                </w:tcPr>
                <w:p w14:paraId="6AD30FC4">
                  <w:pPr>
                    <w:jc w:val="center"/>
                    <w:rPr>
                      <w:rFonts w:hint="eastAsia" w:ascii="Times New Roman" w:hAnsi="Times New Roman" w:eastAsia="宋体" w:cs="宋体"/>
                      <w:b/>
                      <w:bCs/>
                      <w:color w:val="auto"/>
                      <w:sz w:val="21"/>
                      <w:szCs w:val="21"/>
                      <w:highlight w:val="none"/>
                      <w:lang w:eastAsia="zh-CN"/>
                    </w:rPr>
                  </w:pPr>
                  <w:r>
                    <w:rPr>
                      <w:rFonts w:ascii="Times New Roman" w:hAnsi="Times New Roman"/>
                      <w:b/>
                      <w:bCs/>
                      <w:color w:val="auto"/>
                      <w:highlight w:val="none"/>
                    </w:rPr>
                    <w:t>年产量</w:t>
                  </w:r>
                  <w:r>
                    <w:rPr>
                      <w:rFonts w:hint="eastAsia" w:ascii="Times New Roman" w:hAnsi="Times New Roman"/>
                      <w:b/>
                      <w:bCs/>
                      <w:color w:val="auto"/>
                      <w:highlight w:val="none"/>
                      <w:lang w:eastAsia="zh-CN"/>
                    </w:rPr>
                    <w:t>（吨）</w:t>
                  </w:r>
                </w:p>
              </w:tc>
              <w:tc>
                <w:tcPr>
                  <w:tcW w:w="2176" w:type="dxa"/>
                  <w:tcBorders>
                    <w:left w:val="single" w:color="000000" w:sz="4" w:space="0"/>
                  </w:tcBorders>
                  <w:noWrap w:val="0"/>
                  <w:vAlign w:val="center"/>
                </w:tcPr>
                <w:p w14:paraId="7BD9809D">
                  <w:pPr>
                    <w:jc w:val="center"/>
                    <w:rPr>
                      <w:rFonts w:hint="eastAsia" w:ascii="Times New Roman" w:hAnsi="Times New Roman" w:eastAsia="宋体"/>
                      <w:b/>
                      <w:bCs/>
                      <w:color w:val="auto"/>
                      <w:highlight w:val="none"/>
                      <w:lang w:val="en-US" w:eastAsia="zh-CN"/>
                    </w:rPr>
                  </w:pPr>
                  <w:r>
                    <w:rPr>
                      <w:rFonts w:hint="eastAsia" w:ascii="Times New Roman" w:hAnsi="Times New Roman"/>
                      <w:b/>
                      <w:bCs/>
                      <w:color w:val="auto"/>
                      <w:highlight w:val="none"/>
                      <w:lang w:val="en-US" w:eastAsia="zh-CN"/>
                    </w:rPr>
                    <w:t>备注</w:t>
                  </w:r>
                </w:p>
              </w:tc>
            </w:tr>
            <w:tr w14:paraId="4B94E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640" w:type="dxa"/>
                  <w:noWrap w:val="0"/>
                  <w:vAlign w:val="center"/>
                </w:tcPr>
                <w:p w14:paraId="6E1388EF">
                  <w:pPr>
                    <w:jc w:val="center"/>
                    <w:rPr>
                      <w:rFonts w:ascii="Times New Roman" w:hAnsi="Times New Roman"/>
                      <w:color w:val="auto"/>
                      <w:sz w:val="21"/>
                      <w:szCs w:val="21"/>
                      <w:highlight w:val="none"/>
                    </w:rPr>
                  </w:pPr>
                  <w:r>
                    <w:rPr>
                      <w:rFonts w:hint="eastAsia" w:ascii="Times New Roman" w:hAnsi="Times New Roman"/>
                      <w:color w:val="auto"/>
                      <w:highlight w:val="none"/>
                    </w:rPr>
                    <w:t>1</w:t>
                  </w:r>
                </w:p>
              </w:tc>
              <w:tc>
                <w:tcPr>
                  <w:tcW w:w="3225" w:type="dxa"/>
                  <w:noWrap w:val="0"/>
                  <w:vAlign w:val="center"/>
                </w:tcPr>
                <w:p w14:paraId="1EEB2CE8">
                  <w:pPr>
                    <w:jc w:val="center"/>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中煤</w:t>
                  </w:r>
                </w:p>
              </w:tc>
              <w:tc>
                <w:tcPr>
                  <w:tcW w:w="2176" w:type="dxa"/>
                  <w:tcBorders>
                    <w:left w:val="single" w:color="000000" w:sz="4" w:space="0"/>
                  </w:tcBorders>
                  <w:noWrap w:val="0"/>
                  <w:vAlign w:val="center"/>
                </w:tcPr>
                <w:p w14:paraId="2B05E526">
                  <w:pPr>
                    <w:jc w:val="center"/>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523215</w:t>
                  </w:r>
                </w:p>
              </w:tc>
              <w:tc>
                <w:tcPr>
                  <w:tcW w:w="2176" w:type="dxa"/>
                  <w:tcBorders>
                    <w:left w:val="single" w:color="000000" w:sz="4" w:space="0"/>
                  </w:tcBorders>
                  <w:noWrap w:val="0"/>
                  <w:vAlign w:val="center"/>
                </w:tcPr>
                <w:p w14:paraId="0374B225">
                  <w:pPr>
                    <w:jc w:val="center"/>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外售</w:t>
                  </w:r>
                </w:p>
              </w:tc>
            </w:tr>
            <w:tr w14:paraId="6067A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640" w:type="dxa"/>
                  <w:noWrap w:val="0"/>
                  <w:vAlign w:val="center"/>
                </w:tcPr>
                <w:p w14:paraId="1A337DB0">
                  <w:pPr>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highlight w:val="none"/>
                    </w:rPr>
                    <w:t>2</w:t>
                  </w:r>
                </w:p>
              </w:tc>
              <w:tc>
                <w:tcPr>
                  <w:tcW w:w="3225" w:type="dxa"/>
                  <w:noWrap w:val="0"/>
                  <w:vAlign w:val="center"/>
                </w:tcPr>
                <w:p w14:paraId="1967DEC6">
                  <w:pPr>
                    <w:jc w:val="center"/>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矸石</w:t>
                  </w:r>
                </w:p>
              </w:tc>
              <w:tc>
                <w:tcPr>
                  <w:tcW w:w="2176" w:type="dxa"/>
                  <w:tcBorders>
                    <w:left w:val="single" w:color="000000" w:sz="4" w:space="0"/>
                  </w:tcBorders>
                  <w:noWrap w:val="0"/>
                  <w:vAlign w:val="center"/>
                </w:tcPr>
                <w:p w14:paraId="4D9AB1A8">
                  <w:pPr>
                    <w:jc w:val="center"/>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654019</w:t>
                  </w:r>
                </w:p>
              </w:tc>
              <w:tc>
                <w:tcPr>
                  <w:tcW w:w="2176" w:type="dxa"/>
                  <w:tcBorders>
                    <w:left w:val="single" w:color="000000" w:sz="4" w:space="0"/>
                  </w:tcBorders>
                  <w:noWrap w:val="0"/>
                  <w:vAlign w:val="center"/>
                </w:tcPr>
                <w:p w14:paraId="62F57743">
                  <w:pPr>
                    <w:jc w:val="center"/>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外售综合利用</w:t>
                  </w:r>
                </w:p>
              </w:tc>
            </w:tr>
          </w:tbl>
          <w:p w14:paraId="6A7E4E26">
            <w:pPr>
              <w:spacing w:line="360" w:lineRule="auto"/>
              <w:ind w:firstLine="480" w:firstLineChars="200"/>
              <w:rPr>
                <w:rFonts w:hint="eastAsia" w:ascii="Times New Roman" w:hAnsi="Times New Roman"/>
                <w:color w:val="auto"/>
                <w:highlight w:val="none"/>
              </w:rPr>
            </w:pPr>
            <w:r>
              <w:rPr>
                <w:rFonts w:hint="eastAsia" w:ascii="Times New Roman" w:hAnsi="Times New Roman"/>
                <w:color w:val="auto"/>
                <w:sz w:val="24"/>
                <w:szCs w:val="22"/>
                <w:highlight w:val="none"/>
              </w:rPr>
              <w:t>本项目物料平衡详见图2-1。</w:t>
            </w:r>
          </w:p>
          <w:p w14:paraId="348114E3">
            <w:pPr>
              <w:spacing w:line="360" w:lineRule="auto"/>
              <w:jc w:val="center"/>
              <w:rPr>
                <w:rFonts w:hint="eastAsia" w:ascii="Times New Roman" w:hAnsi="Times New Roman" w:eastAsia="宋体" w:cs="Times New Roman"/>
                <w:b/>
                <w:color w:val="auto"/>
                <w:kern w:val="0"/>
                <w:sz w:val="24"/>
                <w:szCs w:val="20"/>
                <w:highlight w:val="none"/>
                <w:lang w:eastAsia="zh-CN"/>
              </w:rPr>
            </w:pPr>
            <w:r>
              <w:rPr>
                <w:rFonts w:hint="default" w:ascii="Times New Roman" w:hAnsi="Times New Roman" w:cs="Times New Roman"/>
                <w:color w:val="auto"/>
              </w:rPr>
              <w:pict>
                <v:shape id="_x0000_s2053" o:spid="_x0000_s2053" o:spt="75" type="#_x0000_t75" style="position:absolute;left:0pt;margin-left:13.4pt;margin-top:14.85pt;height:233.1pt;width:378.25pt;z-index:-251646976;mso-width-relative:page;mso-height-relative:page;" o:ole="t" filled="f" o:preferrelative="t" stroked="f" coordsize="21600,21600">
                  <v:path/>
                  <v:fill on="f" focussize="0,0"/>
                  <v:stroke on="f"/>
                  <v:imagedata r:id="rId14" o:title=""/>
                  <o:lock v:ext="edit" aspectratio="f"/>
                </v:shape>
                <o:OLEObject Type="Embed" ProgID="Visio.Drawing.11" ShapeID="_x0000_s2053" DrawAspect="Content" ObjectID="_1468075725" r:id="rId13">
                  <o:LockedField>false</o:LockedField>
                </o:OLEObject>
              </w:pict>
            </w:r>
          </w:p>
          <w:p w14:paraId="7B8C5ED5">
            <w:pPr>
              <w:spacing w:line="360" w:lineRule="auto"/>
              <w:jc w:val="center"/>
              <w:rPr>
                <w:rFonts w:hint="eastAsia" w:ascii="Times New Roman" w:hAnsi="Times New Roman" w:eastAsia="宋体" w:cs="Times New Roman"/>
                <w:b/>
                <w:color w:val="auto"/>
                <w:sz w:val="21"/>
                <w:szCs w:val="21"/>
                <w:highlight w:val="none"/>
              </w:rPr>
            </w:pPr>
          </w:p>
          <w:p w14:paraId="021E2006">
            <w:pPr>
              <w:spacing w:line="360" w:lineRule="auto"/>
              <w:jc w:val="center"/>
              <w:rPr>
                <w:rFonts w:hint="eastAsia" w:ascii="Times New Roman" w:hAnsi="Times New Roman" w:eastAsia="宋体" w:cs="Times New Roman"/>
                <w:b/>
                <w:color w:val="auto"/>
                <w:sz w:val="21"/>
                <w:szCs w:val="21"/>
                <w:highlight w:val="none"/>
              </w:rPr>
            </w:pPr>
          </w:p>
          <w:p w14:paraId="1A0A96F2">
            <w:pPr>
              <w:spacing w:line="360" w:lineRule="auto"/>
              <w:jc w:val="center"/>
              <w:rPr>
                <w:rFonts w:hint="eastAsia" w:ascii="Times New Roman" w:hAnsi="Times New Roman" w:eastAsia="宋体" w:cs="Times New Roman"/>
                <w:b/>
                <w:color w:val="auto"/>
                <w:sz w:val="21"/>
                <w:szCs w:val="21"/>
                <w:highlight w:val="none"/>
              </w:rPr>
            </w:pPr>
          </w:p>
          <w:p w14:paraId="306EC596">
            <w:pPr>
              <w:spacing w:line="360" w:lineRule="auto"/>
              <w:jc w:val="center"/>
              <w:rPr>
                <w:rFonts w:hint="eastAsia" w:ascii="Times New Roman" w:hAnsi="Times New Roman" w:eastAsia="宋体" w:cs="Times New Roman"/>
                <w:b/>
                <w:color w:val="auto"/>
                <w:sz w:val="21"/>
                <w:szCs w:val="21"/>
                <w:highlight w:val="none"/>
              </w:rPr>
            </w:pPr>
          </w:p>
          <w:p w14:paraId="43CD5B12">
            <w:pPr>
              <w:spacing w:line="360" w:lineRule="auto"/>
              <w:jc w:val="center"/>
              <w:rPr>
                <w:rFonts w:hint="eastAsia" w:ascii="Times New Roman" w:hAnsi="Times New Roman" w:eastAsia="宋体" w:cs="Times New Roman"/>
                <w:b/>
                <w:color w:val="auto"/>
                <w:sz w:val="21"/>
                <w:szCs w:val="21"/>
                <w:highlight w:val="none"/>
              </w:rPr>
            </w:pPr>
          </w:p>
          <w:p w14:paraId="3A8E25E5">
            <w:pPr>
              <w:spacing w:line="360" w:lineRule="auto"/>
              <w:jc w:val="center"/>
              <w:rPr>
                <w:rFonts w:hint="eastAsia" w:ascii="Times New Roman" w:hAnsi="Times New Roman" w:eastAsia="宋体" w:cs="Times New Roman"/>
                <w:b/>
                <w:color w:val="auto"/>
                <w:sz w:val="21"/>
                <w:szCs w:val="21"/>
                <w:highlight w:val="none"/>
              </w:rPr>
            </w:pPr>
          </w:p>
          <w:p w14:paraId="4D0A90B4">
            <w:pPr>
              <w:spacing w:line="360" w:lineRule="auto"/>
              <w:jc w:val="center"/>
              <w:rPr>
                <w:rFonts w:hint="eastAsia" w:ascii="Times New Roman" w:hAnsi="Times New Roman" w:eastAsia="宋体" w:cs="Times New Roman"/>
                <w:b/>
                <w:color w:val="auto"/>
                <w:sz w:val="21"/>
                <w:szCs w:val="21"/>
                <w:highlight w:val="none"/>
              </w:rPr>
            </w:pPr>
          </w:p>
          <w:p w14:paraId="4E5513D5">
            <w:pPr>
              <w:spacing w:line="360" w:lineRule="auto"/>
              <w:jc w:val="center"/>
              <w:rPr>
                <w:rFonts w:hint="eastAsia" w:ascii="Times New Roman" w:hAnsi="Times New Roman" w:eastAsia="宋体" w:cs="Times New Roman"/>
                <w:b/>
                <w:color w:val="auto"/>
                <w:sz w:val="21"/>
                <w:szCs w:val="21"/>
                <w:highlight w:val="none"/>
              </w:rPr>
            </w:pPr>
          </w:p>
          <w:p w14:paraId="4964E7E6">
            <w:pPr>
              <w:spacing w:line="360" w:lineRule="auto"/>
              <w:jc w:val="center"/>
              <w:rPr>
                <w:rFonts w:hint="eastAsia" w:ascii="Times New Roman" w:hAnsi="Times New Roman" w:eastAsia="宋体" w:cs="Times New Roman"/>
                <w:b/>
                <w:color w:val="auto"/>
                <w:sz w:val="21"/>
                <w:szCs w:val="21"/>
                <w:highlight w:val="none"/>
              </w:rPr>
            </w:pPr>
          </w:p>
          <w:p w14:paraId="34FFF35D">
            <w:pPr>
              <w:pStyle w:val="12"/>
              <w:rPr>
                <w:rFonts w:hint="eastAsia" w:ascii="Times New Roman" w:hAnsi="Times New Roman" w:eastAsia="宋体" w:cs="Times New Roman"/>
                <w:b/>
                <w:color w:val="auto"/>
                <w:sz w:val="21"/>
                <w:szCs w:val="21"/>
                <w:highlight w:val="none"/>
              </w:rPr>
            </w:pPr>
          </w:p>
          <w:p w14:paraId="253002BF">
            <w:pPr>
              <w:pStyle w:val="18"/>
              <w:widowControl w:val="0"/>
              <w:numPr>
                <w:ilvl w:val="0"/>
                <w:numId w:val="0"/>
              </w:numPr>
              <w:jc w:val="both"/>
              <w:rPr>
                <w:rFonts w:hint="eastAsia" w:ascii="Times New Roman" w:hAnsi="Times New Roman" w:eastAsia="宋体" w:cs="Times New Roman"/>
                <w:b/>
                <w:color w:val="auto"/>
                <w:sz w:val="21"/>
                <w:szCs w:val="21"/>
                <w:highlight w:val="none"/>
              </w:rPr>
            </w:pPr>
          </w:p>
          <w:p w14:paraId="42C25205">
            <w:pPr>
              <w:pStyle w:val="18"/>
              <w:widowControl w:val="0"/>
              <w:numPr>
                <w:ilvl w:val="0"/>
                <w:numId w:val="0"/>
              </w:numPr>
              <w:jc w:val="both"/>
              <w:rPr>
                <w:rFonts w:hint="eastAsia" w:ascii="Times New Roman" w:hAnsi="Times New Roman" w:eastAsia="宋体" w:cs="Times New Roman"/>
                <w:b/>
                <w:color w:val="auto"/>
                <w:sz w:val="21"/>
                <w:szCs w:val="21"/>
                <w:highlight w:val="none"/>
              </w:rPr>
            </w:pPr>
          </w:p>
          <w:p w14:paraId="2088BE8A">
            <w:pPr>
              <w:pStyle w:val="18"/>
              <w:widowControl w:val="0"/>
              <w:numPr>
                <w:ilvl w:val="0"/>
                <w:numId w:val="0"/>
              </w:numPr>
              <w:jc w:val="both"/>
              <w:rPr>
                <w:rFonts w:hint="eastAsia" w:ascii="Times New Roman" w:hAnsi="Times New Roman" w:eastAsia="宋体" w:cs="Times New Roman"/>
                <w:b/>
                <w:color w:val="auto"/>
                <w:sz w:val="21"/>
                <w:szCs w:val="21"/>
                <w:highlight w:val="none"/>
              </w:rPr>
            </w:pPr>
          </w:p>
          <w:p w14:paraId="521A30E2">
            <w:pPr>
              <w:spacing w:line="360" w:lineRule="auto"/>
              <w:jc w:val="center"/>
              <w:rPr>
                <w:rFonts w:hint="eastAsia" w:ascii="Times New Roman" w:hAnsi="Times New Roman" w:eastAsia="宋体" w:cs="Times New Roman"/>
                <w:b/>
                <w:color w:val="auto"/>
                <w:sz w:val="21"/>
                <w:szCs w:val="21"/>
                <w:highlight w:val="none"/>
              </w:rPr>
            </w:pPr>
          </w:p>
          <w:p w14:paraId="5334255A">
            <w:pPr>
              <w:spacing w:line="360" w:lineRule="auto"/>
              <w:jc w:val="center"/>
              <w:rPr>
                <w:rFonts w:hint="eastAsia" w:ascii="Times New Roman" w:hAnsi="Times New Roman" w:eastAsia="宋体" w:cs="Times New Roman"/>
                <w:b/>
                <w:color w:val="auto"/>
                <w:sz w:val="24"/>
                <w:szCs w:val="24"/>
                <w:highlight w:val="none"/>
              </w:rPr>
            </w:pPr>
            <w:r>
              <w:rPr>
                <w:rFonts w:hint="eastAsia" w:ascii="Times New Roman" w:hAnsi="Times New Roman" w:eastAsia="宋体" w:cs="Times New Roman"/>
                <w:b/>
                <w:bCs/>
                <w:color w:val="auto"/>
                <w:kern w:val="2"/>
                <w:sz w:val="21"/>
                <w:szCs w:val="21"/>
                <w:lang w:val="en-US" w:eastAsia="zh-CN" w:bidi="ar-SA"/>
              </w:rPr>
              <w:t>图2-1物料平衡图  单位：t/a</w:t>
            </w:r>
          </w:p>
          <w:p w14:paraId="30A7017A">
            <w:pPr>
              <w:pStyle w:val="66"/>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cs="Times New Roman"/>
                <w:b/>
                <w:color w:val="auto"/>
                <w:kern w:val="2"/>
                <w:sz w:val="24"/>
                <w:szCs w:val="24"/>
                <w:highlight w:val="none"/>
                <w:lang w:eastAsia="zh-CN" w:bidi="ar-SA"/>
              </w:rPr>
              <w:t>7</w:t>
            </w:r>
            <w:r>
              <w:rPr>
                <w:rFonts w:hint="eastAsia" w:ascii="Times New Roman" w:hAnsi="Times New Roman" w:cs="Times New Roman"/>
                <w:b/>
                <w:color w:val="auto"/>
                <w:kern w:val="2"/>
                <w:sz w:val="24"/>
                <w:szCs w:val="24"/>
                <w:highlight w:val="none"/>
                <w:lang w:eastAsia="zh-Hans" w:bidi="ar-SA"/>
              </w:rPr>
              <w:t>、</w:t>
            </w:r>
            <w:r>
              <w:rPr>
                <w:rFonts w:hint="default" w:ascii="Times New Roman" w:hAnsi="Times New Roman" w:eastAsia="宋体" w:cs="Times New Roman"/>
                <w:b/>
                <w:color w:val="auto"/>
                <w:kern w:val="2"/>
                <w:sz w:val="24"/>
                <w:szCs w:val="24"/>
                <w:highlight w:val="none"/>
                <w:lang w:val="en-US" w:eastAsia="zh-CN" w:bidi="ar-SA"/>
              </w:rPr>
              <w:t>公用工程</w:t>
            </w:r>
          </w:p>
          <w:p w14:paraId="42CC469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①供热</w:t>
            </w:r>
          </w:p>
          <w:p w14:paraId="00AD60F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生产车间不设置采暖系统 ，生活采用电供暖</w:t>
            </w:r>
            <w:r>
              <w:rPr>
                <w:rFonts w:hint="default" w:ascii="Times New Roman" w:hAnsi="Times New Roman" w:eastAsia="宋体" w:cs="Times New Roman"/>
                <w:color w:val="auto"/>
                <w:kern w:val="0"/>
                <w:sz w:val="24"/>
                <w:szCs w:val="24"/>
                <w:highlight w:val="none"/>
                <w:lang w:val="en-US" w:eastAsia="zh-CN"/>
              </w:rPr>
              <w:t>。</w:t>
            </w:r>
          </w:p>
          <w:p w14:paraId="07DC6A4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②供水</w:t>
            </w:r>
          </w:p>
          <w:p w14:paraId="0151C63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本项目生产用水为宏源煤矿地下空巷水，设置一台80m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/h水泵；生活用水由恒山区自来水公司供给。其中生产用水包括洗煤补充水、抑尘洒水和车间地面清洗用水。</w:t>
            </w:r>
          </w:p>
          <w:p w14:paraId="3D439104">
            <w:pPr>
              <w:keepNext w:val="0"/>
              <w:keepLines w:val="0"/>
              <w:pageBreakBefore w:val="0"/>
              <w:widowControl w:val="0"/>
              <w:numPr>
                <w:ilvl w:val="0"/>
                <w:numId w:val="5"/>
              </w:numPr>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洗煤用水</w:t>
            </w:r>
          </w:p>
          <w:p w14:paraId="449E1BC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根据黑龙江省地方标准《黑龙江省用水定额标准》（DB23/T 727-20</w:t>
            </w:r>
            <w:r>
              <w:rPr>
                <w:rFonts w:hint="eastAsia" w:ascii="Times New Roman" w:hAnsi="Times New Roman" w:eastAsia="宋体" w:cs="Times New Roman"/>
                <w:color w:val="auto"/>
                <w:kern w:val="0"/>
                <w:sz w:val="24"/>
                <w:szCs w:val="24"/>
                <w:highlight w:val="none"/>
                <w:lang w:val="en-US" w:eastAsia="zh-CN"/>
              </w:rPr>
              <w:t>21</w:t>
            </w:r>
            <w:r>
              <w:rPr>
                <w:rFonts w:hint="default" w:ascii="Times New Roman" w:hAnsi="Times New Roman" w:eastAsia="宋体" w:cs="Times New Roman"/>
                <w:color w:val="auto"/>
                <w:kern w:val="0"/>
                <w:sz w:val="24"/>
                <w:szCs w:val="24"/>
                <w:highlight w:val="none"/>
                <w:lang w:val="en-US" w:eastAsia="zh-CN"/>
              </w:rPr>
              <w:t>），烟煤和无烟煤的开采洗选用水量按0.09 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/t计算，洗选煤量为120万t/a，补充用水量为108000 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/a，327.27m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/d；循环水量为1092000 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/a，3309.09 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/d。</w:t>
            </w:r>
          </w:p>
          <w:p w14:paraId="7C2A1AB7">
            <w:pPr>
              <w:keepNext w:val="0"/>
              <w:keepLines w:val="0"/>
              <w:pageBreakBefore w:val="0"/>
              <w:widowControl w:val="0"/>
              <w:numPr>
                <w:ilvl w:val="0"/>
                <w:numId w:val="5"/>
              </w:numPr>
              <w:kinsoku/>
              <w:wordWrap/>
              <w:overflowPunct/>
              <w:topLinePunct w:val="0"/>
              <w:autoSpaceDE/>
              <w:autoSpaceDN/>
              <w:bidi w:val="0"/>
              <w:spacing w:line="360" w:lineRule="auto"/>
              <w:ind w:left="0" w:leftChars="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车间地面清洗用水</w:t>
            </w:r>
          </w:p>
          <w:p w14:paraId="2CF613F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项目车间地面需用水清洗，用水量约为</w:t>
            </w:r>
            <w:r>
              <w:rPr>
                <w:rFonts w:hint="eastAsia" w:ascii="Times New Roman" w:hAnsi="Times New Roman" w:eastAsia="宋体" w:cs="Times New Roman"/>
                <w:color w:val="auto"/>
                <w:kern w:val="0"/>
                <w:sz w:val="24"/>
                <w:szCs w:val="24"/>
                <w:highlight w:val="none"/>
                <w:lang w:val="en-US" w:eastAsia="zh-CN"/>
              </w:rPr>
              <w:t>0.8</w:t>
            </w:r>
            <w:r>
              <w:rPr>
                <w:rFonts w:hint="default" w:ascii="Times New Roman" w:hAnsi="Times New Roman" w:eastAsia="宋体" w:cs="Times New Roman"/>
                <w:color w:val="auto"/>
                <w:kern w:val="0"/>
                <w:sz w:val="24"/>
                <w:szCs w:val="24"/>
                <w:highlight w:val="none"/>
                <w:lang w:val="en-US" w:eastAsia="zh-CN"/>
              </w:rPr>
              <w:t>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/d，</w:t>
            </w:r>
            <w:r>
              <w:rPr>
                <w:rFonts w:hint="eastAsia" w:ascii="Times New Roman" w:hAnsi="Times New Roman" w:cs="Times New Roman"/>
                <w:color w:val="auto"/>
                <w:kern w:val="0"/>
                <w:sz w:val="24"/>
                <w:szCs w:val="24"/>
                <w:highlight w:val="none"/>
                <w:lang w:val="en-US" w:eastAsia="zh-CN"/>
              </w:rPr>
              <w:t>264</w:t>
            </w:r>
            <w:r>
              <w:rPr>
                <w:rFonts w:hint="default" w:ascii="Times New Roman" w:hAnsi="Times New Roman" w:eastAsia="宋体" w:cs="Times New Roman"/>
                <w:color w:val="auto"/>
                <w:kern w:val="0"/>
                <w:sz w:val="24"/>
                <w:szCs w:val="24"/>
                <w:highlight w:val="none"/>
                <w:lang w:val="en-US" w:eastAsia="zh-CN"/>
              </w:rPr>
              <w:t>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/a。</w:t>
            </w:r>
          </w:p>
          <w:p w14:paraId="719064E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rPr>
              <w:t>生活</w:t>
            </w:r>
            <w:r>
              <w:rPr>
                <w:rFonts w:hint="eastAsia" w:ascii="Times New Roman" w:hAnsi="Times New Roman" w:cs="Times New Roman"/>
                <w:color w:val="auto"/>
                <w:sz w:val="24"/>
                <w:highlight w:val="none"/>
                <w:lang w:eastAsia="zh-CN"/>
              </w:rPr>
              <w:t>用水</w:t>
            </w:r>
          </w:p>
          <w:p w14:paraId="1FB84C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sz w:val="24"/>
                <w:szCs w:val="24"/>
                <w:highlight w:val="none"/>
              </w:rPr>
            </w:pPr>
            <w:r>
              <w:rPr>
                <w:rFonts w:hint="eastAsia" w:ascii="Times New Roman" w:hAnsi="Times New Roman"/>
                <w:color w:val="auto"/>
                <w:sz w:val="24"/>
                <w:szCs w:val="24"/>
                <w:highlight w:val="none"/>
                <w:lang w:eastAsia="zh-CN"/>
              </w:rPr>
              <w:t>本项目</w:t>
            </w:r>
            <w:r>
              <w:rPr>
                <w:rFonts w:ascii="Times New Roman" w:hAnsi="Times New Roman"/>
                <w:color w:val="auto"/>
                <w:sz w:val="24"/>
                <w:szCs w:val="24"/>
                <w:highlight w:val="none"/>
              </w:rPr>
              <w:t>生活用水为员工生活用水，共</w:t>
            </w:r>
            <w:r>
              <w:rPr>
                <w:rFonts w:hint="eastAsia" w:ascii="Times New Roman" w:hAnsi="Times New Roman"/>
                <w:color w:val="auto"/>
                <w:sz w:val="24"/>
                <w:szCs w:val="24"/>
                <w:highlight w:val="none"/>
              </w:rPr>
              <w:t>32</w:t>
            </w:r>
            <w:r>
              <w:rPr>
                <w:rFonts w:ascii="Times New Roman" w:hAnsi="Times New Roman"/>
                <w:color w:val="auto"/>
                <w:sz w:val="24"/>
                <w:szCs w:val="24"/>
                <w:highlight w:val="none"/>
              </w:rPr>
              <w:t>人，</w:t>
            </w:r>
            <w:r>
              <w:rPr>
                <w:rFonts w:hint="eastAsia" w:ascii="Times New Roman" w:hAnsi="Times New Roman"/>
                <w:color w:val="auto"/>
                <w:sz w:val="24"/>
                <w:szCs w:val="24"/>
                <w:highlight w:val="none"/>
                <w:lang w:eastAsia="zh-CN"/>
              </w:rPr>
              <w:t>本项目位于农村地区，根据黑龙江省地方标准</w:t>
            </w:r>
            <w:r>
              <w:rPr>
                <w:rFonts w:hint="eastAsia" w:ascii="Times New Roman" w:hAnsi="Times New Roman"/>
                <w:color w:val="auto"/>
                <w:sz w:val="24"/>
                <w:szCs w:val="24"/>
                <w:highlight w:val="none"/>
                <w:lang w:val="en-US" w:eastAsia="zh-CN"/>
              </w:rPr>
              <w:t>《用水定额》（DB23/T 727-2021）</w:t>
            </w:r>
            <w:r>
              <w:rPr>
                <w:rFonts w:hint="eastAsia" w:ascii="Times New Roman" w:hAnsi="Times New Roman"/>
                <w:color w:val="auto"/>
                <w:sz w:val="24"/>
                <w:szCs w:val="24"/>
                <w:highlight w:val="none"/>
                <w:lang w:eastAsia="zh-CN"/>
              </w:rPr>
              <w:t>，农村居民生活用水定额为</w:t>
            </w:r>
            <w:r>
              <w:rPr>
                <w:rFonts w:hint="eastAsia" w:ascii="Times New Roman" w:hAnsi="Times New Roman"/>
                <w:color w:val="auto"/>
                <w:sz w:val="24"/>
                <w:szCs w:val="24"/>
                <w:highlight w:val="none"/>
                <w:lang w:val="en-US" w:eastAsia="zh-CN"/>
              </w:rPr>
              <w:t>80L/（人、d）</w:t>
            </w:r>
            <w:r>
              <w:rPr>
                <w:rFonts w:ascii="Times New Roman" w:hAnsi="Times New Roman"/>
                <w:color w:val="auto"/>
                <w:sz w:val="24"/>
                <w:szCs w:val="24"/>
                <w:highlight w:val="none"/>
              </w:rPr>
              <w:t>，</w:t>
            </w:r>
            <w:r>
              <w:rPr>
                <w:rFonts w:hint="eastAsia" w:ascii="Times New Roman" w:hAnsi="Times New Roman"/>
                <w:color w:val="auto"/>
                <w:sz w:val="24"/>
                <w:szCs w:val="24"/>
                <w:highlight w:val="none"/>
                <w:lang w:eastAsia="zh-CN"/>
              </w:rPr>
              <w:t>本项目员工生活用水量按</w:t>
            </w:r>
            <w:r>
              <w:rPr>
                <w:rFonts w:hint="eastAsia" w:ascii="Times New Roman" w:hAnsi="Times New Roman"/>
                <w:color w:val="auto"/>
                <w:sz w:val="24"/>
                <w:szCs w:val="24"/>
                <w:highlight w:val="none"/>
                <w:lang w:val="en-US" w:eastAsia="zh-CN"/>
              </w:rPr>
              <w:t>80L/（人、d）计算</w:t>
            </w:r>
            <w:r>
              <w:rPr>
                <w:rFonts w:hint="eastAsia" w:ascii="Times New Roman" w:hAnsi="Times New Roman"/>
                <w:color w:val="auto"/>
                <w:sz w:val="24"/>
                <w:szCs w:val="24"/>
                <w:highlight w:val="none"/>
                <w:lang w:eastAsia="zh-CN"/>
              </w:rPr>
              <w:t>，则本项目</w:t>
            </w:r>
            <w:r>
              <w:rPr>
                <w:rFonts w:ascii="Times New Roman" w:hAnsi="Times New Roman"/>
                <w:color w:val="auto"/>
                <w:sz w:val="24"/>
                <w:szCs w:val="24"/>
                <w:highlight w:val="none"/>
              </w:rPr>
              <w:t>生活用水量为</w:t>
            </w:r>
            <w:r>
              <w:rPr>
                <w:rFonts w:hint="eastAsia" w:ascii="Times New Roman" w:hAnsi="Times New Roman"/>
                <w:color w:val="auto"/>
                <w:sz w:val="24"/>
                <w:szCs w:val="24"/>
                <w:highlight w:val="none"/>
                <w:lang w:val="en-US" w:eastAsia="zh-CN"/>
              </w:rPr>
              <w:t>2.56</w:t>
            </w:r>
            <w:r>
              <w:rPr>
                <w:rFonts w:ascii="Times New Roman" w:hAnsi="Times New Roman"/>
                <w:color w:val="auto"/>
                <w:sz w:val="24"/>
                <w:szCs w:val="24"/>
                <w:highlight w:val="none"/>
              </w:rPr>
              <w:t>t/d，</w:t>
            </w:r>
            <w:r>
              <w:rPr>
                <w:rFonts w:hint="eastAsia" w:ascii="Times New Roman" w:hAnsi="Times New Roman"/>
                <w:color w:val="auto"/>
                <w:sz w:val="24"/>
                <w:szCs w:val="24"/>
                <w:highlight w:val="none"/>
                <w:lang w:val="en-US" w:eastAsia="zh-CN"/>
              </w:rPr>
              <w:t>844.8</w:t>
            </w:r>
            <w:r>
              <w:rPr>
                <w:rFonts w:ascii="Times New Roman" w:hAnsi="Times New Roman"/>
                <w:color w:val="auto"/>
                <w:sz w:val="24"/>
                <w:szCs w:val="24"/>
                <w:highlight w:val="none"/>
              </w:rPr>
              <w:t>t/a。</w:t>
            </w:r>
          </w:p>
          <w:p w14:paraId="4B3350E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fldChar w:fldCharType="begin"/>
            </w:r>
            <w:r>
              <w:rPr>
                <w:rFonts w:hint="default" w:ascii="Times New Roman" w:hAnsi="Times New Roman" w:eastAsia="宋体" w:cs="Times New Roman"/>
                <w:color w:val="auto"/>
                <w:kern w:val="0"/>
                <w:sz w:val="24"/>
                <w:szCs w:val="24"/>
                <w:highlight w:val="none"/>
                <w:lang w:val="en-US" w:eastAsia="zh-CN"/>
              </w:rPr>
              <w:instrText xml:space="preserve"> = 3 \* GB3 \* MERGEFORMAT </w:instrText>
            </w:r>
            <w:r>
              <w:rPr>
                <w:rFonts w:hint="default" w:ascii="Times New Roman" w:hAnsi="Times New Roman" w:eastAsia="宋体" w:cs="Times New Roman"/>
                <w:color w:val="auto"/>
                <w:kern w:val="0"/>
                <w:sz w:val="24"/>
                <w:szCs w:val="24"/>
                <w:highlight w:val="none"/>
                <w:lang w:val="en-US" w:eastAsia="zh-CN"/>
              </w:rPr>
              <w:fldChar w:fldCharType="separate"/>
            </w:r>
            <w:r>
              <w:rPr>
                <w:rFonts w:hint="eastAsia" w:ascii="Times New Roman" w:hAnsi="Times New Roman" w:eastAsia="宋体" w:cs="Times New Roman"/>
                <w:color w:val="auto"/>
                <w:kern w:val="0"/>
                <w:sz w:val="24"/>
                <w:szCs w:val="24"/>
                <w:highlight w:val="none"/>
                <w:lang w:val="en-US" w:eastAsia="zh-CN"/>
              </w:rPr>
              <w:t>③</w:t>
            </w:r>
            <w:r>
              <w:rPr>
                <w:rFonts w:hint="default" w:ascii="Times New Roman" w:hAnsi="Times New Roman" w:eastAsia="宋体" w:cs="Times New Roman"/>
                <w:color w:val="auto"/>
                <w:kern w:val="0"/>
                <w:sz w:val="24"/>
                <w:szCs w:val="24"/>
                <w:highlight w:val="none"/>
                <w:lang w:val="en-US" w:eastAsia="zh-CN"/>
              </w:rPr>
              <w:fldChar w:fldCharType="end"/>
            </w:r>
            <w:r>
              <w:rPr>
                <w:rFonts w:hint="eastAsia" w:ascii="Times New Roman" w:hAnsi="Times New Roman" w:eastAsia="宋体" w:cs="Times New Roman"/>
                <w:color w:val="auto"/>
                <w:kern w:val="0"/>
                <w:sz w:val="24"/>
                <w:szCs w:val="24"/>
                <w:highlight w:val="none"/>
                <w:lang w:val="en-US" w:eastAsia="zh-CN"/>
              </w:rPr>
              <w:t>排水</w:t>
            </w:r>
          </w:p>
          <w:p w14:paraId="0A02F609">
            <w:pPr>
              <w:numPr>
                <w:ilvl w:val="0"/>
                <w:numId w:val="6"/>
              </w:num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选煤废水</w:t>
            </w:r>
          </w:p>
          <w:p w14:paraId="02FD8D0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煤泥</w:t>
            </w:r>
            <w:r>
              <w:rPr>
                <w:rFonts w:hint="default" w:ascii="Times New Roman" w:hAnsi="Times New Roman" w:eastAsia="宋体" w:cs="Times New Roman"/>
                <w:color w:val="auto"/>
                <w:sz w:val="24"/>
                <w:highlight w:val="none"/>
              </w:rPr>
              <w:t>水共</w:t>
            </w:r>
            <w:r>
              <w:rPr>
                <w:rFonts w:hint="default" w:ascii="Times New Roman" w:hAnsi="Times New Roman" w:eastAsia="宋体" w:cs="Times New Roman"/>
                <w:color w:val="auto"/>
                <w:sz w:val="24"/>
                <w:highlight w:val="none"/>
                <w:lang w:val="en-US" w:eastAsia="zh-CN"/>
              </w:rPr>
              <w:t>1092000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eastAsia" w:ascii="Times New Roman" w:hAnsi="Times New Roman" w:cs="Times New Roman"/>
                <w:color w:val="auto"/>
                <w:sz w:val="24"/>
                <w:highlight w:val="none"/>
                <w:lang w:val="en-US" w:eastAsia="zh-CN"/>
              </w:rPr>
              <w:t>3309.09</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循环使用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清洁生产标准-煤炭采选业</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HJ446-2008）洗煤废水闭路循环，</w:t>
            </w:r>
            <w:r>
              <w:rPr>
                <w:rFonts w:hint="default" w:ascii="Times New Roman" w:hAnsi="Times New Roman" w:eastAsia="宋体" w:cs="Times New Roman"/>
                <w:color w:val="auto"/>
                <w:sz w:val="24"/>
                <w:highlight w:val="none"/>
              </w:rPr>
              <w:t>不外排。</w:t>
            </w:r>
          </w:p>
          <w:p w14:paraId="0E35DA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原煤经</w:t>
            </w:r>
            <w:r>
              <w:rPr>
                <w:rFonts w:hint="default" w:ascii="Times New Roman" w:hAnsi="Times New Roman" w:eastAsia="宋体" w:cs="Times New Roman"/>
                <w:color w:val="auto"/>
                <w:sz w:val="24"/>
                <w:highlight w:val="none"/>
                <w:lang w:eastAsia="zh-CN"/>
              </w:rPr>
              <w:t>跳汰</w:t>
            </w:r>
            <w:r>
              <w:rPr>
                <w:rFonts w:hint="default" w:ascii="Times New Roman" w:hAnsi="Times New Roman" w:eastAsia="宋体" w:cs="Times New Roman"/>
                <w:color w:val="auto"/>
                <w:sz w:val="24"/>
                <w:highlight w:val="none"/>
              </w:rPr>
              <w:t>分选后，</w:t>
            </w:r>
            <w:r>
              <w:rPr>
                <w:rFonts w:hint="eastAsia" w:ascii="Times New Roman" w:hAnsi="Times New Roman" w:cs="Times New Roman"/>
                <w:color w:val="auto"/>
                <w:sz w:val="24"/>
                <w:highlight w:val="none"/>
                <w:lang w:eastAsia="zh-CN"/>
              </w:rPr>
              <w:t>洗液通过振动筛，振动筛下水泵入沉淀池，通过浆泵输送至机械压滤机，压滤水经沉淀后流入闭路循环水池重复利用。</w:t>
            </w:r>
          </w:p>
          <w:p w14:paraId="159AE8F6">
            <w:pPr>
              <w:numPr>
                <w:ilvl w:val="0"/>
                <w:numId w:val="7"/>
              </w:num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车间地面冲洗废水</w:t>
            </w:r>
          </w:p>
          <w:p w14:paraId="532493A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rPr>
              <w:t>本项目对于</w:t>
            </w:r>
            <w:r>
              <w:rPr>
                <w:rFonts w:hint="default" w:ascii="Times New Roman" w:hAnsi="Times New Roman" w:eastAsia="宋体" w:cs="Times New Roman"/>
                <w:color w:val="auto"/>
                <w:sz w:val="24"/>
                <w:szCs w:val="24"/>
                <w:lang w:eastAsia="zh-CN"/>
              </w:rPr>
              <w:t>厂区</w:t>
            </w:r>
            <w:r>
              <w:rPr>
                <w:rFonts w:hint="default" w:ascii="Times New Roman" w:hAnsi="Times New Roman" w:eastAsia="宋体" w:cs="Times New Roman"/>
                <w:color w:val="auto"/>
                <w:sz w:val="24"/>
                <w:szCs w:val="24"/>
              </w:rPr>
              <w:t>路面需要定期洒水，洒水面积约为</w:t>
            </w:r>
            <w:r>
              <w:rPr>
                <w:rFonts w:hint="eastAsia" w:ascii="Times New Roman" w:hAnsi="Times New Roman" w:cs="Times New Roman"/>
                <w:color w:val="auto"/>
                <w:sz w:val="24"/>
                <w:szCs w:val="24"/>
                <w:lang w:val="en-US" w:eastAsia="zh-CN"/>
              </w:rPr>
              <w:t>320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。根据《煤炭洗选工程设计规范》（GB50359-2016）中道路浇洒用水，用水定额为2.0~3.0L/（m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·d），本项目取2.0L/（m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·d），每日洒水1次，冬季不洒水，年洒水约150天，本项目厂内浇洒道路用水量约为</w:t>
            </w:r>
            <w:r>
              <w:rPr>
                <w:rFonts w:hint="eastAsia" w:ascii="Times New Roman" w:hAnsi="Times New Roman" w:cs="Times New Roman"/>
                <w:color w:val="auto"/>
                <w:sz w:val="24"/>
                <w:szCs w:val="24"/>
                <w:lang w:val="en-US" w:eastAsia="zh-CN"/>
              </w:rPr>
              <w:t>0.64</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eastAsia" w:ascii="Times New Roman" w:hAnsi="Times New Roman" w:cs="Times New Roman"/>
                <w:color w:val="auto"/>
                <w:sz w:val="24"/>
                <w:szCs w:val="24"/>
                <w:lang w:val="en-US" w:eastAsia="zh-CN"/>
              </w:rPr>
              <w:t>192</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r>
              <w:rPr>
                <w:rFonts w:hint="default" w:ascii="Times New Roman" w:hAnsi="Times New Roman" w:eastAsia="宋体" w:cs="Times New Roman"/>
                <w:color w:val="auto"/>
                <w:sz w:val="24"/>
                <w:highlight w:val="none"/>
              </w:rPr>
              <w:t>地面冲洗废水</w:t>
            </w:r>
            <w:r>
              <w:rPr>
                <w:rFonts w:hint="default" w:ascii="Times New Roman" w:hAnsi="Times New Roman" w:eastAsia="宋体" w:cs="Times New Roman"/>
                <w:color w:val="auto"/>
                <w:sz w:val="24"/>
                <w:highlight w:val="none"/>
                <w:lang w:eastAsia="zh-CN"/>
              </w:rPr>
              <w:t>排</w:t>
            </w:r>
            <w:r>
              <w:rPr>
                <w:rFonts w:hint="default" w:ascii="Times New Roman" w:hAnsi="Times New Roman" w:eastAsia="宋体" w:cs="Times New Roman"/>
                <w:color w:val="auto"/>
                <w:sz w:val="24"/>
                <w:highlight w:val="none"/>
              </w:rPr>
              <w:t>入</w:t>
            </w:r>
            <w:r>
              <w:rPr>
                <w:rFonts w:hint="eastAsia" w:ascii="Times New Roman" w:hAnsi="Times New Roman" w:cs="Times New Roman"/>
                <w:color w:val="auto"/>
                <w:sz w:val="24"/>
                <w:highlight w:val="none"/>
                <w:lang w:eastAsia="zh-CN"/>
              </w:rPr>
              <w:t>循环水池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循环使用。</w:t>
            </w:r>
          </w:p>
          <w:p w14:paraId="30A31DF0">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绿化用水</w:t>
            </w:r>
          </w:p>
          <w:p w14:paraId="7BF0A35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szCs w:val="24"/>
                <w:highlight w:val="none"/>
              </w:rPr>
              <w:t>本项目厂内绿化面积为</w:t>
            </w:r>
            <w:r>
              <w:rPr>
                <w:rFonts w:hint="eastAsia" w:ascii="Times New Roman" w:hAnsi="Times New Roman" w:cs="Times New Roman"/>
                <w:color w:val="auto"/>
                <w:sz w:val="24"/>
                <w:szCs w:val="24"/>
                <w:highlight w:val="none"/>
                <w:lang w:val="en-US" w:eastAsia="zh-CN"/>
              </w:rPr>
              <w:t>3000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。根据《煤炭洗选工程设计规范》（GB50359-2016）中绿化用水，用水定额为1.0~3.0L/（m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·d），本项目取2.0L/（m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·d），冬季无需绿化浇水，年用水150d，用水量为</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w:t>
            </w:r>
            <w:r>
              <w:rPr>
                <w:rFonts w:hint="eastAsia" w:ascii="Times New Roman" w:hAnsi="Times New Roman" w:cs="Times New Roman"/>
                <w:color w:val="auto"/>
                <w:sz w:val="24"/>
                <w:szCs w:val="24"/>
                <w:highlight w:val="none"/>
                <w:lang w:val="en-US" w:eastAsia="zh-CN"/>
              </w:rPr>
              <w:t>1980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p>
          <w:p w14:paraId="040D33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rPr>
              <w:t>生活污水</w:t>
            </w:r>
          </w:p>
          <w:p w14:paraId="468D5A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olor w:val="auto"/>
                <w:sz w:val="24"/>
                <w:szCs w:val="24"/>
                <w:highlight w:val="none"/>
                <w:lang w:val="en-US" w:eastAsia="zh-CN"/>
              </w:rPr>
            </w:pPr>
            <w:r>
              <w:rPr>
                <w:rFonts w:hint="eastAsia" w:ascii="Times New Roman" w:hAnsi="Times New Roman"/>
                <w:color w:val="auto"/>
                <w:sz w:val="24"/>
                <w:szCs w:val="24"/>
                <w:highlight w:val="none"/>
                <w:lang w:eastAsia="zh-CN"/>
              </w:rPr>
              <w:t>本项目</w:t>
            </w:r>
            <w:r>
              <w:rPr>
                <w:rFonts w:ascii="Times New Roman" w:hAnsi="Times New Roman"/>
                <w:color w:val="auto"/>
                <w:sz w:val="24"/>
                <w:szCs w:val="24"/>
                <w:highlight w:val="none"/>
              </w:rPr>
              <w:t>生活用水为员工生活用水，共</w:t>
            </w:r>
            <w:r>
              <w:rPr>
                <w:rFonts w:hint="eastAsia" w:ascii="Times New Roman" w:hAnsi="Times New Roman"/>
                <w:color w:val="auto"/>
                <w:sz w:val="24"/>
                <w:szCs w:val="24"/>
                <w:highlight w:val="none"/>
              </w:rPr>
              <w:t>32</w:t>
            </w:r>
            <w:r>
              <w:rPr>
                <w:rFonts w:ascii="Times New Roman" w:hAnsi="Times New Roman"/>
                <w:color w:val="auto"/>
                <w:sz w:val="24"/>
                <w:szCs w:val="24"/>
                <w:highlight w:val="none"/>
              </w:rPr>
              <w:t>人，</w:t>
            </w:r>
            <w:r>
              <w:rPr>
                <w:rFonts w:hint="eastAsia" w:ascii="Times New Roman" w:hAnsi="Times New Roman"/>
                <w:color w:val="auto"/>
                <w:sz w:val="24"/>
                <w:szCs w:val="24"/>
                <w:highlight w:val="none"/>
                <w:lang w:eastAsia="zh-CN"/>
              </w:rPr>
              <w:t>本项目位于农村地区，根据黑龙江省地方标准</w:t>
            </w:r>
            <w:r>
              <w:rPr>
                <w:rFonts w:hint="eastAsia" w:ascii="Times New Roman" w:hAnsi="Times New Roman"/>
                <w:color w:val="auto"/>
                <w:sz w:val="24"/>
                <w:szCs w:val="24"/>
                <w:highlight w:val="none"/>
                <w:lang w:val="en-US" w:eastAsia="zh-CN"/>
              </w:rPr>
              <w:t>《用水定额》（DB23/T 727-2021）</w:t>
            </w:r>
            <w:r>
              <w:rPr>
                <w:rFonts w:hint="eastAsia" w:ascii="Times New Roman" w:hAnsi="Times New Roman"/>
                <w:color w:val="auto"/>
                <w:sz w:val="24"/>
                <w:szCs w:val="24"/>
                <w:highlight w:val="none"/>
                <w:lang w:eastAsia="zh-CN"/>
              </w:rPr>
              <w:t>，农村居民生活用水定额为</w:t>
            </w:r>
            <w:r>
              <w:rPr>
                <w:rFonts w:hint="eastAsia" w:ascii="Times New Roman" w:hAnsi="Times New Roman"/>
                <w:color w:val="auto"/>
                <w:sz w:val="24"/>
                <w:szCs w:val="24"/>
                <w:highlight w:val="none"/>
                <w:lang w:val="en-US" w:eastAsia="zh-CN"/>
              </w:rPr>
              <w:t>80L/（人、d）</w:t>
            </w:r>
            <w:r>
              <w:rPr>
                <w:rFonts w:ascii="Times New Roman" w:hAnsi="Times New Roman"/>
                <w:color w:val="auto"/>
                <w:sz w:val="24"/>
                <w:szCs w:val="24"/>
                <w:highlight w:val="none"/>
              </w:rPr>
              <w:t>，</w:t>
            </w:r>
            <w:r>
              <w:rPr>
                <w:rFonts w:hint="eastAsia" w:ascii="Times New Roman" w:hAnsi="Times New Roman"/>
                <w:color w:val="auto"/>
                <w:sz w:val="24"/>
                <w:szCs w:val="24"/>
                <w:highlight w:val="none"/>
                <w:lang w:eastAsia="zh-CN"/>
              </w:rPr>
              <w:t>本项目员工生活用水量按</w:t>
            </w:r>
            <w:r>
              <w:rPr>
                <w:rFonts w:hint="eastAsia" w:ascii="Times New Roman" w:hAnsi="Times New Roman"/>
                <w:color w:val="auto"/>
                <w:sz w:val="24"/>
                <w:szCs w:val="24"/>
                <w:highlight w:val="none"/>
                <w:lang w:val="en-US" w:eastAsia="zh-CN"/>
              </w:rPr>
              <w:t>80L/（人、d）计算</w:t>
            </w:r>
            <w:r>
              <w:rPr>
                <w:rFonts w:hint="eastAsia" w:ascii="Times New Roman" w:hAnsi="Times New Roman"/>
                <w:color w:val="auto"/>
                <w:sz w:val="24"/>
                <w:szCs w:val="24"/>
                <w:highlight w:val="none"/>
                <w:lang w:eastAsia="zh-CN"/>
              </w:rPr>
              <w:t>，则本项目</w:t>
            </w:r>
            <w:r>
              <w:rPr>
                <w:rFonts w:ascii="Times New Roman" w:hAnsi="Times New Roman"/>
                <w:color w:val="auto"/>
                <w:sz w:val="24"/>
                <w:szCs w:val="24"/>
                <w:highlight w:val="none"/>
              </w:rPr>
              <w:t>生活用水量为</w:t>
            </w:r>
            <w:r>
              <w:rPr>
                <w:rFonts w:hint="eastAsia" w:ascii="Times New Roman" w:hAnsi="Times New Roman"/>
                <w:color w:val="auto"/>
                <w:sz w:val="24"/>
                <w:szCs w:val="24"/>
                <w:highlight w:val="none"/>
                <w:lang w:val="en-US" w:eastAsia="zh-CN"/>
              </w:rPr>
              <w:t>2.56</w:t>
            </w:r>
            <w:r>
              <w:rPr>
                <w:rFonts w:ascii="Times New Roman" w:hAnsi="Times New Roman"/>
                <w:color w:val="auto"/>
                <w:sz w:val="24"/>
                <w:szCs w:val="24"/>
                <w:highlight w:val="none"/>
              </w:rPr>
              <w:t>t/d，</w:t>
            </w:r>
            <w:r>
              <w:rPr>
                <w:rFonts w:hint="eastAsia" w:ascii="Times New Roman" w:hAnsi="Times New Roman"/>
                <w:color w:val="auto"/>
                <w:sz w:val="24"/>
                <w:szCs w:val="24"/>
                <w:highlight w:val="none"/>
                <w:lang w:val="en-US" w:eastAsia="zh-CN"/>
              </w:rPr>
              <w:t>844.8</w:t>
            </w:r>
            <w:r>
              <w:rPr>
                <w:rFonts w:ascii="Times New Roman" w:hAnsi="Times New Roman"/>
                <w:color w:val="auto"/>
                <w:sz w:val="24"/>
                <w:szCs w:val="24"/>
                <w:highlight w:val="none"/>
              </w:rPr>
              <w:t>t/a。</w:t>
            </w:r>
          </w:p>
          <w:p w14:paraId="06788239">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员工生活污水，排放量按用水量的80 %计，约为</w:t>
            </w:r>
            <w:r>
              <w:rPr>
                <w:rFonts w:hint="eastAsia" w:ascii="Times New Roman" w:hAnsi="Times New Roman" w:cs="Times New Roman"/>
                <w:color w:val="auto"/>
                <w:sz w:val="24"/>
                <w:highlight w:val="none"/>
                <w:lang w:val="en-US" w:eastAsia="zh-CN"/>
              </w:rPr>
              <w:t>2.05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eastAsia" w:ascii="Times New Roman" w:hAnsi="Times New Roman" w:cs="Times New Roman"/>
                <w:color w:val="auto"/>
                <w:sz w:val="24"/>
                <w:highlight w:val="none"/>
                <w:lang w:val="en-US" w:eastAsia="zh-CN"/>
              </w:rPr>
              <w:t>676.5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eastAsia" w:ascii="Times New Roman" w:hAnsi="Times New Roman" w:cs="Times New Roman"/>
                <w:color w:val="auto"/>
                <w:sz w:val="24"/>
                <w:highlight w:val="none"/>
                <w:lang w:eastAsia="zh-CN"/>
              </w:rPr>
              <w:t>，</w:t>
            </w:r>
            <w:r>
              <w:rPr>
                <w:rFonts w:hint="eastAsia" w:cs="Times New Roman"/>
                <w:color w:val="auto"/>
                <w:sz w:val="24"/>
                <w:highlight w:val="none"/>
                <w:lang w:eastAsia="zh-CN"/>
              </w:rPr>
              <w:t>生活污水排入防渗旱厕，定期清掏，外运至污水处理厂</w:t>
            </w:r>
            <w:r>
              <w:rPr>
                <w:rFonts w:hint="default" w:ascii="Times New Roman" w:hAnsi="Times New Roman" w:eastAsia="宋体" w:cs="Times New Roman"/>
                <w:color w:val="auto"/>
                <w:sz w:val="24"/>
                <w:highlight w:val="none"/>
              </w:rPr>
              <w:t>。</w:t>
            </w:r>
          </w:p>
          <w:p w14:paraId="1F2DADE3">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highlight w:val="none"/>
              </w:rPr>
              <w:t>初期雨水</w:t>
            </w:r>
          </w:p>
          <w:p w14:paraId="32575204">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初期雨水：在车间和堆场四周修建排水沟</w:t>
            </w:r>
            <w:r>
              <w:rPr>
                <w:rFonts w:hint="default" w:ascii="Times New Roman" w:hAnsi="Times New Roman" w:eastAsia="宋体" w:cs="Times New Roman"/>
                <w:color w:val="auto"/>
                <w:sz w:val="24"/>
                <w:szCs w:val="24"/>
                <w:highlight w:val="none"/>
                <w:lang w:eastAsia="zh-CN"/>
              </w:rPr>
              <w:t>收集至</w:t>
            </w:r>
            <w:r>
              <w:rPr>
                <w:rFonts w:hint="default" w:ascii="Times New Roman" w:hAnsi="Times New Roman" w:eastAsia="宋体" w:cs="Times New Roman"/>
                <w:color w:val="auto"/>
                <w:sz w:val="24"/>
                <w:szCs w:val="24"/>
                <w:highlight w:val="none"/>
                <w:lang w:val="en-US" w:eastAsia="zh-CN"/>
              </w:rPr>
              <w:t>沉淀</w:t>
            </w:r>
            <w:r>
              <w:rPr>
                <w:rFonts w:hint="default" w:ascii="Times New Roman" w:hAnsi="Times New Roman" w:eastAsia="宋体" w:cs="Times New Roman"/>
                <w:color w:val="auto"/>
                <w:sz w:val="24"/>
                <w:szCs w:val="24"/>
                <w:highlight w:val="none"/>
              </w:rPr>
              <w:t>池后回用于</w:t>
            </w:r>
            <w:r>
              <w:rPr>
                <w:rFonts w:hint="default" w:ascii="Times New Roman" w:hAnsi="Times New Roman" w:eastAsia="宋体" w:cs="Times New Roman"/>
                <w:color w:val="auto"/>
                <w:sz w:val="24"/>
                <w:szCs w:val="24"/>
                <w:highlight w:val="none"/>
                <w:lang w:val="en-US" w:eastAsia="zh-CN"/>
              </w:rPr>
              <w:t>降尘</w:t>
            </w:r>
            <w:r>
              <w:rPr>
                <w:rFonts w:hint="default" w:ascii="Times New Roman" w:hAnsi="Times New Roman" w:eastAsia="宋体" w:cs="Times New Roman"/>
                <w:color w:val="auto"/>
                <w:sz w:val="24"/>
                <w:szCs w:val="24"/>
                <w:highlight w:val="none"/>
              </w:rPr>
              <w:t>。初期雨水按照暴雨强度公式，进而推出雨水汇水量，暴雨强度根据软件计算：</w:t>
            </w:r>
          </w:p>
          <w:p w14:paraId="29F710C2">
            <w:pPr>
              <w:spacing w:line="360" w:lineRule="auto"/>
              <w:ind w:firstLine="480"/>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鸡西市暴雨强度公式（修订）</w:t>
            </w:r>
          </w:p>
          <w:p w14:paraId="5FEE8860">
            <w:pPr>
              <w:pStyle w:val="74"/>
              <w:jc w:val="center"/>
              <w:rPr>
                <w:rFonts w:hint="eastAsia" w:ascii="Times New Roman" w:hAnsi="Times New Roman" w:eastAsia="宋体"/>
                <w:color w:val="auto"/>
                <w:sz w:val="24"/>
                <w:szCs w:val="24"/>
                <w:lang w:eastAsia="zh-CN"/>
              </w:rPr>
            </w:pPr>
            <w:r>
              <w:rPr>
                <w:rFonts w:hint="eastAsia" w:ascii="Times New Roman" w:hAnsi="Times New Roman" w:eastAsia="宋体"/>
                <w:color w:val="auto"/>
                <w:position w:val="-24"/>
                <w:sz w:val="24"/>
                <w:szCs w:val="24"/>
                <w:lang w:eastAsia="zh-CN"/>
              </w:rPr>
              <w:object>
                <v:shape id="_x0000_i1025" o:spt="75" type="#_x0000_t75" style="height:31pt;width:146pt;" o:ole="t" filled="f" o:preferrelative="t" stroked="f" coordsize="21600,21600">
                  <v:path/>
                  <v:fill on="f" focussize="0,0"/>
                  <v:stroke on="f"/>
                  <v:imagedata r:id="rId16" o:title=""/>
                  <o:lock v:ext="edit" aspectratio="t"/>
                  <w10:wrap type="none"/>
                  <w10:anchorlock/>
                </v:shape>
                <o:OLEObject Type="Embed" ProgID="Equation.KSEE3" ShapeID="_x0000_i1025" DrawAspect="Content" ObjectID="_1468075726" r:id="rId15">
                  <o:LockedField>false</o:LockedField>
                </o:OLEObject>
              </w:object>
            </w:r>
          </w:p>
          <w:p w14:paraId="7FD5DBDB">
            <w:pPr>
              <w:pStyle w:val="74"/>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baseline"/>
              <w:rPr>
                <w:rFonts w:hint="default" w:ascii="Times New Roman" w:hAnsi="Times New Roman" w:eastAsia="宋体" w:cs="Times New Roman"/>
                <w:color w:val="auto"/>
                <w:sz w:val="24"/>
                <w:szCs w:val="24"/>
                <w:lang w:eastAsia="zh-CN"/>
              </w:rPr>
            </w:pPr>
            <w:r>
              <w:rPr>
                <w:rFonts w:hint="eastAsia" w:ascii="Times New Roman" w:hAnsi="Times New Roman" w:eastAsia="宋体"/>
                <w:color w:val="auto"/>
                <w:sz w:val="24"/>
                <w:szCs w:val="24"/>
                <w:lang w:eastAsia="zh-CN"/>
              </w:rPr>
              <w:t>其中</w:t>
            </w:r>
            <w:r>
              <w:rPr>
                <w:rFonts w:hint="eastAsia" w:ascii="Times New Roman" w:hAnsi="Times New Roman"/>
                <w:color w:val="auto"/>
                <w:sz w:val="24"/>
                <w:szCs w:val="24"/>
                <w:lang w:eastAsia="zh-CN"/>
              </w:rPr>
              <w:t>：</w:t>
            </w:r>
            <w:r>
              <w:rPr>
                <w:rFonts w:hint="default" w:ascii="Times New Roman" w:hAnsi="Times New Roman" w:eastAsia="宋体" w:cs="Times New Roman"/>
                <w:color w:val="auto"/>
                <w:sz w:val="24"/>
                <w:szCs w:val="24"/>
                <w:lang w:eastAsia="zh-CN"/>
              </w:rPr>
              <w:t>q一暴雨强度</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升</w:t>
            </w:r>
            <w:r>
              <w:rPr>
                <w:rFonts w:hint="default"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eastAsia="zh-CN"/>
              </w:rPr>
              <w:t>秒·公顷</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182.47；</w:t>
            </w:r>
          </w:p>
          <w:p w14:paraId="02D60C1C">
            <w:pPr>
              <w:pStyle w:val="74"/>
              <w:keepNext w:val="0"/>
              <w:keepLines w:val="0"/>
              <w:pageBreakBefore w:val="0"/>
              <w:widowControl w:val="0"/>
              <w:kinsoku/>
              <w:wordWrap/>
              <w:overflowPunct/>
              <w:topLinePunct w:val="0"/>
              <w:autoSpaceDE/>
              <w:autoSpaceDN/>
              <w:bidi w:val="0"/>
              <w:adjustRightInd w:val="0"/>
              <w:snapToGrid w:val="0"/>
              <w:ind w:left="0" w:leftChars="0" w:firstLine="1200" w:firstLineChars="500"/>
              <w:textAlignment w:val="baseline"/>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val="en-US" w:eastAsia="zh-CN"/>
              </w:rPr>
              <w:t>P</w:t>
            </w:r>
            <w:r>
              <w:rPr>
                <w:rFonts w:hint="default" w:ascii="Times New Roman" w:hAnsi="Times New Roman" w:eastAsia="宋体" w:cs="Times New Roman"/>
                <w:color w:val="auto"/>
                <w:sz w:val="24"/>
                <w:szCs w:val="24"/>
                <w:lang w:eastAsia="zh-CN"/>
              </w:rPr>
              <w:t>一设计重现期</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单位</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年</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，2；</w:t>
            </w:r>
          </w:p>
          <w:p w14:paraId="19941272">
            <w:pPr>
              <w:pStyle w:val="74"/>
              <w:keepNext w:val="0"/>
              <w:keepLines w:val="0"/>
              <w:pageBreakBefore w:val="0"/>
              <w:widowControl w:val="0"/>
              <w:kinsoku/>
              <w:wordWrap/>
              <w:overflowPunct/>
              <w:topLinePunct w:val="0"/>
              <w:autoSpaceDE/>
              <w:autoSpaceDN/>
              <w:bidi w:val="0"/>
              <w:adjustRightInd w:val="0"/>
              <w:snapToGrid w:val="0"/>
              <w:ind w:left="0" w:leftChars="0" w:firstLine="1200" w:firstLineChars="5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t一降水历时</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单位</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lang w:eastAsia="zh-CN"/>
              </w:rPr>
              <w:t>分钟</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15；</w:t>
            </w:r>
          </w:p>
          <w:p w14:paraId="2E538950">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雨水流量按下式计算：</w:t>
            </w:r>
          </w:p>
          <w:p w14:paraId="434337DF">
            <w:pPr>
              <w:spacing w:line="360" w:lineRule="auto"/>
              <w:ind w:firstLine="1200" w:firstLineChars="5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Q=q•ψ•F=</w:t>
            </w:r>
            <w:r>
              <w:rPr>
                <w:rFonts w:hint="default" w:ascii="Times New Roman" w:hAnsi="Times New Roman" w:cs="Times New Roman"/>
                <w:color w:val="auto"/>
                <w:sz w:val="24"/>
                <w:szCs w:val="24"/>
                <w:lang w:val="en-US" w:eastAsia="zh-CN"/>
              </w:rPr>
              <w:t>182.47</w:t>
            </w:r>
            <w:r>
              <w:rPr>
                <w:rFonts w:hint="default" w:ascii="Times New Roman" w:hAnsi="Times New Roman" w:eastAsia="宋体" w:cs="Times New Roman"/>
                <w:color w:val="auto"/>
                <w:sz w:val="24"/>
                <w:szCs w:val="24"/>
              </w:rPr>
              <w:t>L/s•ha×0.9×</w:t>
            </w:r>
            <w:r>
              <w:rPr>
                <w:rFonts w:hint="default" w:ascii="Times New Roman" w:hAnsi="Times New Roman" w:eastAsia="宋体" w:cs="Times New Roman"/>
                <w:color w:val="auto"/>
                <w:sz w:val="24"/>
                <w:szCs w:val="24"/>
                <w:lang w:val="en-US" w:eastAsia="zh-CN"/>
              </w:rPr>
              <w:t>1.6</w:t>
            </w:r>
            <w:r>
              <w:rPr>
                <w:rFonts w:hint="default" w:ascii="Times New Roman" w:hAnsi="Times New Roman" w:eastAsia="宋体" w:cs="Times New Roman"/>
                <w:color w:val="auto"/>
                <w:sz w:val="24"/>
                <w:szCs w:val="24"/>
              </w:rPr>
              <w:t>ha=</w:t>
            </w:r>
            <w:r>
              <w:rPr>
                <w:rFonts w:hint="default" w:ascii="Times New Roman" w:hAnsi="Times New Roman" w:cs="Times New Roman"/>
                <w:color w:val="auto"/>
                <w:sz w:val="24"/>
                <w:szCs w:val="24"/>
                <w:lang w:val="en-US" w:eastAsia="zh-CN"/>
              </w:rPr>
              <w:t>476.24</w:t>
            </w:r>
            <w:r>
              <w:rPr>
                <w:rFonts w:hint="default" w:ascii="Times New Roman" w:hAnsi="Times New Roman" w:eastAsia="宋体" w:cs="Times New Roman"/>
                <w:color w:val="auto"/>
                <w:sz w:val="24"/>
                <w:szCs w:val="24"/>
              </w:rPr>
              <w:t>L/s</w:t>
            </w:r>
          </w:p>
          <w:p w14:paraId="06C7312D">
            <w:pPr>
              <w:spacing w:line="360" w:lineRule="auto"/>
              <w:ind w:firstLine="1200" w:firstLineChars="5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Q─雨水设计流量（l/s）；</w:t>
            </w:r>
          </w:p>
          <w:p w14:paraId="00761BE8">
            <w:pPr>
              <w:spacing w:line="360" w:lineRule="auto"/>
              <w:ind w:firstLine="1200" w:firstLineChars="5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ψ─径流系数，</w:t>
            </w:r>
            <w:r>
              <w:rPr>
                <w:rFonts w:hint="default" w:ascii="Times New Roman" w:hAnsi="Times New Roman" w:cs="Times New Roman"/>
                <w:color w:val="auto"/>
                <w:sz w:val="24"/>
                <w:szCs w:val="24"/>
                <w:lang w:eastAsia="zh-CN"/>
              </w:rPr>
              <w:t>本项目场地结构为水泥地，</w:t>
            </w:r>
            <w:r>
              <w:rPr>
                <w:rFonts w:hint="default" w:ascii="Times New Roman" w:hAnsi="Times New Roman" w:eastAsia="宋体" w:cs="Times New Roman"/>
                <w:color w:val="auto"/>
                <w:sz w:val="24"/>
                <w:szCs w:val="24"/>
              </w:rPr>
              <w:t>取ψ=0.9；</w:t>
            </w:r>
          </w:p>
          <w:p w14:paraId="5F84EAC3">
            <w:pPr>
              <w:spacing w:line="360" w:lineRule="auto"/>
              <w:ind w:firstLine="1200" w:firstLineChars="5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F─汇水面积（ha），汇水面积取堆场、车间等面积为</w:t>
            </w:r>
            <w:r>
              <w:rPr>
                <w:rFonts w:hint="default" w:ascii="Times New Roman" w:hAnsi="Times New Roman" w:cs="Times New Roman"/>
                <w:color w:val="auto"/>
                <w:sz w:val="24"/>
                <w:szCs w:val="24"/>
                <w:lang w:val="en-US" w:eastAsia="zh-CN"/>
              </w:rPr>
              <w:t>2.9</w:t>
            </w:r>
            <w:r>
              <w:rPr>
                <w:rFonts w:hint="default" w:ascii="Times New Roman" w:hAnsi="Times New Roman" w:eastAsia="宋体" w:cs="Times New Roman"/>
                <w:color w:val="auto"/>
                <w:sz w:val="24"/>
                <w:szCs w:val="24"/>
              </w:rPr>
              <w:t>ha；</w:t>
            </w:r>
          </w:p>
          <w:p w14:paraId="7F7F4444">
            <w:pPr>
              <w:spacing w:line="360" w:lineRule="auto"/>
              <w:ind w:firstLine="1200" w:firstLineChars="5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q—暴雨量，L/s·ha；</w:t>
            </w:r>
          </w:p>
          <w:p w14:paraId="7D0252EA">
            <w:pPr>
              <w:spacing w:line="360" w:lineRule="auto"/>
              <w:ind w:firstLine="1200" w:firstLineChars="5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lang w:val="en-US" w:eastAsia="zh-CN"/>
              </w:rPr>
              <w:t>138.88</w:t>
            </w:r>
            <w:r>
              <w:rPr>
                <w:rFonts w:hint="default" w:ascii="Times New Roman" w:hAnsi="Times New Roman" w:eastAsia="宋体" w:cs="Times New Roman"/>
                <w:color w:val="auto"/>
                <w:sz w:val="24"/>
                <w:szCs w:val="24"/>
              </w:rPr>
              <w:t>L/s×900s/1000=</w:t>
            </w:r>
            <w:r>
              <w:rPr>
                <w:rFonts w:hint="default" w:ascii="Times New Roman" w:hAnsi="Times New Roman" w:eastAsia="宋体" w:cs="Times New Roman"/>
                <w:color w:val="auto"/>
                <w:sz w:val="24"/>
                <w:szCs w:val="24"/>
                <w:lang w:val="en-US" w:eastAsia="zh-CN"/>
              </w:rPr>
              <w:t>124.995</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p>
          <w:p w14:paraId="124C62E3">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eastAsia="zh-CN"/>
              </w:rPr>
              <w:t>暴雨情况下，初期雨水15min汇水量为</w:t>
            </w:r>
            <w:r>
              <w:rPr>
                <w:rFonts w:hint="default" w:ascii="Times New Roman" w:hAnsi="Times New Roman" w:eastAsia="宋体" w:cs="Times New Roman"/>
                <w:color w:val="auto"/>
                <w:sz w:val="24"/>
                <w:szCs w:val="24"/>
                <w:highlight w:val="none"/>
                <w:lang w:val="en-US" w:eastAsia="zh-CN"/>
              </w:rPr>
              <w:t>124.995</w:t>
            </w:r>
            <w:r>
              <w:rPr>
                <w:rFonts w:hint="default" w:ascii="Times New Roman" w:hAnsi="Times New Roman" w:eastAsia="宋体" w:cs="Times New Roman"/>
                <w:color w:val="auto"/>
                <w:sz w:val="24"/>
                <w:szCs w:val="24"/>
                <w:highlight w:val="none"/>
                <w:lang w:eastAsia="zh-CN"/>
              </w:rPr>
              <w:t>m</w:t>
            </w:r>
            <w:r>
              <w:rPr>
                <w:rFonts w:hint="default" w:ascii="Times New Roman" w:hAnsi="Times New Roman" w:eastAsia="宋体" w:cs="Times New Roman"/>
                <w:color w:val="auto"/>
                <w:sz w:val="24"/>
                <w:szCs w:val="24"/>
                <w:highlight w:val="none"/>
                <w:vertAlign w:val="superscript"/>
                <w:lang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1249.95</w:t>
            </w:r>
            <w:r>
              <w:rPr>
                <w:rFonts w:hint="default" w:ascii="Times New Roman" w:hAnsi="Times New Roman" w:eastAsia="宋体" w:cs="Times New Roman"/>
                <w:color w:val="auto"/>
                <w:sz w:val="24"/>
                <w:szCs w:val="24"/>
                <w:highlight w:val="none"/>
                <w:lang w:eastAsia="zh-CN"/>
              </w:rPr>
              <w:t>m</w:t>
            </w:r>
            <w:r>
              <w:rPr>
                <w:rFonts w:hint="default" w:ascii="Times New Roman" w:hAnsi="Times New Roman" w:eastAsia="宋体" w:cs="Times New Roman"/>
                <w:color w:val="auto"/>
                <w:sz w:val="24"/>
                <w:szCs w:val="24"/>
                <w:highlight w:val="none"/>
                <w:vertAlign w:val="superscript"/>
                <w:lang w:eastAsia="zh-CN"/>
              </w:rPr>
              <w:t>3</w:t>
            </w:r>
            <w:r>
              <w:rPr>
                <w:rFonts w:hint="default" w:ascii="Times New Roman" w:hAnsi="Times New Roman" w:eastAsia="宋体" w:cs="Times New Roman"/>
                <w:color w:val="auto"/>
                <w:sz w:val="24"/>
                <w:szCs w:val="24"/>
                <w:highlight w:val="none"/>
                <w:lang w:val="en-US" w:eastAsia="zh-CN"/>
              </w:rPr>
              <w:t>/a，堆场四周修建排水沟，汇水处修建容积240</w:t>
            </w:r>
            <w:r>
              <w:rPr>
                <w:rFonts w:hint="default" w:ascii="Times New Roman" w:hAnsi="Times New Roman" w:eastAsia="宋体" w:cs="Times New Roman"/>
                <w:color w:val="auto"/>
                <w:sz w:val="24"/>
                <w:szCs w:val="24"/>
                <w:highlight w:val="none"/>
                <w:lang w:eastAsia="zh-CN"/>
              </w:rPr>
              <w:t>m</w:t>
            </w:r>
            <w:r>
              <w:rPr>
                <w:rFonts w:hint="default" w:ascii="Times New Roman" w:hAnsi="Times New Roman" w:eastAsia="宋体" w:cs="Times New Roman"/>
                <w:color w:val="auto"/>
                <w:sz w:val="24"/>
                <w:szCs w:val="24"/>
                <w:highlight w:val="none"/>
                <w:vertAlign w:val="superscript"/>
                <w:lang w:eastAsia="zh-CN"/>
              </w:rPr>
              <w:t>3</w:t>
            </w:r>
            <w:r>
              <w:rPr>
                <w:rFonts w:hint="default" w:ascii="Times New Roman" w:hAnsi="Times New Roman" w:eastAsia="宋体" w:cs="Times New Roman"/>
                <w:color w:val="auto"/>
                <w:sz w:val="24"/>
                <w:szCs w:val="24"/>
                <w:highlight w:val="none"/>
                <w:lang w:val="en-US" w:eastAsia="zh-CN"/>
              </w:rPr>
              <w:t>沉淀池，收集到的</w:t>
            </w:r>
            <w:r>
              <w:rPr>
                <w:rFonts w:hint="default" w:ascii="Times New Roman" w:hAnsi="Times New Roman" w:eastAsia="宋体" w:cs="Times New Roman"/>
                <w:color w:val="auto"/>
                <w:sz w:val="24"/>
                <w:highlight w:val="none"/>
                <w:lang w:val="en-US" w:eastAsia="zh-CN"/>
              </w:rPr>
              <w:t>雨水经沉淀后</w:t>
            </w:r>
            <w:r>
              <w:rPr>
                <w:rFonts w:hint="default" w:ascii="Times New Roman" w:hAnsi="Times New Roman" w:eastAsia="宋体" w:cs="Times New Roman"/>
                <w:color w:val="auto"/>
                <w:sz w:val="24"/>
                <w:highlight w:val="none"/>
                <w:lang w:eastAsia="zh-CN"/>
              </w:rPr>
              <w:t>回用于</w:t>
            </w:r>
            <w:r>
              <w:rPr>
                <w:rFonts w:hint="default" w:ascii="Times New Roman" w:hAnsi="Times New Roman" w:eastAsia="宋体" w:cs="Times New Roman"/>
                <w:color w:val="auto"/>
                <w:sz w:val="24"/>
                <w:highlight w:val="none"/>
                <w:lang w:val="en-US" w:eastAsia="zh-CN"/>
              </w:rPr>
              <w:t>降尘。</w:t>
            </w:r>
          </w:p>
          <w:p w14:paraId="7DDF3C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全厂水平衡图见下图。</w:t>
            </w:r>
          </w:p>
          <w:p w14:paraId="5104C14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 w:val="24"/>
                <w:lang w:val="en-US" w:eastAsia="zh-CN"/>
              </w:rPr>
            </w:pPr>
            <w:r>
              <w:rPr>
                <w:rFonts w:hint="default" w:ascii="Times New Roman" w:hAnsi="Times New Roman" w:cs="Times New Roman"/>
                <w:color w:val="auto"/>
              </w:rPr>
              <w:object>
                <v:shape id="_x0000_i1026" o:spt="75" type="#_x0000_t75" style="height:234.5pt;width:317.15pt;" o:ole="t" filled="f" o:preferrelative="t" stroked="f" coordsize="21600,21600">
                  <v:path/>
                  <v:fill on="f" focussize="0,0"/>
                  <v:stroke on="f"/>
                  <v:imagedata r:id="rId18" cropbottom="-5645f" o:title=""/>
                  <o:lock v:ext="edit" aspectratio="f"/>
                  <w10:wrap type="none"/>
                  <w10:anchorlock/>
                </v:shape>
                <o:OLEObject Type="Embed" ProgID="Visio.Drawing.11" ShapeID="_x0000_i1026" DrawAspect="Content" ObjectID="_1468075727" r:id="rId17">
                  <o:LockedField>false</o:LockedField>
                </o:OLEObject>
              </w:object>
            </w:r>
          </w:p>
          <w:p w14:paraId="5FF86E75">
            <w:pPr>
              <w:spacing w:line="360" w:lineRule="auto"/>
              <w:jc w:val="center"/>
              <w:rPr>
                <w:rFonts w:hint="eastAsia" w:ascii="Times New Roman" w:hAnsi="Times New Roman"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rPr>
              <w:t>图2-</w:t>
            </w:r>
            <w:r>
              <w:rPr>
                <w:rFonts w:hint="eastAsia" w:cs="Times New Roman"/>
                <w:b/>
                <w:color w:val="auto"/>
                <w:sz w:val="21"/>
                <w:szCs w:val="21"/>
                <w:highlight w:val="none"/>
                <w:lang w:val="en-US" w:eastAsia="zh-CN"/>
              </w:rPr>
              <w:t>2</w:t>
            </w:r>
            <w:r>
              <w:rPr>
                <w:rFonts w:hint="eastAsia" w:ascii="Times New Roman" w:hAnsi="Times New Roman" w:eastAsia="宋体" w:cs="Times New Roman"/>
                <w:b/>
                <w:color w:val="auto"/>
                <w:sz w:val="21"/>
                <w:szCs w:val="21"/>
                <w:highlight w:val="none"/>
              </w:rPr>
              <w:t>全厂水平衡图   单位：t/</w:t>
            </w:r>
            <w:r>
              <w:rPr>
                <w:rFonts w:hint="eastAsia" w:ascii="Times New Roman" w:hAnsi="Times New Roman" w:cs="Times New Roman"/>
                <w:b/>
                <w:color w:val="auto"/>
                <w:sz w:val="21"/>
                <w:szCs w:val="21"/>
                <w:highlight w:val="none"/>
                <w:lang w:val="en-US" w:eastAsia="zh-CN"/>
              </w:rPr>
              <w:t>a</w:t>
            </w:r>
          </w:p>
          <w:p w14:paraId="74D89F4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④供电</w:t>
            </w:r>
          </w:p>
          <w:p w14:paraId="1935C81E">
            <w:pPr>
              <w:pStyle w:val="73"/>
              <w:numPr>
                <w:ilvl w:val="0"/>
                <w:numId w:val="0"/>
              </w:numPr>
              <w:spacing w:line="360" w:lineRule="auto"/>
              <w:ind w:firstLine="480" w:firstLineChars="200"/>
              <w:rPr>
                <w:rFonts w:hint="eastAsia" w:ascii="Times New Roman" w:hAnsi="Times New Roman"/>
                <w:color w:val="auto"/>
                <w:sz w:val="24"/>
                <w:szCs w:val="22"/>
                <w:highlight w:val="none"/>
              </w:rPr>
            </w:pPr>
            <w:r>
              <w:rPr>
                <w:rFonts w:hint="default" w:ascii="Times New Roman" w:hAnsi="Times New Roman" w:eastAsia="宋体" w:cs="Times New Roman"/>
                <w:color w:val="auto"/>
                <w:kern w:val="0"/>
                <w:sz w:val="24"/>
                <w:szCs w:val="24"/>
                <w:highlight w:val="none"/>
                <w:lang w:val="en-US" w:eastAsia="zh-CN"/>
              </w:rPr>
              <w:t>本项目用电由</w:t>
            </w:r>
            <w:r>
              <w:rPr>
                <w:rFonts w:hint="eastAsia" w:ascii="Times New Roman" w:hAnsi="Times New Roman" w:cs="Times New Roman"/>
                <w:color w:val="auto"/>
                <w:kern w:val="0"/>
                <w:sz w:val="24"/>
                <w:szCs w:val="24"/>
                <w:highlight w:val="none"/>
                <w:lang w:val="en-US" w:eastAsia="zh-CN"/>
              </w:rPr>
              <w:t>大恒山供电局</w:t>
            </w:r>
            <w:r>
              <w:rPr>
                <w:rFonts w:hint="default" w:ascii="Times New Roman" w:hAnsi="Times New Roman" w:eastAsia="宋体" w:cs="Times New Roman"/>
                <w:color w:val="auto"/>
                <w:kern w:val="0"/>
                <w:sz w:val="24"/>
                <w:szCs w:val="24"/>
                <w:highlight w:val="none"/>
                <w:lang w:val="en-US" w:eastAsia="zh-CN"/>
              </w:rPr>
              <w:t>提供</w:t>
            </w:r>
            <w:r>
              <w:rPr>
                <w:rFonts w:hint="eastAsia" w:ascii="Times New Roman" w:hAnsi="Times New Roman"/>
                <w:color w:val="auto"/>
                <w:sz w:val="24"/>
                <w:szCs w:val="22"/>
                <w:highlight w:val="none"/>
              </w:rPr>
              <w:t>，可满足项目生产及生活的用电需求。</w:t>
            </w:r>
          </w:p>
          <w:p w14:paraId="649E9061">
            <w:pPr>
              <w:tabs>
                <w:tab w:val="left" w:pos="6480"/>
              </w:tabs>
              <w:spacing w:line="360" w:lineRule="auto"/>
              <w:ind w:firstLine="482" w:firstLineChars="200"/>
              <w:rPr>
                <w:rFonts w:hint="default" w:ascii="Times New Roman" w:hAnsi="Times New Roman" w:eastAsia="宋体" w:cs="Times New Roman"/>
                <w:bCs/>
                <w:color w:val="auto"/>
                <w:sz w:val="24"/>
              </w:rPr>
            </w:pPr>
            <w:r>
              <w:rPr>
                <w:rFonts w:hint="default" w:ascii="Times New Roman" w:hAnsi="Times New Roman" w:cs="Times New Roman"/>
                <w:b/>
                <w:bCs/>
                <w:color w:val="auto"/>
                <w:sz w:val="24"/>
                <w:szCs w:val="22"/>
                <w:highlight w:val="none"/>
                <w:lang w:val="en-US" w:eastAsia="zh-CN"/>
              </w:rPr>
              <w:t>8</w:t>
            </w:r>
            <w:r>
              <w:rPr>
                <w:rFonts w:hint="default" w:ascii="Times New Roman" w:hAnsi="Times New Roman" w:eastAsia="宋体" w:cs="Times New Roman"/>
                <w:b/>
                <w:bCs/>
                <w:color w:val="auto"/>
                <w:sz w:val="24"/>
                <w:szCs w:val="22"/>
                <w:highlight w:val="none"/>
                <w:lang w:val="en-US" w:eastAsia="zh-CN"/>
              </w:rPr>
              <w:t>、</w:t>
            </w:r>
            <w:r>
              <w:rPr>
                <w:rFonts w:hint="default" w:ascii="Times New Roman" w:hAnsi="Times New Roman" w:eastAsia="宋体" w:cs="Times New Roman"/>
                <w:b/>
                <w:bCs/>
                <w:color w:val="auto"/>
                <w:sz w:val="24"/>
                <w:szCs w:val="22"/>
              </w:rPr>
              <w:t>总投资及</w:t>
            </w:r>
            <w:r>
              <w:rPr>
                <w:rFonts w:hint="default" w:ascii="Times New Roman" w:hAnsi="Times New Roman" w:eastAsia="宋体" w:cs="Times New Roman"/>
                <w:b/>
                <w:bCs/>
                <w:color w:val="auto"/>
                <w:sz w:val="24"/>
              </w:rPr>
              <w:t>环保投资</w:t>
            </w:r>
          </w:p>
          <w:p w14:paraId="5B6D5914">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本项目总投资</w:t>
            </w:r>
            <w:r>
              <w:rPr>
                <w:rFonts w:hint="eastAsia" w:ascii="Times New Roman" w:hAnsi="Times New Roman" w:cs="Times New Roman"/>
                <w:color w:val="auto"/>
                <w:sz w:val="24"/>
                <w:lang w:val="en-US" w:eastAsia="zh-CN"/>
              </w:rPr>
              <w:t>105</w:t>
            </w:r>
            <w:r>
              <w:rPr>
                <w:rFonts w:hint="default" w:ascii="Times New Roman" w:hAnsi="Times New Roman" w:eastAsia="宋体" w:cs="Times New Roman"/>
                <w:color w:val="auto"/>
                <w:sz w:val="24"/>
              </w:rPr>
              <w:t>万元，环保投资</w:t>
            </w:r>
            <w:r>
              <w:rPr>
                <w:rFonts w:hint="eastAsia" w:ascii="Times New Roman" w:hAnsi="Times New Roman" w:cs="Times New Roman"/>
                <w:color w:val="auto"/>
                <w:sz w:val="24"/>
                <w:lang w:val="en-US" w:eastAsia="zh-CN"/>
              </w:rPr>
              <w:t>780</w:t>
            </w:r>
            <w:r>
              <w:rPr>
                <w:rFonts w:hint="default" w:ascii="Times New Roman" w:hAnsi="Times New Roman" w:eastAsia="宋体" w:cs="Times New Roman"/>
                <w:color w:val="auto"/>
                <w:sz w:val="24"/>
              </w:rPr>
              <w:t>万元，占总投资的</w:t>
            </w:r>
            <w:r>
              <w:rPr>
                <w:rFonts w:hint="eastAsia" w:ascii="Times New Roman" w:hAnsi="Times New Roman" w:cs="Times New Roman"/>
                <w:color w:val="auto"/>
                <w:sz w:val="24"/>
                <w:lang w:val="en-US" w:eastAsia="zh-CN"/>
              </w:rPr>
              <w:t>15</w:t>
            </w:r>
            <w:r>
              <w:rPr>
                <w:rFonts w:hint="default" w:ascii="Times New Roman" w:hAnsi="Times New Roman" w:eastAsia="宋体" w:cs="Times New Roman"/>
                <w:color w:val="auto"/>
                <w:sz w:val="24"/>
              </w:rPr>
              <w:t>%。环保投资详见下表。</w:t>
            </w:r>
          </w:p>
          <w:p w14:paraId="6EB98A63">
            <w:pPr>
              <w:jc w:val="center"/>
              <w:rPr>
                <w:rFonts w:hint="default" w:ascii="Times New Roman" w:hAnsi="Times New Roman" w:eastAsia="宋体" w:cs="Times New Roman"/>
                <w:b/>
                <w:color w:val="auto"/>
                <w:sz w:val="21"/>
                <w:szCs w:val="21"/>
              </w:rPr>
            </w:pPr>
          </w:p>
          <w:p w14:paraId="24274D58">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w:t>
            </w:r>
            <w:r>
              <w:rPr>
                <w:rFonts w:hint="eastAsia" w:cs="Times New Roman"/>
                <w:b/>
                <w:color w:val="auto"/>
                <w:sz w:val="21"/>
                <w:szCs w:val="21"/>
                <w:lang w:val="en-US" w:eastAsia="zh-CN"/>
              </w:rPr>
              <w:t>6</w:t>
            </w:r>
            <w:r>
              <w:rPr>
                <w:rFonts w:hint="default" w:ascii="Times New Roman" w:hAnsi="Times New Roman" w:eastAsia="宋体" w:cs="Times New Roman"/>
                <w:b/>
                <w:color w:val="auto"/>
                <w:sz w:val="21"/>
                <w:szCs w:val="21"/>
              </w:rPr>
              <w:t xml:space="preserve"> 建设项目环保投资一览表</w:t>
            </w:r>
          </w:p>
          <w:tbl>
            <w:tblPr>
              <w:tblStyle w:val="31"/>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98"/>
              <w:gridCol w:w="787"/>
              <w:gridCol w:w="3875"/>
              <w:gridCol w:w="2054"/>
            </w:tblGrid>
            <w:tr w14:paraId="6D13B5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912" w:type="pct"/>
                  <w:tcBorders>
                    <w:top w:val="single" w:color="000000" w:sz="12" w:space="0"/>
                    <w:left w:val="nil"/>
                    <w:bottom w:val="single" w:color="000000" w:sz="8" w:space="0"/>
                    <w:right w:val="single" w:color="000000" w:sz="8" w:space="0"/>
                  </w:tcBorders>
                  <w:shd w:val="clear" w:color="auto" w:fill="auto"/>
                  <w:vAlign w:val="center"/>
                </w:tcPr>
                <w:p w14:paraId="223B5E90">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1"/>
                      <w:u w:val="none"/>
                    </w:rPr>
                  </w:pPr>
                  <w:r>
                    <w:rPr>
                      <w:rFonts w:hint="eastAsia" w:ascii="Times New Roman" w:hAnsi="Times New Roman" w:cs="宋体"/>
                      <w:b/>
                      <w:bCs/>
                      <w:i w:val="0"/>
                      <w:iCs w:val="0"/>
                      <w:color w:val="auto"/>
                      <w:kern w:val="0"/>
                      <w:sz w:val="21"/>
                      <w:szCs w:val="21"/>
                      <w:u w:val="none"/>
                      <w:lang w:val="en-US" w:eastAsia="zh-CN" w:bidi="ar"/>
                    </w:rPr>
                    <w:t>类别</w:t>
                  </w:r>
                </w:p>
              </w:tc>
              <w:tc>
                <w:tcPr>
                  <w:tcW w:w="2837" w:type="pct"/>
                  <w:gridSpan w:val="2"/>
                  <w:tcBorders>
                    <w:top w:val="single" w:color="000000" w:sz="12" w:space="0"/>
                    <w:left w:val="single" w:color="000000" w:sz="8" w:space="0"/>
                    <w:bottom w:val="single" w:color="000000" w:sz="8" w:space="0"/>
                    <w:right w:val="single" w:color="000000" w:sz="8" w:space="0"/>
                  </w:tcBorders>
                  <w:shd w:val="clear" w:color="auto" w:fill="auto"/>
                  <w:vAlign w:val="center"/>
                </w:tcPr>
                <w:p w14:paraId="298C1A47">
                  <w:pPr>
                    <w:keepNext w:val="0"/>
                    <w:keepLines w:val="0"/>
                    <w:widowControl/>
                    <w:suppressLineNumbers w:val="0"/>
                    <w:jc w:val="center"/>
                    <w:textAlignment w:val="center"/>
                    <w:rPr>
                      <w:rFonts w:hint="default" w:ascii="Times New Roman" w:hAnsi="Times New Roman" w:eastAsia="宋体" w:cs="宋体"/>
                      <w:b/>
                      <w:bCs/>
                      <w:i w:val="0"/>
                      <w:iCs w:val="0"/>
                      <w:color w:val="auto"/>
                      <w:sz w:val="21"/>
                      <w:szCs w:val="21"/>
                      <w:u w:val="none"/>
                      <w:lang w:val="en-US"/>
                    </w:rPr>
                  </w:pPr>
                  <w:r>
                    <w:rPr>
                      <w:rFonts w:hint="eastAsia" w:ascii="Times New Roman" w:hAnsi="Times New Roman" w:cs="宋体"/>
                      <w:b/>
                      <w:bCs/>
                      <w:i w:val="0"/>
                      <w:iCs w:val="0"/>
                      <w:color w:val="auto"/>
                      <w:kern w:val="0"/>
                      <w:sz w:val="21"/>
                      <w:szCs w:val="21"/>
                      <w:u w:val="none"/>
                      <w:lang w:val="en-US" w:eastAsia="zh-CN" w:bidi="ar"/>
                    </w:rPr>
                    <w:t>环保措施</w:t>
                  </w:r>
                </w:p>
              </w:tc>
              <w:tc>
                <w:tcPr>
                  <w:tcW w:w="1250" w:type="pct"/>
                  <w:tcBorders>
                    <w:top w:val="single" w:color="000000" w:sz="12" w:space="0"/>
                    <w:left w:val="single" w:color="000000" w:sz="8" w:space="0"/>
                    <w:bottom w:val="single" w:color="000000" w:sz="8" w:space="0"/>
                    <w:right w:val="nil"/>
                  </w:tcBorders>
                  <w:shd w:val="clear" w:color="auto" w:fill="auto"/>
                  <w:vAlign w:val="center"/>
                </w:tcPr>
                <w:p w14:paraId="5D13CB8D">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1"/>
                      <w:u w:val="none"/>
                    </w:rPr>
                  </w:pPr>
                  <w:r>
                    <w:rPr>
                      <w:rFonts w:hint="eastAsia" w:ascii="Times New Roman" w:hAnsi="Times New Roman" w:eastAsia="宋体" w:cs="宋体"/>
                      <w:b/>
                      <w:bCs/>
                      <w:i w:val="0"/>
                      <w:iCs w:val="0"/>
                      <w:color w:val="auto"/>
                      <w:kern w:val="0"/>
                      <w:sz w:val="21"/>
                      <w:szCs w:val="21"/>
                      <w:u w:val="none"/>
                      <w:lang w:val="en-US" w:eastAsia="zh-CN" w:bidi="ar"/>
                    </w:rPr>
                    <w:t>投资（万元）</w:t>
                  </w:r>
                </w:p>
              </w:tc>
            </w:tr>
            <w:tr w14:paraId="45E907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trPr>
              <w:tc>
                <w:tcPr>
                  <w:tcW w:w="912" w:type="pct"/>
                  <w:vMerge w:val="restart"/>
                  <w:tcBorders>
                    <w:top w:val="single" w:color="000000" w:sz="8" w:space="0"/>
                    <w:left w:val="nil"/>
                    <w:bottom w:val="single" w:color="000000" w:sz="8" w:space="0"/>
                    <w:right w:val="single" w:color="000000" w:sz="8" w:space="0"/>
                  </w:tcBorders>
                  <w:shd w:val="clear" w:color="auto" w:fill="auto"/>
                  <w:vAlign w:val="center"/>
                </w:tcPr>
                <w:p w14:paraId="27225BFB">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废气</w:t>
                  </w:r>
                </w:p>
              </w:tc>
              <w:tc>
                <w:tcPr>
                  <w:tcW w:w="479"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AF61A52">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无组织废气</w:t>
                  </w:r>
                </w:p>
              </w:tc>
              <w:tc>
                <w:tcPr>
                  <w:tcW w:w="235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8F58025">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受煤坑采用喷淋洒水降尘，轴流风机强制通风，进入密闭输煤栈桥。</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2E7B1DE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14:paraId="163B9A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44"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4A2A63B0">
                  <w:pPr>
                    <w:jc w:val="center"/>
                    <w:rPr>
                      <w:rFonts w:hint="eastAsia" w:ascii="Times New Roman" w:hAnsi="Times New Roman" w:eastAsia="宋体" w:cs="宋体"/>
                      <w:i w:val="0"/>
                      <w:iCs w:val="0"/>
                      <w:color w:val="auto"/>
                      <w:sz w:val="21"/>
                      <w:szCs w:val="21"/>
                      <w:u w:val="none"/>
                    </w:rPr>
                  </w:pPr>
                </w:p>
              </w:tc>
              <w:tc>
                <w:tcPr>
                  <w:tcW w:w="479"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7804832">
                  <w:pPr>
                    <w:jc w:val="center"/>
                    <w:rPr>
                      <w:rFonts w:hint="eastAsia" w:ascii="Times New Roman" w:hAnsi="Times New Roman" w:eastAsia="宋体" w:cs="宋体"/>
                      <w:i w:val="0"/>
                      <w:iCs w:val="0"/>
                      <w:color w:val="auto"/>
                      <w:sz w:val="21"/>
                      <w:szCs w:val="21"/>
                      <w:u w:val="none"/>
                    </w:rPr>
                  </w:pPr>
                </w:p>
              </w:tc>
              <w:tc>
                <w:tcPr>
                  <w:tcW w:w="235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24D2059">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上料口、运输皮带均安装在封闭的通廊中，通廊上方留有通风口，并在转载点采取洒水降尘措施，将皮带输送机设置在封闭的皮带走廊内</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0B50EB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r>
            <w:tr w14:paraId="519ACC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31CDF81D">
                  <w:pPr>
                    <w:jc w:val="center"/>
                    <w:rPr>
                      <w:rFonts w:hint="eastAsia" w:ascii="Times New Roman" w:hAnsi="Times New Roman" w:eastAsia="宋体" w:cs="宋体"/>
                      <w:i w:val="0"/>
                      <w:iCs w:val="0"/>
                      <w:color w:val="auto"/>
                      <w:sz w:val="21"/>
                      <w:szCs w:val="21"/>
                      <w:u w:val="none"/>
                    </w:rPr>
                  </w:pPr>
                </w:p>
              </w:tc>
              <w:tc>
                <w:tcPr>
                  <w:tcW w:w="479"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71B5757">
                  <w:pPr>
                    <w:jc w:val="center"/>
                    <w:rPr>
                      <w:rFonts w:hint="eastAsia" w:ascii="Times New Roman" w:hAnsi="Times New Roman" w:eastAsia="宋体" w:cs="宋体"/>
                      <w:i w:val="0"/>
                      <w:iCs w:val="0"/>
                      <w:color w:val="auto"/>
                      <w:sz w:val="21"/>
                      <w:szCs w:val="21"/>
                      <w:u w:val="none"/>
                    </w:rPr>
                  </w:pPr>
                </w:p>
              </w:tc>
              <w:tc>
                <w:tcPr>
                  <w:tcW w:w="235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2D0DB2A">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防风抑尘网</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27E362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r>
            <w:tr w14:paraId="732489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912" w:type="pct"/>
                  <w:tcBorders>
                    <w:top w:val="single" w:color="000000" w:sz="8" w:space="0"/>
                    <w:left w:val="nil"/>
                    <w:bottom w:val="single" w:color="000000" w:sz="8" w:space="0"/>
                    <w:right w:val="single" w:color="000000" w:sz="8" w:space="0"/>
                  </w:tcBorders>
                  <w:shd w:val="clear" w:color="auto" w:fill="auto"/>
                  <w:vAlign w:val="center"/>
                </w:tcPr>
                <w:p w14:paraId="04692AE8">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噪声</w:t>
                  </w: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6EDDE78E">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减振、隔声</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1F8FE4A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14:paraId="478104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0" w:hRule="atLeast"/>
              </w:trPr>
              <w:tc>
                <w:tcPr>
                  <w:tcW w:w="912" w:type="pct"/>
                  <w:vMerge w:val="restart"/>
                  <w:tcBorders>
                    <w:top w:val="single" w:color="000000" w:sz="8" w:space="0"/>
                    <w:left w:val="nil"/>
                    <w:bottom w:val="single" w:color="000000" w:sz="8" w:space="0"/>
                    <w:right w:val="single" w:color="000000" w:sz="8" w:space="0"/>
                  </w:tcBorders>
                  <w:shd w:val="clear" w:color="auto" w:fill="auto"/>
                  <w:vAlign w:val="center"/>
                </w:tcPr>
                <w:p w14:paraId="2465C30D">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废水</w:t>
                  </w: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53049B4E">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生产废水经压滤机处理后进入循环水池，循环使用不外排。</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6A6306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r>
            <w:tr w14:paraId="0471B9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3"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512474A2">
                  <w:pPr>
                    <w:jc w:val="center"/>
                    <w:rPr>
                      <w:rFonts w:hint="eastAsia" w:ascii="Times New Roman" w:hAnsi="Times New Roman" w:eastAsia="宋体" w:cs="宋体"/>
                      <w:i w:val="0"/>
                      <w:iCs w:val="0"/>
                      <w:color w:val="auto"/>
                      <w:sz w:val="21"/>
                      <w:szCs w:val="21"/>
                      <w:u w:val="none"/>
                    </w:rPr>
                  </w:pP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08915844">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cs="宋体"/>
                      <w:i w:val="0"/>
                      <w:iCs w:val="0"/>
                      <w:color w:val="auto"/>
                      <w:kern w:val="0"/>
                      <w:sz w:val="21"/>
                      <w:szCs w:val="21"/>
                      <w:u w:val="none"/>
                      <w:lang w:val="en-US" w:eastAsia="zh-CN" w:bidi="ar"/>
                    </w:rPr>
                    <w:t>生活污水排入防渗旱厕，定期清掏，外运至污水处理厂</w:t>
                  </w:r>
                  <w:r>
                    <w:rPr>
                      <w:rFonts w:hint="eastAsia" w:ascii="Times New Roman" w:hAnsi="Times New Roman" w:eastAsia="宋体" w:cs="宋体"/>
                      <w:i w:val="0"/>
                      <w:iCs w:val="0"/>
                      <w:color w:val="auto"/>
                      <w:kern w:val="0"/>
                      <w:sz w:val="21"/>
                      <w:szCs w:val="21"/>
                      <w:u w:val="none"/>
                      <w:lang w:val="en-US" w:eastAsia="zh-CN" w:bidi="ar"/>
                    </w:rPr>
                    <w:t>。</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440939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r>
            <w:tr w14:paraId="3ECEFD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5"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5DB3672A">
                  <w:pPr>
                    <w:jc w:val="center"/>
                    <w:rPr>
                      <w:rFonts w:hint="eastAsia" w:ascii="Times New Roman" w:hAnsi="Times New Roman" w:eastAsia="宋体" w:cs="宋体"/>
                      <w:i w:val="0"/>
                      <w:iCs w:val="0"/>
                      <w:color w:val="auto"/>
                      <w:sz w:val="21"/>
                      <w:szCs w:val="21"/>
                      <w:u w:val="none"/>
                    </w:rPr>
                  </w:pP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65AF60E2">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初期雨水在车间和堆场四周修建排水沟收集至沉淀池后回用于降尘。</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063EA33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14:paraId="7C232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2"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7682983F">
                  <w:pPr>
                    <w:jc w:val="center"/>
                    <w:rPr>
                      <w:rFonts w:hint="eastAsia" w:ascii="Times New Roman" w:hAnsi="Times New Roman" w:eastAsia="宋体" w:cs="宋体"/>
                      <w:i w:val="0"/>
                      <w:iCs w:val="0"/>
                      <w:color w:val="auto"/>
                      <w:sz w:val="21"/>
                      <w:szCs w:val="21"/>
                      <w:u w:val="none"/>
                    </w:rPr>
                  </w:pP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1923099D">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按照要求做地下水防渗措施</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7C11F99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14:paraId="03F4F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22778FA5">
                  <w:pPr>
                    <w:jc w:val="center"/>
                    <w:rPr>
                      <w:rFonts w:hint="eastAsia" w:ascii="Times New Roman" w:hAnsi="Times New Roman" w:eastAsia="宋体" w:cs="宋体"/>
                      <w:i w:val="0"/>
                      <w:iCs w:val="0"/>
                      <w:color w:val="auto"/>
                      <w:sz w:val="21"/>
                      <w:szCs w:val="21"/>
                      <w:u w:val="none"/>
                    </w:rPr>
                  </w:pP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2CABE34D">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事故池</w:t>
                  </w:r>
                  <w:r>
                    <w:rPr>
                      <w:rStyle w:val="101"/>
                      <w:rFonts w:ascii="Times New Roman" w:hAnsi="Times New Roman" w:eastAsia="宋体"/>
                      <w:color w:val="auto"/>
                      <w:lang w:val="en-US" w:eastAsia="zh-CN" w:bidi="ar"/>
                    </w:rPr>
                    <w:t>500m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4E4DB77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14:paraId="16F5B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912" w:type="pct"/>
                  <w:tcBorders>
                    <w:top w:val="single" w:color="000000" w:sz="8" w:space="0"/>
                    <w:left w:val="nil"/>
                    <w:bottom w:val="single" w:color="000000" w:sz="8" w:space="0"/>
                    <w:right w:val="single" w:color="000000" w:sz="8" w:space="0"/>
                  </w:tcBorders>
                  <w:shd w:val="clear" w:color="auto" w:fill="auto"/>
                  <w:vAlign w:val="center"/>
                </w:tcPr>
                <w:p w14:paraId="06AF5B8F">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危险废物</w:t>
                  </w: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04B9A1DF">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废机油暂存在危废间，委托有资质单位处置</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21D1393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r>
            <w:tr w14:paraId="3624D7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912" w:type="pct"/>
                  <w:tcBorders>
                    <w:top w:val="single" w:color="000000" w:sz="8" w:space="0"/>
                    <w:left w:val="nil"/>
                    <w:bottom w:val="single" w:color="000000" w:sz="8" w:space="0"/>
                    <w:right w:val="single" w:color="000000" w:sz="8" w:space="0"/>
                  </w:tcBorders>
                  <w:shd w:val="clear" w:color="auto" w:fill="auto"/>
                  <w:vAlign w:val="center"/>
                </w:tcPr>
                <w:p w14:paraId="07208F49">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总</w:t>
                  </w:r>
                  <w:r>
                    <w:rPr>
                      <w:rStyle w:val="101"/>
                      <w:rFonts w:ascii="Times New Roman" w:hAnsi="Times New Roman" w:eastAsia="宋体"/>
                      <w:color w:val="auto"/>
                      <w:lang w:val="en-US" w:eastAsia="zh-CN" w:bidi="ar"/>
                    </w:rPr>
                    <w:t xml:space="preserve">  </w:t>
                  </w:r>
                  <w:r>
                    <w:rPr>
                      <w:rFonts w:hint="eastAsia" w:ascii="Times New Roman" w:hAnsi="Times New Roman" w:eastAsia="宋体" w:cs="宋体"/>
                      <w:i w:val="0"/>
                      <w:iCs w:val="0"/>
                      <w:color w:val="auto"/>
                      <w:kern w:val="0"/>
                      <w:sz w:val="21"/>
                      <w:szCs w:val="21"/>
                      <w:u w:val="none"/>
                      <w:lang w:val="en-US" w:eastAsia="zh-CN" w:bidi="ar"/>
                    </w:rPr>
                    <w:t>计</w:t>
                  </w: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5C12B9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25D65C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26</w:t>
                  </w:r>
                </w:p>
              </w:tc>
            </w:tr>
            <w:tr w14:paraId="7822E2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2" w:type="pct"/>
                  <w:tcBorders>
                    <w:top w:val="single" w:color="000000" w:sz="8" w:space="0"/>
                    <w:left w:val="nil"/>
                    <w:bottom w:val="single" w:color="000000" w:sz="8" w:space="0"/>
                    <w:right w:val="single" w:color="000000" w:sz="8" w:space="0"/>
                  </w:tcBorders>
                  <w:shd w:val="clear" w:color="auto" w:fill="auto"/>
                  <w:vAlign w:val="center"/>
                </w:tcPr>
                <w:p w14:paraId="4950CDDB">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项目总投资</w:t>
                  </w: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4C9040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75D8E3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105</w:t>
                  </w:r>
                </w:p>
              </w:tc>
            </w:tr>
            <w:tr w14:paraId="434B15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2" w:type="pct"/>
                  <w:tcBorders>
                    <w:top w:val="single" w:color="000000" w:sz="8" w:space="0"/>
                    <w:left w:val="nil"/>
                    <w:bottom w:val="single" w:color="000000" w:sz="12" w:space="0"/>
                    <w:right w:val="single" w:color="000000" w:sz="8" w:space="0"/>
                  </w:tcBorders>
                  <w:shd w:val="clear" w:color="auto" w:fill="auto"/>
                  <w:vAlign w:val="center"/>
                </w:tcPr>
                <w:p w14:paraId="79D869BB">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环保投资比</w:t>
                  </w:r>
                </w:p>
              </w:tc>
              <w:tc>
                <w:tcPr>
                  <w:tcW w:w="2837" w:type="pct"/>
                  <w:gridSpan w:val="2"/>
                  <w:tcBorders>
                    <w:top w:val="single" w:color="000000" w:sz="8" w:space="0"/>
                    <w:left w:val="single" w:color="000000" w:sz="8" w:space="0"/>
                    <w:bottom w:val="single" w:color="000000" w:sz="12" w:space="0"/>
                    <w:right w:val="single" w:color="000000" w:sz="8" w:space="0"/>
                  </w:tcBorders>
                  <w:shd w:val="clear" w:color="auto" w:fill="auto"/>
                  <w:vAlign w:val="center"/>
                </w:tcPr>
                <w:p w14:paraId="208F1F1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250" w:type="pct"/>
                  <w:tcBorders>
                    <w:top w:val="single" w:color="000000" w:sz="8" w:space="0"/>
                    <w:left w:val="single" w:color="000000" w:sz="8" w:space="0"/>
                    <w:bottom w:val="single" w:color="000000" w:sz="12" w:space="0"/>
                    <w:right w:val="nil"/>
                  </w:tcBorders>
                  <w:shd w:val="clear" w:color="auto" w:fill="auto"/>
                  <w:vAlign w:val="center"/>
                </w:tcPr>
                <w:p w14:paraId="016855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r>
          </w:tbl>
          <w:p w14:paraId="30F5C9D4">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Cs/>
                <w:color w:val="auto"/>
                <w:szCs w:val="21"/>
                <w:highlight w:val="none"/>
                <w:lang w:eastAsia="zh-CN"/>
              </w:rPr>
            </w:pPr>
          </w:p>
        </w:tc>
      </w:tr>
      <w:tr w14:paraId="1309AC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7" w:hRule="atLeast"/>
          <w:jc w:val="center"/>
        </w:trPr>
        <w:tc>
          <w:tcPr>
            <w:tcW w:w="823" w:type="dxa"/>
            <w:noWrap w:val="0"/>
            <w:vAlign w:val="center"/>
          </w:tcPr>
          <w:p w14:paraId="798E4C7E">
            <w:pPr>
              <w:pStyle w:val="27"/>
              <w:adjustRightInd w:val="0"/>
              <w:snapToGrid w:val="0"/>
              <w:spacing w:before="0" w:beforeAutospacing="0" w:after="0" w:afterAutospacing="0"/>
              <w:jc w:val="center"/>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2"/>
                <w:sz w:val="24"/>
                <w:szCs w:val="32"/>
                <w:highlight w:val="none"/>
                <w:lang w:val="en-US" w:eastAsia="zh-CN" w:bidi="ar-SA"/>
              </w:rPr>
              <w:t>工</w:t>
            </w:r>
            <w:r>
              <w:rPr>
                <w:rFonts w:hint="default" w:ascii="Times New Roman" w:hAnsi="Times New Roman" w:cs="Times New Roman"/>
                <w:color w:val="auto"/>
                <w:kern w:val="2"/>
                <w:sz w:val="24"/>
                <w:szCs w:val="32"/>
                <w:highlight w:val="none"/>
                <w:lang w:val="en-US" w:eastAsia="zh-CN" w:bidi="ar-SA"/>
              </w:rPr>
              <w:t xml:space="preserve"> </w:t>
            </w:r>
            <w:r>
              <w:rPr>
                <w:rFonts w:hint="default" w:ascii="Times New Roman" w:hAnsi="Times New Roman" w:eastAsia="宋体" w:cs="Times New Roman"/>
                <w:color w:val="auto"/>
                <w:kern w:val="2"/>
                <w:sz w:val="24"/>
                <w:szCs w:val="32"/>
                <w:highlight w:val="none"/>
                <w:lang w:val="en-US" w:eastAsia="zh-CN" w:bidi="ar-SA"/>
              </w:rPr>
              <w:t>艺流</w:t>
            </w:r>
            <w:r>
              <w:rPr>
                <w:rFonts w:hint="default" w:ascii="Times New Roman" w:hAnsi="Times New Roman" w:cs="Times New Roman"/>
                <w:color w:val="auto"/>
                <w:kern w:val="2"/>
                <w:sz w:val="24"/>
                <w:szCs w:val="32"/>
                <w:highlight w:val="none"/>
                <w:lang w:val="en-US" w:eastAsia="zh-CN" w:bidi="ar-SA"/>
              </w:rPr>
              <w:t xml:space="preserve"> </w:t>
            </w:r>
            <w:r>
              <w:rPr>
                <w:rFonts w:hint="default" w:ascii="Times New Roman" w:hAnsi="Times New Roman" w:eastAsia="宋体" w:cs="Times New Roman"/>
                <w:color w:val="auto"/>
                <w:kern w:val="2"/>
                <w:sz w:val="24"/>
                <w:szCs w:val="32"/>
                <w:highlight w:val="none"/>
                <w:lang w:val="en-US" w:eastAsia="zh-CN" w:bidi="ar-SA"/>
              </w:rPr>
              <w:t>程和</w:t>
            </w:r>
            <w:r>
              <w:rPr>
                <w:rFonts w:hint="default" w:ascii="Times New Roman" w:hAnsi="Times New Roman" w:cs="Times New Roman"/>
                <w:color w:val="auto"/>
                <w:kern w:val="2"/>
                <w:sz w:val="24"/>
                <w:szCs w:val="32"/>
                <w:highlight w:val="none"/>
                <w:lang w:val="en-US" w:eastAsia="zh-CN" w:bidi="ar-SA"/>
              </w:rPr>
              <w:t xml:space="preserve"> </w:t>
            </w:r>
            <w:r>
              <w:rPr>
                <w:rFonts w:hint="default" w:ascii="Times New Roman" w:hAnsi="Times New Roman" w:eastAsia="宋体" w:cs="Times New Roman"/>
                <w:color w:val="auto"/>
                <w:kern w:val="2"/>
                <w:sz w:val="24"/>
                <w:szCs w:val="32"/>
                <w:highlight w:val="none"/>
                <w:lang w:val="en-US" w:eastAsia="zh-CN" w:bidi="ar-SA"/>
              </w:rPr>
              <w:t>产排</w:t>
            </w:r>
            <w:r>
              <w:rPr>
                <w:rFonts w:hint="default" w:ascii="Times New Roman" w:hAnsi="Times New Roman" w:cs="Times New Roman"/>
                <w:color w:val="auto"/>
                <w:kern w:val="2"/>
                <w:sz w:val="24"/>
                <w:szCs w:val="32"/>
                <w:highlight w:val="none"/>
                <w:lang w:val="en-US" w:eastAsia="zh-CN" w:bidi="ar-SA"/>
              </w:rPr>
              <w:t xml:space="preserve"> </w:t>
            </w:r>
            <w:r>
              <w:rPr>
                <w:rFonts w:hint="default" w:ascii="Times New Roman" w:hAnsi="Times New Roman" w:eastAsia="宋体" w:cs="Times New Roman"/>
                <w:color w:val="auto"/>
                <w:kern w:val="2"/>
                <w:sz w:val="24"/>
                <w:szCs w:val="32"/>
                <w:highlight w:val="none"/>
                <w:lang w:val="en-US" w:eastAsia="zh-CN" w:bidi="ar-SA"/>
              </w:rPr>
              <w:t>污环</w:t>
            </w:r>
            <w:r>
              <w:rPr>
                <w:rFonts w:hint="default" w:ascii="Times New Roman" w:hAnsi="Times New Roman" w:cs="Times New Roman"/>
                <w:color w:val="auto"/>
                <w:kern w:val="2"/>
                <w:sz w:val="24"/>
                <w:szCs w:val="32"/>
                <w:highlight w:val="none"/>
                <w:lang w:val="en-US" w:eastAsia="zh-CN" w:bidi="ar-SA"/>
              </w:rPr>
              <w:t xml:space="preserve"> </w:t>
            </w:r>
            <w:r>
              <w:rPr>
                <w:rFonts w:hint="default" w:ascii="Times New Roman" w:hAnsi="Times New Roman" w:eastAsia="宋体" w:cs="Times New Roman"/>
                <w:color w:val="auto"/>
                <w:kern w:val="2"/>
                <w:sz w:val="24"/>
                <w:szCs w:val="32"/>
                <w:highlight w:val="none"/>
                <w:lang w:val="en-US" w:eastAsia="zh-CN" w:bidi="ar-SA"/>
              </w:rPr>
              <w:t>节</w:t>
            </w:r>
          </w:p>
        </w:tc>
        <w:tc>
          <w:tcPr>
            <w:tcW w:w="8173" w:type="dxa"/>
            <w:noWrap w:val="0"/>
            <w:vAlign w:val="top"/>
          </w:tcPr>
          <w:p w14:paraId="77FC6559">
            <w:pPr>
              <w:spacing w:line="360" w:lineRule="auto"/>
              <w:rPr>
                <w:rFonts w:hint="eastAsia" w:ascii="Times New Roman" w:hAnsi="Times New Roman" w:eastAsia="宋体" w:cs="Times New Roman"/>
                <w:b/>
                <w:bCs/>
                <w:color w:val="auto"/>
                <w:sz w:val="28"/>
                <w:highlight w:val="none"/>
                <w:lang w:eastAsia="zh-CN"/>
              </w:rPr>
            </w:pPr>
            <w:r>
              <w:rPr>
                <w:rFonts w:hint="default" w:ascii="Times New Roman" w:hAnsi="Times New Roman" w:cs="Times New Roman"/>
                <w:b/>
                <w:bCs/>
                <w:color w:val="auto"/>
                <w:sz w:val="28"/>
                <w:highlight w:val="none"/>
              </w:rPr>
              <w:t>施工期工程分析</w:t>
            </w:r>
            <w:r>
              <w:rPr>
                <w:rFonts w:hint="eastAsia" w:ascii="Times New Roman" w:hAnsi="Times New Roman" w:cs="Times New Roman"/>
                <w:b/>
                <w:bCs/>
                <w:color w:val="auto"/>
                <w:sz w:val="28"/>
                <w:highlight w:val="none"/>
                <w:lang w:eastAsia="zh-CN"/>
              </w:rPr>
              <w:t>：</w:t>
            </w:r>
          </w:p>
          <w:p w14:paraId="27BD6AF7">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eastAsia" w:ascii="Times New Roman" w:hAnsi="Times New Roman"/>
                <w:color w:val="auto"/>
                <w:sz w:val="24"/>
              </w:rPr>
              <w:t>本项目</w:t>
            </w:r>
            <w:r>
              <w:rPr>
                <w:rFonts w:hint="eastAsia" w:ascii="Times New Roman" w:hAnsi="Times New Roman" w:eastAsia="宋体" w:cs="Times New Roman"/>
                <w:color w:val="auto"/>
                <w:sz w:val="24"/>
                <w:lang w:val="en-US" w:eastAsia="zh-CN"/>
              </w:rPr>
              <w:t>现已完成年洗选120万吨煤炭生产线及其配套设备的建设</w:t>
            </w:r>
            <w:r>
              <w:rPr>
                <w:rFonts w:hint="eastAsia" w:ascii="Times New Roman" w:hAnsi="Times New Roman"/>
                <w:color w:val="auto"/>
                <w:sz w:val="24"/>
                <w:lang w:val="en-US" w:eastAsia="zh-CN"/>
              </w:rPr>
              <w:t>，故本项目不对施工期进行分析</w:t>
            </w:r>
            <w:r>
              <w:rPr>
                <w:rFonts w:ascii="Times New Roman" w:hAnsi="Times New Roman"/>
                <w:color w:val="auto"/>
                <w:sz w:val="24"/>
              </w:rPr>
              <w:t>。</w:t>
            </w:r>
          </w:p>
          <w:p w14:paraId="145DC2CF">
            <w:pPr>
              <w:spacing w:line="360" w:lineRule="auto"/>
              <w:rPr>
                <w:rFonts w:hint="eastAsia" w:ascii="Times New Roman" w:hAnsi="Times New Roman" w:cs="Times New Roman"/>
                <w:color w:val="auto"/>
                <w:sz w:val="24"/>
                <w:highlight w:val="none"/>
                <w:lang w:val="en-US" w:eastAsia="zh-Hans"/>
              </w:rPr>
            </w:pPr>
            <w:r>
              <w:rPr>
                <w:rFonts w:hint="default" w:ascii="Times New Roman" w:hAnsi="Times New Roman" w:cs="Times New Roman"/>
                <w:b/>
                <w:color w:val="auto"/>
                <w:sz w:val="28"/>
                <w:szCs w:val="28"/>
                <w:highlight w:val="none"/>
              </w:rPr>
              <w:t>营运期</w:t>
            </w:r>
            <w:r>
              <w:rPr>
                <w:rFonts w:hint="default" w:ascii="Times New Roman" w:hAnsi="Times New Roman" w:cs="Times New Roman"/>
                <w:b/>
                <w:bCs/>
                <w:color w:val="auto"/>
                <w:sz w:val="28"/>
                <w:highlight w:val="none"/>
              </w:rPr>
              <w:t>工程分析</w:t>
            </w:r>
          </w:p>
          <w:p w14:paraId="26EB6F38">
            <w:pPr>
              <w:spacing w:line="360" w:lineRule="auto"/>
              <w:jc w:val="left"/>
              <w:rPr>
                <w:rFonts w:hint="default" w:ascii="Times New Roman" w:hAnsi="Times New Roman"/>
                <w:b/>
                <w:bCs/>
                <w:color w:val="auto"/>
                <w:sz w:val="24"/>
                <w:highlight w:val="none"/>
                <w:lang w:eastAsia="zh-CN"/>
              </w:rPr>
            </w:pPr>
            <w:r>
              <w:rPr>
                <w:rFonts w:hint="default" w:ascii="Times New Roman" w:hAnsi="Times New Roman"/>
                <w:b/>
                <w:bCs/>
                <w:color w:val="auto"/>
                <w:sz w:val="24"/>
                <w:highlight w:val="none"/>
                <w:lang w:eastAsia="zh-CN"/>
              </w:rPr>
              <w:t>生产工艺简述：</w:t>
            </w:r>
          </w:p>
          <w:p w14:paraId="34D84C4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采用技术成熟、易于管理的跳汰工艺，跳汰选煤指物料在垂直脉动为主的介质中，按其物理—力学性质（主要是按密度）实现分层和重力选煤方法，物料在固定运动的筛面上连续进行的跳汰过程，由于冲水、顶水和床层水平流动的综合作用，在垂直和水平流的合力作用下分选具体工艺过程简述：</w:t>
            </w:r>
          </w:p>
          <w:p w14:paraId="048E1B2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（1）原煤由运煤车辆载入原煤堆场。原煤</w:t>
            </w:r>
            <w:r>
              <w:rPr>
                <w:rFonts w:hint="default" w:ascii="Times New Roman" w:hAnsi="Times New Roman" w:cs="Times New Roman"/>
                <w:color w:val="auto"/>
                <w:sz w:val="24"/>
                <w:highlight w:val="none"/>
                <w:lang w:val="en-US" w:eastAsia="zh-CN"/>
              </w:rPr>
              <w:t>经</w:t>
            </w:r>
            <w:r>
              <w:rPr>
                <w:rFonts w:hint="default" w:ascii="Times New Roman" w:hAnsi="Times New Roman" w:cs="Times New Roman"/>
                <w:color w:val="auto"/>
                <w:sz w:val="24"/>
                <w:highlight w:val="none"/>
                <w:lang w:eastAsia="zh-CN"/>
              </w:rPr>
              <w:t>受</w:t>
            </w:r>
            <w:r>
              <w:rPr>
                <w:rFonts w:hint="default" w:ascii="Times New Roman" w:hAnsi="Times New Roman" w:cs="Times New Roman"/>
                <w:color w:val="auto"/>
                <w:sz w:val="24"/>
                <w:highlight w:val="none"/>
              </w:rPr>
              <w:t>煤坑下给料机给入胶带输送机</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胶带输送机</w:t>
            </w:r>
            <w:r>
              <w:rPr>
                <w:rFonts w:hint="default" w:ascii="Times New Roman" w:hAnsi="Times New Roman" w:cs="Times New Roman"/>
                <w:color w:val="auto"/>
                <w:sz w:val="24"/>
                <w:highlight w:val="none"/>
                <w:lang w:val="en-US" w:eastAsia="zh-CN"/>
              </w:rPr>
              <w:t>设置有除铁器，除铁后进行</w:t>
            </w:r>
            <w:r>
              <w:rPr>
                <w:rFonts w:hint="eastAsia" w:ascii="Times New Roman" w:hAnsi="Times New Roman" w:cs="Times New Roman"/>
                <w:color w:val="auto"/>
                <w:sz w:val="24"/>
                <w:highlight w:val="none"/>
                <w:lang w:val="en-US" w:eastAsia="zh-CN"/>
              </w:rPr>
              <w:t>洗选</w:t>
            </w:r>
            <w:r>
              <w:rPr>
                <w:rFonts w:hint="default" w:ascii="Times New Roman" w:hAnsi="Times New Roman" w:cs="Times New Roman"/>
                <w:color w:val="auto"/>
                <w:sz w:val="24"/>
                <w:highlight w:val="none"/>
              </w:rPr>
              <w:t>。此环节产生的污染主要包括：</w:t>
            </w:r>
            <w:r>
              <w:rPr>
                <w:rFonts w:hint="default" w:ascii="Times New Roman" w:hAnsi="Times New Roman" w:cs="Times New Roman"/>
                <w:color w:val="auto"/>
                <w:sz w:val="24"/>
                <w:highlight w:val="none"/>
                <w:lang w:val="en-US" w:eastAsia="zh-CN"/>
              </w:rPr>
              <w:t>除铁杂质、原煤运输扬尘、卸料扬尘、输送过程粉尘</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原煤堆存粉尘</w:t>
            </w:r>
            <w:r>
              <w:rPr>
                <w:rFonts w:hint="default" w:ascii="Times New Roman" w:hAnsi="Times New Roman" w:cs="Times New Roman"/>
                <w:color w:val="auto"/>
                <w:sz w:val="24"/>
                <w:highlight w:val="none"/>
              </w:rPr>
              <w:t>和设备噪声。</w:t>
            </w:r>
          </w:p>
          <w:p w14:paraId="2219CDF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（2）原煤经水洗跳汰后，矸石由斗式提升机脱水后经矸石溜槽</w:t>
            </w:r>
            <w:r>
              <w:rPr>
                <w:rFonts w:hint="default" w:ascii="Times New Roman" w:hAnsi="Times New Roman" w:cs="Times New Roman"/>
                <w:color w:val="auto"/>
                <w:sz w:val="24"/>
                <w:highlight w:val="none"/>
                <w:lang w:eastAsia="zh-CN"/>
              </w:rPr>
              <w:t>到</w:t>
            </w:r>
            <w:r>
              <w:rPr>
                <w:rFonts w:hint="default" w:ascii="Times New Roman" w:hAnsi="Times New Roman" w:cs="Times New Roman"/>
                <w:color w:val="auto"/>
                <w:sz w:val="24"/>
                <w:highlight w:val="none"/>
                <w:lang w:val="en-US" w:eastAsia="zh-CN"/>
              </w:rPr>
              <w:t>产品</w:t>
            </w:r>
            <w:r>
              <w:rPr>
                <w:rFonts w:hint="default" w:ascii="Times New Roman" w:hAnsi="Times New Roman" w:cs="Times New Roman"/>
                <w:color w:val="auto"/>
                <w:sz w:val="24"/>
                <w:highlight w:val="none"/>
                <w:lang w:eastAsia="zh-CN"/>
              </w:rPr>
              <w:t>堆场</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拉运外售；</w:t>
            </w:r>
            <w:r>
              <w:rPr>
                <w:rFonts w:hint="default" w:ascii="Times New Roman" w:hAnsi="Times New Roman" w:cs="Times New Roman"/>
                <w:color w:val="auto"/>
                <w:sz w:val="24"/>
                <w:highlight w:val="none"/>
              </w:rPr>
              <w:t>中煤由斗</w:t>
            </w:r>
            <w:r>
              <w:rPr>
                <w:rFonts w:hint="default" w:ascii="Times New Roman" w:hAnsi="Times New Roman" w:cs="Times New Roman"/>
                <w:color w:val="auto"/>
                <w:sz w:val="24"/>
                <w:highlight w:val="none"/>
                <w:lang w:eastAsia="zh-CN"/>
              </w:rPr>
              <w:t>式</w:t>
            </w:r>
            <w:r>
              <w:rPr>
                <w:rFonts w:hint="default" w:ascii="Times New Roman" w:hAnsi="Times New Roman" w:cs="Times New Roman"/>
                <w:color w:val="auto"/>
                <w:sz w:val="24"/>
                <w:highlight w:val="none"/>
              </w:rPr>
              <w:t>提升机脱水后经溜槽送</w:t>
            </w:r>
            <w:r>
              <w:rPr>
                <w:rFonts w:hint="default" w:ascii="Times New Roman" w:hAnsi="Times New Roman" w:cs="Times New Roman"/>
                <w:color w:val="auto"/>
                <w:sz w:val="24"/>
                <w:highlight w:val="none"/>
                <w:lang w:eastAsia="zh-CN"/>
              </w:rPr>
              <w:t>到</w:t>
            </w:r>
            <w:r>
              <w:rPr>
                <w:rFonts w:hint="default" w:ascii="Times New Roman" w:hAnsi="Times New Roman" w:cs="Times New Roman"/>
                <w:color w:val="auto"/>
                <w:sz w:val="24"/>
                <w:highlight w:val="none"/>
                <w:lang w:val="en-US" w:eastAsia="zh-CN"/>
              </w:rPr>
              <w:t>产品</w:t>
            </w:r>
            <w:r>
              <w:rPr>
                <w:rFonts w:hint="default" w:ascii="Times New Roman" w:hAnsi="Times New Roman" w:cs="Times New Roman"/>
                <w:color w:val="auto"/>
                <w:sz w:val="24"/>
                <w:highlight w:val="none"/>
                <w:lang w:eastAsia="zh-CN"/>
              </w:rPr>
              <w:t>堆场</w:t>
            </w:r>
            <w:r>
              <w:rPr>
                <w:rFonts w:hint="default" w:ascii="Times New Roman" w:hAnsi="Times New Roman" w:cs="Times New Roman"/>
                <w:color w:val="auto"/>
                <w:sz w:val="24"/>
                <w:highlight w:val="none"/>
              </w:rPr>
              <w:t>。本项目工艺不包括破碎工序以及预筛分，因此不产生破碎以及筛分粉尘。此环节产生的污染主要包括：</w:t>
            </w:r>
            <w:r>
              <w:rPr>
                <w:rFonts w:hint="default" w:ascii="Times New Roman" w:hAnsi="Times New Roman" w:cs="Times New Roman"/>
                <w:color w:val="auto"/>
                <w:sz w:val="24"/>
                <w:highlight w:val="none"/>
                <w:lang w:val="en-US" w:eastAsia="zh-CN"/>
              </w:rPr>
              <w:t>设备噪声，产品堆存粉尘和洗煤废水，</w:t>
            </w:r>
            <w:r>
              <w:rPr>
                <w:rFonts w:hint="eastAsia" w:ascii="Times New Roman" w:hAnsi="Times New Roman" w:cs="Times New Roman"/>
                <w:color w:val="auto"/>
                <w:sz w:val="24"/>
                <w:highlight w:val="none"/>
                <w:lang w:val="en-US" w:eastAsia="zh-CN"/>
              </w:rPr>
              <w:t>洗煤废水</w:t>
            </w:r>
            <w:r>
              <w:rPr>
                <w:rFonts w:hint="default" w:ascii="Times New Roman" w:hAnsi="Times New Roman" w:cs="Times New Roman"/>
                <w:color w:val="auto"/>
                <w:sz w:val="24"/>
                <w:highlight w:val="none"/>
                <w:lang w:val="en-US" w:eastAsia="zh-CN"/>
              </w:rPr>
              <w:t>经</w:t>
            </w:r>
            <w:r>
              <w:rPr>
                <w:rFonts w:hint="default" w:ascii="Times New Roman" w:hAnsi="Times New Roman" w:cs="Times New Roman"/>
                <w:color w:val="auto"/>
                <w:sz w:val="24"/>
                <w:highlight w:val="none"/>
              </w:rPr>
              <w:t>脱水</w:t>
            </w:r>
            <w:r>
              <w:rPr>
                <w:rFonts w:hint="default" w:ascii="Times New Roman" w:hAnsi="Times New Roman" w:cs="Times New Roman"/>
                <w:color w:val="auto"/>
                <w:sz w:val="24"/>
                <w:highlight w:val="none"/>
                <w:lang w:val="en-US" w:eastAsia="zh-CN"/>
              </w:rPr>
              <w:t>后</w:t>
            </w:r>
            <w:r>
              <w:rPr>
                <w:rFonts w:hint="default" w:ascii="Times New Roman" w:hAnsi="Times New Roman" w:cs="Times New Roman"/>
                <w:color w:val="auto"/>
                <w:sz w:val="24"/>
                <w:highlight w:val="none"/>
              </w:rPr>
              <w:t>回收流入</w:t>
            </w:r>
            <w:r>
              <w:rPr>
                <w:rFonts w:hint="default" w:ascii="Times New Roman" w:hAnsi="Times New Roman" w:cs="Times New Roman"/>
                <w:color w:val="auto"/>
                <w:sz w:val="24"/>
                <w:highlight w:val="none"/>
                <w:lang w:eastAsia="zh-CN"/>
              </w:rPr>
              <w:t>浓缩机</w:t>
            </w:r>
            <w:r>
              <w:rPr>
                <w:rFonts w:hint="default" w:ascii="Times New Roman" w:hAnsi="Times New Roman" w:cs="Times New Roman"/>
                <w:color w:val="auto"/>
                <w:sz w:val="24"/>
                <w:highlight w:val="none"/>
              </w:rPr>
              <w:t>进行再利用。</w:t>
            </w:r>
          </w:p>
          <w:p w14:paraId="6453E2E5">
            <w:pPr>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（3）</w:t>
            </w:r>
            <w:r>
              <w:rPr>
                <w:rFonts w:hint="default" w:ascii="Times New Roman" w:hAnsi="Times New Roman" w:cs="Times New Roman"/>
                <w:color w:val="auto"/>
                <w:sz w:val="24"/>
                <w:highlight w:val="none"/>
                <w:lang w:eastAsia="zh-CN"/>
              </w:rPr>
              <w:t>筛下水用泵打</w:t>
            </w:r>
            <w:r>
              <w:rPr>
                <w:rFonts w:hint="eastAsia" w:ascii="Times New Roman" w:hAnsi="Times New Roman" w:cs="Times New Roman"/>
                <w:color w:val="auto"/>
                <w:sz w:val="24"/>
                <w:highlight w:val="none"/>
                <w:lang w:eastAsia="zh-CN"/>
              </w:rPr>
              <w:t>入</w:t>
            </w:r>
            <w:r>
              <w:rPr>
                <w:rFonts w:hint="default" w:ascii="Times New Roman" w:hAnsi="Times New Roman" w:cs="Times New Roman"/>
                <w:color w:val="auto"/>
                <w:sz w:val="24"/>
                <w:highlight w:val="none"/>
                <w:lang w:eastAsia="zh-CN"/>
              </w:rPr>
              <w:t>浓缩机。</w:t>
            </w:r>
            <w:r>
              <w:rPr>
                <w:rFonts w:hint="default" w:ascii="Times New Roman" w:hAnsi="Times New Roman" w:cs="Times New Roman"/>
                <w:color w:val="auto"/>
                <w:sz w:val="24"/>
                <w:highlight w:val="none"/>
              </w:rPr>
              <w:t>聚</w:t>
            </w:r>
            <w:r>
              <w:rPr>
                <w:rFonts w:hint="default" w:ascii="Times New Roman" w:hAnsi="Times New Roman" w:cs="Times New Roman"/>
                <w:color w:val="auto"/>
                <w:sz w:val="24"/>
                <w:highlight w:val="none"/>
                <w:lang w:eastAsia="zh-CN"/>
              </w:rPr>
              <w:t>合</w:t>
            </w:r>
            <w:r>
              <w:rPr>
                <w:rFonts w:hint="default" w:ascii="Times New Roman" w:hAnsi="Times New Roman" w:cs="Times New Roman"/>
                <w:color w:val="auto"/>
                <w:sz w:val="24"/>
                <w:highlight w:val="none"/>
                <w:lang w:val="en-US" w:eastAsia="zh-CN"/>
              </w:rPr>
              <w:t>氯</w:t>
            </w:r>
            <w:r>
              <w:rPr>
                <w:rFonts w:hint="default" w:ascii="Times New Roman" w:hAnsi="Times New Roman" w:cs="Times New Roman"/>
                <w:color w:val="auto"/>
                <w:sz w:val="24"/>
                <w:highlight w:val="none"/>
                <w:lang w:eastAsia="zh-CN"/>
              </w:rPr>
              <w:t>化铝</w:t>
            </w:r>
            <w:r>
              <w:rPr>
                <w:rFonts w:hint="default" w:ascii="Times New Roman" w:hAnsi="Times New Roman" w:cs="Times New Roman"/>
                <w:color w:val="auto"/>
                <w:sz w:val="24"/>
                <w:highlight w:val="none"/>
                <w:lang w:val="en-US" w:eastAsia="zh-CN"/>
              </w:rPr>
              <w:t>和</w:t>
            </w:r>
            <w:r>
              <w:rPr>
                <w:rFonts w:hint="default" w:ascii="Times New Roman" w:hAnsi="Times New Roman" w:cs="Times New Roman"/>
                <w:color w:val="auto"/>
                <w:sz w:val="24"/>
                <w:highlight w:val="none"/>
              </w:rPr>
              <w:t>聚丙烯酰胺</w:t>
            </w:r>
            <w:r>
              <w:rPr>
                <w:rFonts w:hint="default" w:ascii="Times New Roman" w:hAnsi="Times New Roman" w:cs="Times New Roman"/>
                <w:color w:val="auto"/>
                <w:sz w:val="24"/>
                <w:highlight w:val="none"/>
                <w:lang w:val="en-US" w:eastAsia="zh-CN"/>
              </w:rPr>
              <w:t>溶解后，按一定比例加入浓缩机中，对煤泥水</w:t>
            </w:r>
            <w:r>
              <w:rPr>
                <w:rFonts w:hint="default" w:ascii="Times New Roman" w:hAnsi="Times New Roman" w:cs="Times New Roman"/>
                <w:color w:val="auto"/>
                <w:sz w:val="24"/>
                <w:highlight w:val="none"/>
              </w:rPr>
              <w:t>进行浓缩处理</w:t>
            </w:r>
            <w:r>
              <w:rPr>
                <w:rFonts w:hint="default" w:ascii="Times New Roman" w:hAnsi="Times New Roman" w:cs="Times New Roman"/>
                <w:color w:val="auto"/>
                <w:sz w:val="24"/>
                <w:highlight w:val="none"/>
                <w:lang w:eastAsia="zh-CN"/>
              </w:rPr>
              <w:t>，浓缩机的溢流水进入清水储罐循环使用，浓缩机的</w:t>
            </w:r>
            <w:r>
              <w:rPr>
                <w:rFonts w:hint="default" w:ascii="Times New Roman" w:hAnsi="Times New Roman" w:cs="Times New Roman"/>
                <w:color w:val="auto"/>
                <w:sz w:val="24"/>
                <w:highlight w:val="none"/>
              </w:rPr>
              <w:t>浓缩底流则用压滤机专用给料泵送到板块式压滤机压滤，</w:t>
            </w:r>
            <w:r>
              <w:rPr>
                <w:rFonts w:hint="default" w:ascii="Times New Roman" w:hAnsi="Times New Roman" w:cs="Times New Roman"/>
                <w:color w:val="auto"/>
                <w:sz w:val="24"/>
                <w:highlight w:val="none"/>
                <w:lang w:eastAsia="zh-CN"/>
              </w:rPr>
              <w:t>压滤出煤泥外运销售，滤出的清水进入清水储罐继续使用，生产过程中洗</w:t>
            </w:r>
            <w:r>
              <w:rPr>
                <w:rFonts w:hint="default" w:ascii="Times New Roman" w:hAnsi="Times New Roman" w:cs="Times New Roman"/>
                <w:color w:val="auto"/>
                <w:sz w:val="24"/>
                <w:highlight w:val="none"/>
                <w:lang w:val="en-US" w:eastAsia="zh-CN"/>
              </w:rPr>
              <w:t>煤</w:t>
            </w:r>
            <w:r>
              <w:rPr>
                <w:rFonts w:hint="default" w:ascii="Times New Roman" w:hAnsi="Times New Roman" w:cs="Times New Roman"/>
                <w:color w:val="auto"/>
                <w:sz w:val="24"/>
                <w:highlight w:val="none"/>
                <w:lang w:eastAsia="zh-CN"/>
              </w:rPr>
              <w:t>水闭路循环，对外无污水排放。</w:t>
            </w:r>
            <w:r>
              <w:rPr>
                <w:rFonts w:hint="default" w:ascii="Times New Roman" w:hAnsi="Times New Roman" w:cs="Times New Roman"/>
                <w:color w:val="auto"/>
                <w:sz w:val="24"/>
                <w:highlight w:val="none"/>
              </w:rPr>
              <w:t>此环节产生的污染主要包括：</w:t>
            </w:r>
            <w:r>
              <w:rPr>
                <w:rFonts w:hint="default" w:ascii="Times New Roman" w:hAnsi="Times New Roman" w:cs="Times New Roman"/>
                <w:color w:val="auto"/>
                <w:sz w:val="24"/>
                <w:highlight w:val="none"/>
                <w:lang w:val="en-US" w:eastAsia="zh-CN"/>
              </w:rPr>
              <w:t>设备噪声和洗煤废水，洗煤废水经压滤后</w:t>
            </w:r>
            <w:r>
              <w:rPr>
                <w:rFonts w:hint="default" w:ascii="Times New Roman" w:hAnsi="Times New Roman" w:cs="Times New Roman"/>
                <w:color w:val="auto"/>
                <w:sz w:val="24"/>
                <w:highlight w:val="none"/>
              </w:rPr>
              <w:t>回收流入</w:t>
            </w:r>
            <w:r>
              <w:rPr>
                <w:rFonts w:hint="eastAsia" w:ascii="Times New Roman" w:hAnsi="Times New Roman" w:cs="Times New Roman"/>
                <w:color w:val="auto"/>
                <w:sz w:val="24"/>
                <w:highlight w:val="none"/>
                <w:lang w:val="en-US" w:eastAsia="zh-CN"/>
              </w:rPr>
              <w:t>循环水池</w:t>
            </w:r>
            <w:r>
              <w:rPr>
                <w:rFonts w:hint="default" w:ascii="Times New Roman" w:hAnsi="Times New Roman" w:cs="Times New Roman"/>
                <w:color w:val="auto"/>
                <w:sz w:val="24"/>
                <w:highlight w:val="none"/>
              </w:rPr>
              <w:t>进行再利用。</w:t>
            </w:r>
          </w:p>
          <w:p w14:paraId="4E6C63E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为保证任何情况下煤泥水不外排，环评要求项目设置</w:t>
            </w:r>
            <w:r>
              <w:rPr>
                <w:rFonts w:hint="default" w:ascii="Times New Roman" w:hAnsi="Times New Roman" w:cs="Times New Roman"/>
                <w:color w:val="auto"/>
                <w:sz w:val="24"/>
                <w:highlight w:val="none"/>
                <w:lang w:val="en-US" w:eastAsia="zh-CN"/>
              </w:rPr>
              <w:t>大于</w:t>
            </w:r>
            <w:r>
              <w:rPr>
                <w:rFonts w:hint="default" w:ascii="Times New Roman" w:hAnsi="Times New Roman" w:cs="Times New Roman"/>
                <w:color w:val="auto"/>
                <w:sz w:val="24"/>
                <w:highlight w:val="none"/>
                <w:lang w:eastAsia="zh-CN"/>
              </w:rPr>
              <w:t>浓缩机</w:t>
            </w:r>
            <w:r>
              <w:rPr>
                <w:rFonts w:hint="default" w:ascii="Times New Roman" w:hAnsi="Times New Roman" w:cs="Times New Roman"/>
                <w:color w:val="auto"/>
                <w:sz w:val="24"/>
                <w:highlight w:val="none"/>
                <w:lang w:val="en-US" w:eastAsia="zh-CN"/>
              </w:rPr>
              <w:t>容积</w:t>
            </w:r>
            <w:r>
              <w:rPr>
                <w:rFonts w:hint="default" w:ascii="Times New Roman" w:hAnsi="Times New Roman" w:cs="Times New Roman"/>
                <w:color w:val="auto"/>
                <w:sz w:val="24"/>
                <w:highlight w:val="none"/>
              </w:rPr>
              <w:t>的事故水池，当浓缩机出现事故时，事故池可保证煤泥水不外排，满足环保要求。</w:t>
            </w:r>
          </w:p>
          <w:p w14:paraId="0CFC0309">
            <w:pPr>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其运营期的工艺流程及排污节点示意图详见图2-</w:t>
            </w:r>
            <w:r>
              <w:rPr>
                <w:rFonts w:hint="eastAsia" w:cs="Times New Roman"/>
                <w:color w:val="auto"/>
                <w:sz w:val="24"/>
                <w:highlight w:val="none"/>
                <w:lang w:val="en-US" w:eastAsia="zh-CN"/>
              </w:rPr>
              <w:t>3</w:t>
            </w:r>
            <w:r>
              <w:rPr>
                <w:rFonts w:hint="eastAsia" w:ascii="Times New Roman" w:hAnsi="Times New Roman" w:cs="Times New Roman"/>
                <w:color w:val="auto"/>
                <w:sz w:val="24"/>
                <w:highlight w:val="none"/>
                <w:lang w:val="en-US" w:eastAsia="zh-CN"/>
              </w:rPr>
              <w:t>。</w:t>
            </w:r>
          </w:p>
          <w:p w14:paraId="5FBD1B51">
            <w:pPr>
              <w:spacing w:line="360" w:lineRule="auto"/>
              <w:jc w:val="center"/>
              <w:rPr>
                <w:rFonts w:hint="eastAsia" w:ascii="Times New Roman" w:hAnsi="Times New Roman" w:eastAsia="宋体" w:cs="Times New Roman"/>
                <w:b/>
                <w:color w:val="auto"/>
                <w:sz w:val="21"/>
                <w:szCs w:val="21"/>
                <w:highlight w:val="none"/>
              </w:rPr>
            </w:pPr>
            <w:r>
              <w:rPr>
                <w:rFonts w:hint="default" w:ascii="Times New Roman" w:hAnsi="Times New Roman" w:cs="Times New Roman"/>
                <w:color w:val="auto"/>
                <w:highlight w:val="none"/>
              </w:rPr>
              <w:object>
                <v:shape id="_x0000_i1027" o:spt="75" type="#_x0000_t75" style="height:346.95pt;width:343.85pt;" o:ole="t" filled="f" o:preferrelative="t" stroked="f" coordsize="21600,21600">
                  <v:path/>
                  <v:fill on="f" focussize="0,0"/>
                  <v:stroke on="f"/>
                  <v:imagedata r:id="rId20" o:title=""/>
                  <o:lock v:ext="edit" aspectratio="f"/>
                  <w10:wrap type="none"/>
                  <w10:anchorlock/>
                </v:shape>
                <o:OLEObject Type="Embed" ProgID="Visio.Drawing.11" ShapeID="_x0000_i1027" DrawAspect="Content" ObjectID="_1468075728" r:id="rId19">
                  <o:LockedField>false</o:LockedField>
                </o:OLEObject>
              </w:object>
            </w:r>
          </w:p>
          <w:p w14:paraId="1493FF10">
            <w:pPr>
              <w:spacing w:line="360" w:lineRule="auto"/>
              <w:jc w:val="center"/>
              <w:rPr>
                <w:rFonts w:hint="eastAsia" w:ascii="Times New Roman" w:hAnsi="Times New Roman" w:eastAsia="宋体" w:cs="Times New Roman"/>
                <w:b/>
                <w:color w:val="auto"/>
                <w:sz w:val="21"/>
                <w:szCs w:val="21"/>
                <w:highlight w:val="none"/>
              </w:rPr>
            </w:pPr>
            <w:r>
              <w:rPr>
                <w:rFonts w:hint="eastAsia" w:ascii="Times New Roman" w:hAnsi="Times New Roman" w:eastAsia="宋体" w:cs="Times New Roman"/>
                <w:b/>
                <w:color w:val="auto"/>
                <w:sz w:val="21"/>
                <w:szCs w:val="21"/>
                <w:highlight w:val="none"/>
              </w:rPr>
              <w:t>图2-</w:t>
            </w:r>
            <w:r>
              <w:rPr>
                <w:rFonts w:hint="eastAsia" w:cs="Times New Roman"/>
                <w:b/>
                <w:color w:val="auto"/>
                <w:sz w:val="21"/>
                <w:szCs w:val="21"/>
                <w:highlight w:val="none"/>
                <w:lang w:val="en-US" w:eastAsia="zh-CN"/>
              </w:rPr>
              <w:t>3</w:t>
            </w:r>
            <w:r>
              <w:rPr>
                <w:rFonts w:hint="eastAsia" w:ascii="Times New Roman" w:hAnsi="Times New Roman" w:eastAsia="宋体" w:cs="Times New Roman"/>
                <w:b/>
                <w:color w:val="auto"/>
                <w:sz w:val="21"/>
                <w:szCs w:val="21"/>
                <w:highlight w:val="none"/>
              </w:rPr>
              <w:t>工艺流程及产污节点示意图</w:t>
            </w:r>
          </w:p>
          <w:p w14:paraId="2CD3617D">
            <w:pPr>
              <w:pStyle w:val="23"/>
              <w:spacing w:line="360" w:lineRule="auto"/>
              <w:ind w:left="0"/>
              <w:rPr>
                <w:rFonts w:ascii="Times New Roman" w:hAnsi="Times New Roman" w:cs="Times New Roman"/>
                <w:b/>
                <w:bCs/>
                <w:color w:val="auto"/>
                <w:sz w:val="24"/>
                <w:highlight w:val="none"/>
              </w:rPr>
            </w:pPr>
            <w:r>
              <w:rPr>
                <w:rFonts w:ascii="Times New Roman" w:hAnsi="Times New Roman" w:cs="Times New Roman"/>
                <w:b/>
                <w:bCs/>
                <w:color w:val="auto"/>
                <w:sz w:val="24"/>
                <w:highlight w:val="none"/>
              </w:rPr>
              <w:t>主要的污染工序：</w:t>
            </w:r>
          </w:p>
          <w:p w14:paraId="1AF16C8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color w:val="auto"/>
                <w:sz w:val="24"/>
                <w:highlight w:val="none"/>
              </w:rPr>
            </w:pPr>
            <w:r>
              <w:rPr>
                <w:rFonts w:ascii="Times New Roman" w:hAnsi="Times New Roman" w:cs="Times New Roman"/>
                <w:color w:val="auto"/>
                <w:sz w:val="24"/>
                <w:highlight w:val="none"/>
              </w:rPr>
              <w:t>（1）废气</w:t>
            </w:r>
          </w:p>
          <w:p w14:paraId="6D61672C">
            <w:pPr>
              <w:pStyle w:val="38"/>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baseline"/>
              <w:rPr>
                <w:rFonts w:hint="eastAsia" w:ascii="Times New Roman" w:hAnsi="Times New Roman" w:eastAsia="宋体" w:cs="Times New Roman"/>
                <w:bCs/>
                <w:color w:val="auto"/>
                <w:kern w:val="0"/>
                <w:sz w:val="24"/>
                <w:szCs w:val="22"/>
                <w:highlight w:val="none"/>
                <w:u w:val="none" w:color="000000"/>
                <w:lang w:val="en-US" w:eastAsia="zh-CN" w:bidi="ar-SA"/>
              </w:rPr>
            </w:pPr>
            <w:r>
              <w:rPr>
                <w:rFonts w:hint="eastAsia" w:ascii="Times New Roman" w:hAnsi="Times New Roman" w:eastAsia="宋体" w:cs="Times New Roman"/>
                <w:bCs/>
                <w:color w:val="auto"/>
                <w:kern w:val="0"/>
                <w:sz w:val="24"/>
                <w:szCs w:val="22"/>
                <w:highlight w:val="none"/>
                <w:u w:val="none" w:color="000000"/>
                <w:lang w:val="en-US" w:eastAsia="zh-CN" w:bidi="ar-SA"/>
              </w:rPr>
              <w:t>运营期废气产生环节为原料卸车产生扬尘、转运环节粉尘、运输扬尘、堆场扬尘。</w:t>
            </w:r>
          </w:p>
          <w:p w14:paraId="325E4B6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color w:val="auto"/>
                <w:sz w:val="24"/>
                <w:highlight w:val="none"/>
              </w:rPr>
            </w:pPr>
            <w:r>
              <w:rPr>
                <w:rFonts w:ascii="Times New Roman" w:hAnsi="Times New Roman" w:cs="Times New Roman"/>
                <w:color w:val="auto"/>
                <w:sz w:val="24"/>
                <w:highlight w:val="none"/>
              </w:rPr>
              <w:t>（2）噪声</w:t>
            </w:r>
          </w:p>
          <w:p w14:paraId="58680AE2">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bCs/>
                <w:color w:val="auto"/>
                <w:kern w:val="0"/>
                <w:sz w:val="24"/>
                <w:szCs w:val="22"/>
                <w:highlight w:val="none"/>
                <w:u w:val="none" w:color="000000"/>
                <w:lang w:val="en-US" w:eastAsia="zh-CN"/>
              </w:rPr>
            </w:pPr>
            <w:r>
              <w:rPr>
                <w:rFonts w:hint="eastAsia" w:ascii="Times New Roman" w:hAnsi="Times New Roman"/>
                <w:bCs/>
                <w:color w:val="auto"/>
                <w:kern w:val="0"/>
                <w:sz w:val="24"/>
                <w:szCs w:val="22"/>
                <w:highlight w:val="none"/>
                <w:u w:val="none" w:color="000000"/>
              </w:rPr>
              <w:t>本项目主要为车间设备噪声，声源噪声级在65-</w:t>
            </w:r>
            <w:r>
              <w:rPr>
                <w:rFonts w:hint="eastAsia" w:ascii="Times New Roman" w:hAnsi="Times New Roman"/>
                <w:bCs/>
                <w:color w:val="auto"/>
                <w:kern w:val="0"/>
                <w:sz w:val="24"/>
                <w:szCs w:val="22"/>
                <w:highlight w:val="none"/>
                <w:u w:val="none" w:color="000000"/>
                <w:lang w:val="en-US" w:eastAsia="zh-CN"/>
              </w:rPr>
              <w:t>80</w:t>
            </w:r>
            <w:r>
              <w:rPr>
                <w:rFonts w:hint="eastAsia" w:ascii="Times New Roman" w:hAnsi="Times New Roman"/>
                <w:bCs/>
                <w:color w:val="auto"/>
                <w:kern w:val="0"/>
                <w:sz w:val="24"/>
                <w:szCs w:val="22"/>
                <w:highlight w:val="none"/>
                <w:u w:val="none" w:color="000000"/>
              </w:rPr>
              <w:t>dB（A）之间。经设备基础减震、安装隔声罩和车间墙体隔声后，车间外噪声设备的噪声值降至35-60dB（A）。噪声源主要为高频筛、水泵、压滤机、空气压缩机等。</w:t>
            </w:r>
            <w:r>
              <w:rPr>
                <w:rFonts w:hint="eastAsia" w:ascii="Times New Roman" w:hAnsi="Times New Roman"/>
                <w:bCs/>
                <w:color w:val="auto"/>
                <w:kern w:val="0"/>
                <w:sz w:val="24"/>
                <w:szCs w:val="22"/>
                <w:highlight w:val="none"/>
                <w:u w:val="none" w:color="000000"/>
                <w:lang w:val="en-US" w:eastAsia="zh-CN"/>
              </w:rPr>
              <w:t xml:space="preserve">       </w:t>
            </w:r>
          </w:p>
          <w:p w14:paraId="7FE67E3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eastAsia="zh-CN"/>
              </w:rPr>
            </w:pPr>
            <w:r>
              <w:rPr>
                <w:rFonts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3</w:t>
            </w:r>
            <w:r>
              <w:rPr>
                <w:rFonts w:ascii="Times New Roman" w:hAnsi="Times New Roman" w:cs="Times New Roman"/>
                <w:color w:val="auto"/>
                <w:sz w:val="24"/>
                <w:highlight w:val="none"/>
              </w:rPr>
              <w:t>）</w:t>
            </w:r>
            <w:r>
              <w:rPr>
                <w:rFonts w:hint="eastAsia" w:ascii="Times New Roman" w:hAnsi="Times New Roman" w:cs="Times New Roman"/>
                <w:color w:val="auto"/>
                <w:sz w:val="24"/>
                <w:highlight w:val="none"/>
                <w:lang w:eastAsia="zh-CN"/>
              </w:rPr>
              <w:t>固体废物</w:t>
            </w:r>
          </w:p>
          <w:p w14:paraId="1A4FC1F8">
            <w:pPr>
              <w:widowControl/>
              <w:spacing w:line="360" w:lineRule="auto"/>
              <w:ind w:firstLine="480" w:firstLineChars="200"/>
              <w:jc w:val="left"/>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本项目固体废物主要为生活垃圾、除铁杂质和絮凝剂、混凝剂包装袋</w:t>
            </w:r>
            <w:r>
              <w:rPr>
                <w:rFonts w:hint="eastAsia" w:ascii="Times New Roman" w:hAnsi="Times New Roman" w:cs="Times New Roman"/>
                <w:color w:val="auto"/>
                <w:sz w:val="24"/>
                <w:highlight w:val="none"/>
                <w:lang w:eastAsia="zh-CN"/>
              </w:rPr>
              <w:t>、煤泥以及废机油</w:t>
            </w:r>
            <w:r>
              <w:rPr>
                <w:rFonts w:hint="eastAsia" w:ascii="Times New Roman" w:hAnsi="Times New Roman" w:cs="Times New Roman"/>
                <w:color w:val="auto"/>
                <w:sz w:val="24"/>
                <w:highlight w:val="none"/>
              </w:rPr>
              <w:t>。</w:t>
            </w:r>
          </w:p>
          <w:p w14:paraId="58445F33">
            <w:pPr>
              <w:widowControl/>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（4）废水</w:t>
            </w:r>
          </w:p>
          <w:p w14:paraId="6527186D">
            <w:pPr>
              <w:spacing w:line="360" w:lineRule="auto"/>
              <w:ind w:firstLine="480" w:firstLineChars="20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rPr>
              <w:t>本项目废水主要为生产废水、地面冲洗废水、初期雨水和生活污水。</w:t>
            </w:r>
          </w:p>
        </w:tc>
      </w:tr>
      <w:tr w14:paraId="05E2F2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69" w:hRule="atLeast"/>
          <w:jc w:val="center"/>
        </w:trPr>
        <w:tc>
          <w:tcPr>
            <w:tcW w:w="823" w:type="dxa"/>
            <w:noWrap w:val="0"/>
            <w:vAlign w:val="center"/>
          </w:tcPr>
          <w:p w14:paraId="7E037535">
            <w:pPr>
              <w:adjustRightInd w:val="0"/>
              <w:snapToGrid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szCs w:val="32"/>
                <w:highlight w:val="none"/>
                <w:lang w:val="en-US" w:eastAsia="zh-CN"/>
              </w:rPr>
              <w:t>与项目有关的原有环境污染问 题</w:t>
            </w:r>
          </w:p>
        </w:tc>
        <w:tc>
          <w:tcPr>
            <w:tcW w:w="8173" w:type="dxa"/>
            <w:noWrap w:val="0"/>
            <w:vAlign w:val="center"/>
          </w:tcPr>
          <w:p w14:paraId="1FD81B97">
            <w:pPr>
              <w:pStyle w:val="9"/>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鸡西市大福煤炭销售有限公司</w:t>
            </w:r>
            <w:r>
              <w:rPr>
                <w:rFonts w:hint="eastAsia" w:cs="Times New Roman"/>
                <w:color w:val="auto"/>
                <w:kern w:val="2"/>
                <w:sz w:val="24"/>
                <w:szCs w:val="24"/>
                <w:highlight w:val="none"/>
                <w:lang w:val="en-US" w:eastAsia="zh-CN" w:bidi="ar-SA"/>
              </w:rPr>
              <w:t>于2008年4月成立，</w:t>
            </w:r>
            <w:r>
              <w:rPr>
                <w:rFonts w:hint="eastAsia" w:ascii="Times New Roman" w:hAnsi="Times New Roman" w:eastAsia="宋体" w:cs="Times New Roman"/>
                <w:color w:val="auto"/>
                <w:kern w:val="2"/>
                <w:sz w:val="24"/>
                <w:szCs w:val="24"/>
                <w:highlight w:val="none"/>
                <w:lang w:val="en-US" w:eastAsia="zh-CN" w:bidi="ar-SA"/>
              </w:rPr>
              <w:t>已于2009年建设完成年选洗120万吨煤炭生产线及其配套设备、车间及附属用房；现该企业停产并积极主动补办环评审批手续。</w:t>
            </w:r>
          </w:p>
          <w:p w14:paraId="5D59A204">
            <w:pPr>
              <w:pStyle w:val="10"/>
              <w:rPr>
                <w:rFonts w:hint="eastAsia"/>
                <w:lang w:val="en-US" w:eastAsia="zh-CN"/>
              </w:rPr>
            </w:pPr>
          </w:p>
          <w:p w14:paraId="6BC6DFBD">
            <w:pPr>
              <w:pStyle w:val="10"/>
              <w:rPr>
                <w:rFonts w:hint="eastAsia" w:ascii="Times New Roman" w:hAnsi="Times New Roman" w:eastAsia="宋体" w:cs="Times New Roman"/>
                <w:color w:val="auto"/>
                <w:kern w:val="2"/>
                <w:sz w:val="24"/>
                <w:szCs w:val="24"/>
                <w:highlight w:val="none"/>
                <w:lang w:val="en-US" w:eastAsia="zh-CN" w:bidi="ar-SA"/>
              </w:rPr>
            </w:pPr>
          </w:p>
          <w:p w14:paraId="75753BE8">
            <w:pPr>
              <w:pStyle w:val="10"/>
              <w:rPr>
                <w:rFonts w:hint="eastAsia" w:ascii="Times New Roman" w:hAnsi="Times New Roman" w:eastAsia="宋体" w:cs="Times New Roman"/>
                <w:color w:val="auto"/>
                <w:kern w:val="2"/>
                <w:sz w:val="24"/>
                <w:szCs w:val="24"/>
                <w:highlight w:val="none"/>
                <w:lang w:val="en-US" w:eastAsia="zh-CN" w:bidi="ar-SA"/>
              </w:rPr>
            </w:pPr>
          </w:p>
          <w:p w14:paraId="12187E7F">
            <w:pPr>
              <w:widowControl/>
              <w:spacing w:line="360" w:lineRule="auto"/>
              <w:ind w:firstLine="420" w:firstLineChars="200"/>
              <w:jc w:val="left"/>
              <w:rPr>
                <w:rFonts w:hint="default" w:ascii="Times New Roman" w:hAnsi="Times New Roman" w:cs="Times New Roman"/>
                <w:color w:val="auto"/>
                <w:highlight w:val="none"/>
                <w:lang w:val="en-US" w:eastAsia="zh-CN"/>
              </w:rPr>
            </w:pPr>
          </w:p>
        </w:tc>
      </w:tr>
    </w:tbl>
    <w:p w14:paraId="05DB760F">
      <w:pPr>
        <w:spacing w:line="360" w:lineRule="auto"/>
        <w:outlineLvl w:val="9"/>
        <w:rPr>
          <w:rFonts w:hint="default" w:ascii="Times New Roman" w:hAnsi="Times New Roman" w:eastAsia="黑体" w:cs="Times New Roman"/>
          <w:color w:val="auto"/>
          <w:sz w:val="30"/>
          <w:highlight w:val="none"/>
        </w:rPr>
        <w:sectPr>
          <w:footerReference r:id="rId7"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6B8FA897">
      <w:pPr>
        <w:pStyle w:val="27"/>
        <w:jc w:val="center"/>
        <w:outlineLvl w:val="0"/>
        <w:rPr>
          <w:rFonts w:hint="default" w:ascii="Times New Roman" w:hAnsi="Times New Roman" w:eastAsia="黑体" w:cs="Times New Roman"/>
          <w:snapToGrid w:val="0"/>
          <w:color w:val="auto"/>
          <w:sz w:val="30"/>
          <w:szCs w:val="30"/>
          <w:highlight w:val="none"/>
        </w:rPr>
      </w:pPr>
      <w:bookmarkStart w:id="7" w:name="_Toc15540"/>
      <w:r>
        <w:rPr>
          <w:rFonts w:hint="default" w:ascii="Times New Roman" w:hAnsi="Times New Roman" w:eastAsia="黑体" w:cs="Times New Roman"/>
          <w:snapToGrid w:val="0"/>
          <w:color w:val="auto"/>
          <w:sz w:val="30"/>
          <w:szCs w:val="30"/>
          <w:highlight w:val="none"/>
        </w:rPr>
        <w:t>三、区域环境质量现状、环境保护目标及评价标准</w:t>
      </w:r>
      <w:bookmarkEnd w:id="7"/>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606"/>
      </w:tblGrid>
      <w:tr w14:paraId="29CB21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33CD4DE5">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区域</w:t>
            </w:r>
          </w:p>
          <w:p w14:paraId="33941A01">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环境</w:t>
            </w:r>
          </w:p>
          <w:p w14:paraId="0D3ABF59">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质量</w:t>
            </w:r>
          </w:p>
          <w:p w14:paraId="457BB09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现状</w:t>
            </w:r>
          </w:p>
        </w:tc>
        <w:tc>
          <w:tcPr>
            <w:tcW w:w="8190" w:type="dxa"/>
            <w:noWrap w:val="0"/>
            <w:vAlign w:val="center"/>
          </w:tcPr>
          <w:p w14:paraId="7B3E00C6">
            <w:pPr>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rPr>
              <w:t>建设项目所在地区域质量现状及主要环境问题（环境空气、地面水、地下水、声环境、生态环境等）</w:t>
            </w:r>
            <w:r>
              <w:rPr>
                <w:rFonts w:hint="default" w:ascii="Times New Roman" w:hAnsi="Times New Roman" w:cs="Times New Roman"/>
                <w:color w:val="auto"/>
                <w:sz w:val="24"/>
                <w:szCs w:val="24"/>
                <w:highlight w:val="none"/>
              </w:rPr>
              <w:t>本报告以</w:t>
            </w:r>
            <w:r>
              <w:rPr>
                <w:rFonts w:hint="default" w:ascii="Times New Roman" w:hAnsi="Times New Roman" w:cs="Times New Roman"/>
                <w:color w:val="auto"/>
                <w:sz w:val="24"/>
                <w:szCs w:val="24"/>
                <w:highlight w:val="none"/>
                <w:lang w:val="en-US" w:eastAsia="zh-CN"/>
              </w:rPr>
              <w:t>2020</w:t>
            </w:r>
            <w:r>
              <w:rPr>
                <w:rFonts w:hint="default" w:ascii="Times New Roman" w:hAnsi="Times New Roman" w:cs="Times New Roman"/>
                <w:color w:val="auto"/>
                <w:sz w:val="24"/>
                <w:szCs w:val="24"/>
                <w:highlight w:val="none"/>
              </w:rPr>
              <w:t>年为评价基准年，根据</w:t>
            </w:r>
            <w:r>
              <w:rPr>
                <w:rFonts w:hint="default" w:ascii="Times New Roman" w:hAnsi="Times New Roman" w:cs="Times New Roman"/>
                <w:color w:val="auto"/>
                <w:sz w:val="24"/>
                <w:szCs w:val="24"/>
                <w:highlight w:val="none"/>
                <w:lang w:val="en-US" w:eastAsia="zh-CN"/>
              </w:rPr>
              <w:t>2020</w:t>
            </w:r>
            <w:r>
              <w:rPr>
                <w:rFonts w:hint="default" w:ascii="Times New Roman" w:hAnsi="Times New Roman" w:cs="Times New Roman"/>
                <w:color w:val="auto"/>
                <w:sz w:val="24"/>
                <w:szCs w:val="24"/>
                <w:highlight w:val="none"/>
              </w:rPr>
              <w:t>年度《2020年黑龙江省生态环境质量状况》</w:t>
            </w:r>
            <w:r>
              <w:rPr>
                <w:rFonts w:hint="default" w:ascii="Times New Roman" w:hAnsi="Times New Roman" w:cs="Times New Roman"/>
                <w:color w:val="auto"/>
                <w:sz w:val="24"/>
                <w:szCs w:val="24"/>
                <w:highlight w:val="none"/>
                <w:lang w:eastAsia="zh-CN"/>
              </w:rPr>
              <w:t>进行评价。</w:t>
            </w:r>
          </w:p>
          <w:p w14:paraId="3742171F">
            <w:pPr>
              <w:keepLines w:val="0"/>
              <w:pageBreakBefore w:val="0"/>
              <w:numPr>
                <w:ilvl w:val="0"/>
                <w:numId w:val="0"/>
              </w:numPr>
              <w:kinsoku/>
              <w:wordWrap/>
              <w:overflowPunct/>
              <w:topLinePunct w:val="0"/>
              <w:autoSpaceDE/>
              <w:autoSpaceDN/>
              <w:bidi w:val="0"/>
              <w:adjustRightInd/>
              <w:snapToGrid/>
              <w:spacing w:line="360" w:lineRule="auto"/>
              <w:ind w:left="210" w:leftChars="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eastAsia="zh-CN"/>
              </w:rPr>
              <w:t>一、</w:t>
            </w:r>
            <w:r>
              <w:rPr>
                <w:rFonts w:hint="default" w:ascii="Times New Roman" w:hAnsi="Times New Roman" w:cs="Times New Roman"/>
                <w:b/>
                <w:bCs/>
                <w:color w:val="auto"/>
                <w:sz w:val="24"/>
                <w:szCs w:val="24"/>
                <w:highlight w:val="none"/>
              </w:rPr>
              <w:t>空气</w:t>
            </w:r>
            <w:r>
              <w:rPr>
                <w:rFonts w:hint="default" w:ascii="Times New Roman" w:hAnsi="Times New Roman" w:cs="Times New Roman"/>
                <w:b/>
                <w:bCs/>
                <w:color w:val="auto"/>
                <w:sz w:val="24"/>
                <w:szCs w:val="24"/>
                <w:highlight w:val="none"/>
                <w:lang w:eastAsia="zh-CN"/>
              </w:rPr>
              <w:t>环境现状</w:t>
            </w:r>
          </w:p>
          <w:p w14:paraId="14205CF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eastAsia="zh-CN"/>
              </w:rPr>
            </w:pPr>
            <w:r>
              <w:rPr>
                <w:rFonts w:hint="eastAsia" w:ascii="Times New Roman" w:hAnsi="Times New Roman" w:eastAsia="宋体" w:cs="Times New Roman"/>
                <w:color w:val="auto"/>
                <w:kern w:val="0"/>
                <w:sz w:val="24"/>
                <w:szCs w:val="24"/>
                <w:lang w:eastAsia="zh-CN"/>
              </w:rPr>
              <w:t>（</w:t>
            </w:r>
            <w:r>
              <w:rPr>
                <w:rFonts w:hint="eastAsia" w:ascii="Times New Roman" w:hAnsi="Times New Roman" w:eastAsia="宋体" w:cs="Times New Roman"/>
                <w:color w:val="auto"/>
                <w:kern w:val="0"/>
                <w:sz w:val="24"/>
                <w:szCs w:val="24"/>
                <w:lang w:val="en-US" w:eastAsia="zh-CN"/>
              </w:rPr>
              <w:t>1</w:t>
            </w:r>
            <w:r>
              <w:rPr>
                <w:rFonts w:hint="eastAsia" w:ascii="Times New Roman" w:hAnsi="Times New Roman" w:eastAsia="宋体" w:cs="Times New Roman"/>
                <w:color w:val="auto"/>
                <w:kern w:val="0"/>
                <w:sz w:val="24"/>
                <w:szCs w:val="24"/>
                <w:lang w:eastAsia="zh-CN"/>
              </w:rPr>
              <w:t>）常规污染物</w:t>
            </w:r>
          </w:p>
          <w:p w14:paraId="476E05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根据《环境影响评价技术导则大气环境》（HJ2.2-2018），环境空气质量现状调查与评价数据来源于</w:t>
            </w:r>
            <w:r>
              <w:rPr>
                <w:rFonts w:hint="default" w:ascii="Times New Roman" w:hAnsi="Times New Roman" w:eastAsia="宋体" w:cs="Times New Roman"/>
                <w:color w:val="auto"/>
                <w:sz w:val="24"/>
                <w:szCs w:val="24"/>
                <w:highlight w:val="none"/>
              </w:rPr>
              <w:t>202</w:t>
            </w:r>
            <w:r>
              <w:rPr>
                <w:rFonts w:hint="eastAsia"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年度《202</w:t>
            </w:r>
            <w:r>
              <w:rPr>
                <w:rFonts w:hint="eastAsia"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年黑龙江省生态环境状况公报》。</w:t>
            </w:r>
          </w:p>
          <w:p w14:paraId="463FC740">
            <w:pPr>
              <w:keepNext w:val="0"/>
              <w:keepLines w:val="0"/>
              <w:pageBreakBefore w:val="0"/>
              <w:widowControl w:val="0"/>
              <w:suppressLineNumbers w:val="0"/>
              <w:kinsoku/>
              <w:wordWrap/>
              <w:overflowPunct/>
              <w:topLinePunct w:val="0"/>
              <w:autoSpaceDE w:val="0"/>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1"/>
                <w:sz w:val="24"/>
                <w:szCs w:val="24"/>
                <w:highlight w:val="none"/>
              </w:rPr>
              <w:t>为了解项目所在区域的环境空气质量现状，本次评价采用黑龙江省生态环境厅发布的</w:t>
            </w:r>
            <w:r>
              <w:rPr>
                <w:rFonts w:hint="default" w:ascii="Times New Roman" w:hAnsi="Times New Roman" w:eastAsia="宋体" w:cs="Times New Roman"/>
                <w:color w:val="auto"/>
                <w:sz w:val="24"/>
                <w:szCs w:val="24"/>
                <w:highlight w:val="none"/>
              </w:rPr>
              <w:t>《202</w:t>
            </w:r>
            <w:r>
              <w:rPr>
                <w:rFonts w:hint="eastAsia"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年黑龙江省生态环境状况公报》</w:t>
            </w:r>
            <w:r>
              <w:rPr>
                <w:rFonts w:hint="default" w:ascii="Times New Roman" w:hAnsi="Times New Roman" w:eastAsia="宋体" w:cs="Times New Roman"/>
                <w:color w:val="auto"/>
                <w:kern w:val="21"/>
                <w:sz w:val="24"/>
                <w:szCs w:val="24"/>
                <w:highlight w:val="none"/>
              </w:rPr>
              <w:t>中监测数据，由于公报内无</w:t>
            </w:r>
            <w:r>
              <w:rPr>
                <w:rFonts w:hint="eastAsia" w:ascii="Times New Roman" w:hAnsi="Times New Roman" w:cs="Times New Roman"/>
                <w:color w:val="auto"/>
                <w:kern w:val="21"/>
                <w:sz w:val="24"/>
                <w:szCs w:val="24"/>
                <w:highlight w:val="none"/>
                <w:lang w:eastAsia="zh-CN"/>
              </w:rPr>
              <w:t>密山</w:t>
            </w:r>
            <w:r>
              <w:rPr>
                <w:rFonts w:hint="default" w:ascii="Times New Roman" w:hAnsi="Times New Roman" w:eastAsia="宋体" w:cs="Times New Roman"/>
                <w:color w:val="auto"/>
                <w:kern w:val="21"/>
                <w:sz w:val="24"/>
                <w:szCs w:val="24"/>
                <w:highlight w:val="none"/>
              </w:rPr>
              <w:t>市完整数据，因此采用省内监测数据，分析项目所在区域基本污染物环境质量现状，202</w:t>
            </w:r>
            <w:r>
              <w:rPr>
                <w:rFonts w:hint="eastAsia" w:ascii="Times New Roman" w:hAnsi="Times New Roman" w:cs="Times New Roman"/>
                <w:color w:val="auto"/>
                <w:kern w:val="21"/>
                <w:sz w:val="24"/>
                <w:szCs w:val="24"/>
                <w:highlight w:val="none"/>
                <w:lang w:val="en-US" w:eastAsia="zh-CN"/>
              </w:rPr>
              <w:t>3</w:t>
            </w:r>
            <w:r>
              <w:rPr>
                <w:rFonts w:hint="default" w:ascii="Times New Roman" w:hAnsi="Times New Roman" w:eastAsia="宋体" w:cs="Times New Roman"/>
                <w:color w:val="auto"/>
                <w:kern w:val="21"/>
                <w:sz w:val="24"/>
                <w:szCs w:val="24"/>
                <w:highlight w:val="none"/>
              </w:rPr>
              <w:t>年全省13个地级及以上城市详见表3-1。</w:t>
            </w:r>
          </w:p>
          <w:p w14:paraId="0BF6FCFF">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黑体" w:cs="Times New Roman"/>
                <w:b/>
                <w:bCs/>
                <w:snapToGrid w:val="0"/>
                <w:color w:val="auto"/>
                <w:sz w:val="24"/>
                <w:szCs w:val="24"/>
                <w:lang w:val="en-US" w:eastAsia="zh-CN"/>
              </w:rPr>
            </w:pPr>
            <w:r>
              <w:rPr>
                <w:rFonts w:hint="default" w:ascii="Times New Roman" w:hAnsi="Times New Roman" w:eastAsia="黑体" w:cs="Times New Roman"/>
                <w:b/>
                <w:bCs/>
                <w:snapToGrid w:val="0"/>
                <w:color w:val="auto"/>
                <w:sz w:val="24"/>
                <w:szCs w:val="24"/>
                <w:lang w:val="en-US" w:eastAsia="zh-CN"/>
              </w:rPr>
              <w:t>表3-1  202</w:t>
            </w:r>
            <w:r>
              <w:rPr>
                <w:rFonts w:hint="eastAsia" w:ascii="Times New Roman" w:hAnsi="Times New Roman" w:eastAsia="黑体" w:cs="Times New Roman"/>
                <w:b/>
                <w:bCs/>
                <w:snapToGrid w:val="0"/>
                <w:color w:val="auto"/>
                <w:sz w:val="24"/>
                <w:szCs w:val="24"/>
                <w:lang w:val="en-US" w:eastAsia="zh-CN"/>
              </w:rPr>
              <w:t>3</w:t>
            </w:r>
            <w:r>
              <w:rPr>
                <w:rFonts w:hint="default" w:ascii="Times New Roman" w:hAnsi="Times New Roman" w:eastAsia="黑体" w:cs="Times New Roman"/>
                <w:b/>
                <w:bCs/>
                <w:snapToGrid w:val="0"/>
                <w:color w:val="auto"/>
                <w:sz w:val="24"/>
                <w:szCs w:val="24"/>
                <w:lang w:val="en-US" w:eastAsia="zh-CN"/>
              </w:rPr>
              <w:t>年黑龙江环境空气质量现状评价表   单位：μg/m</w:t>
            </w:r>
            <w:r>
              <w:rPr>
                <w:rFonts w:hint="default" w:ascii="Times New Roman" w:hAnsi="Times New Roman" w:eastAsia="黑体" w:cs="Times New Roman"/>
                <w:b/>
                <w:bCs/>
                <w:snapToGrid w:val="0"/>
                <w:color w:val="auto"/>
                <w:sz w:val="24"/>
                <w:szCs w:val="24"/>
                <w:vertAlign w:val="superscript"/>
                <w:lang w:val="en-US" w:eastAsia="zh-CN"/>
              </w:rPr>
              <w:t>3</w:t>
            </w:r>
          </w:p>
          <w:tbl>
            <w:tblPr>
              <w:tblStyle w:val="106"/>
              <w:tblW w:w="841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autofit"/>
              <w:tblCellMar>
                <w:top w:w="0" w:type="dxa"/>
                <w:left w:w="0" w:type="dxa"/>
                <w:bottom w:w="0" w:type="dxa"/>
                <w:right w:w="0" w:type="dxa"/>
              </w:tblCellMar>
            </w:tblPr>
            <w:tblGrid>
              <w:gridCol w:w="1000"/>
              <w:gridCol w:w="2543"/>
              <w:gridCol w:w="1527"/>
              <w:gridCol w:w="1105"/>
              <w:gridCol w:w="1157"/>
              <w:gridCol w:w="1084"/>
            </w:tblGrid>
            <w:tr w14:paraId="4DFAC982">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594" w:type="pct"/>
                  <w:tcBorders>
                    <w:tl2br w:val="nil"/>
                    <w:tr2bl w:val="nil"/>
                  </w:tcBorders>
                  <w:noWrap w:val="0"/>
                  <w:vAlign w:val="center"/>
                </w:tcPr>
                <w:p w14:paraId="2BA5B3B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4"/>
                      <w:sz w:val="21"/>
                      <w:szCs w:val="21"/>
                      <w:highlight w:val="none"/>
                    </w:rPr>
                    <w:t>污染物</w:t>
                  </w:r>
                </w:p>
              </w:tc>
              <w:tc>
                <w:tcPr>
                  <w:tcW w:w="1510" w:type="pct"/>
                  <w:tcBorders>
                    <w:tl2br w:val="nil"/>
                    <w:tr2bl w:val="nil"/>
                  </w:tcBorders>
                  <w:noWrap w:val="0"/>
                  <w:vAlign w:val="center"/>
                </w:tcPr>
                <w:p w14:paraId="0B8C409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3"/>
                      <w:sz w:val="21"/>
                      <w:szCs w:val="21"/>
                      <w:highlight w:val="none"/>
                    </w:rPr>
                    <w:t>年评价指标</w:t>
                  </w:r>
                </w:p>
              </w:tc>
              <w:tc>
                <w:tcPr>
                  <w:tcW w:w="907" w:type="pct"/>
                  <w:tcBorders>
                    <w:tl2br w:val="nil"/>
                    <w:tr2bl w:val="nil"/>
                  </w:tcBorders>
                  <w:noWrap w:val="0"/>
                  <w:vAlign w:val="center"/>
                </w:tcPr>
                <w:p w14:paraId="335BD17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4"/>
                      <w:sz w:val="21"/>
                      <w:szCs w:val="21"/>
                      <w:highlight w:val="none"/>
                    </w:rPr>
                    <w:t>现状浓度</w:t>
                  </w:r>
                  <w:r>
                    <w:rPr>
                      <w:rFonts w:hint="default" w:ascii="Times New Roman" w:hAnsi="Times New Roman" w:eastAsia="宋体" w:cs="Times New Roman"/>
                      <w:b/>
                      <w:bCs/>
                      <w:color w:val="auto"/>
                      <w:spacing w:val="-5"/>
                      <w:sz w:val="21"/>
                      <w:szCs w:val="21"/>
                      <w:highlight w:val="none"/>
                    </w:rPr>
                    <w:t>（μg/m</w:t>
                  </w:r>
                  <w:r>
                    <w:rPr>
                      <w:rFonts w:hint="default" w:ascii="Times New Roman" w:hAnsi="Times New Roman" w:eastAsia="宋体" w:cs="Times New Roman"/>
                      <w:b/>
                      <w:bCs/>
                      <w:color w:val="auto"/>
                      <w:spacing w:val="-5"/>
                      <w:sz w:val="21"/>
                      <w:szCs w:val="21"/>
                      <w:highlight w:val="none"/>
                      <w:vertAlign w:val="superscript"/>
                    </w:rPr>
                    <w:t>3</w:t>
                  </w:r>
                  <w:r>
                    <w:rPr>
                      <w:rFonts w:hint="default" w:ascii="Times New Roman" w:hAnsi="Times New Roman" w:eastAsia="宋体" w:cs="Times New Roman"/>
                      <w:b/>
                      <w:bCs/>
                      <w:color w:val="auto"/>
                      <w:spacing w:val="-5"/>
                      <w:sz w:val="21"/>
                      <w:szCs w:val="21"/>
                      <w:highlight w:val="none"/>
                    </w:rPr>
                    <w:t>）</w:t>
                  </w:r>
                </w:p>
              </w:tc>
              <w:tc>
                <w:tcPr>
                  <w:tcW w:w="656" w:type="pct"/>
                  <w:tcBorders>
                    <w:tl2br w:val="nil"/>
                    <w:tr2bl w:val="nil"/>
                  </w:tcBorders>
                  <w:noWrap w:val="0"/>
                  <w:vAlign w:val="center"/>
                </w:tcPr>
                <w:p w14:paraId="08375BF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4"/>
                      <w:sz w:val="21"/>
                      <w:szCs w:val="21"/>
                      <w:highlight w:val="none"/>
                    </w:rPr>
                    <w:t>标准值</w:t>
                  </w:r>
                  <w:r>
                    <w:rPr>
                      <w:rFonts w:hint="default" w:ascii="Times New Roman" w:hAnsi="Times New Roman" w:eastAsia="宋体" w:cs="Times New Roman"/>
                      <w:b/>
                      <w:bCs/>
                      <w:color w:val="auto"/>
                      <w:spacing w:val="-5"/>
                      <w:sz w:val="21"/>
                      <w:szCs w:val="21"/>
                      <w:highlight w:val="none"/>
                    </w:rPr>
                    <w:t>（μg/m</w:t>
                  </w:r>
                  <w:r>
                    <w:rPr>
                      <w:rFonts w:hint="default" w:ascii="Times New Roman" w:hAnsi="Times New Roman" w:eastAsia="宋体" w:cs="Times New Roman"/>
                      <w:b/>
                      <w:bCs/>
                      <w:color w:val="auto"/>
                      <w:spacing w:val="-5"/>
                      <w:sz w:val="21"/>
                      <w:szCs w:val="21"/>
                      <w:highlight w:val="none"/>
                      <w:vertAlign w:val="superscript"/>
                    </w:rPr>
                    <w:t>3</w:t>
                  </w:r>
                  <w:r>
                    <w:rPr>
                      <w:rFonts w:hint="default" w:ascii="Times New Roman" w:hAnsi="Times New Roman" w:eastAsia="宋体" w:cs="Times New Roman"/>
                      <w:b/>
                      <w:bCs/>
                      <w:color w:val="auto"/>
                      <w:spacing w:val="-5"/>
                      <w:sz w:val="21"/>
                      <w:szCs w:val="21"/>
                      <w:highlight w:val="none"/>
                    </w:rPr>
                    <w:t>）</w:t>
                  </w:r>
                </w:p>
              </w:tc>
              <w:tc>
                <w:tcPr>
                  <w:tcW w:w="687" w:type="pct"/>
                  <w:tcBorders>
                    <w:tl2br w:val="nil"/>
                    <w:tr2bl w:val="nil"/>
                  </w:tcBorders>
                  <w:noWrap w:val="0"/>
                  <w:vAlign w:val="center"/>
                </w:tcPr>
                <w:p w14:paraId="0A7CCA5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11"/>
                      <w:sz w:val="21"/>
                      <w:szCs w:val="21"/>
                      <w:highlight w:val="none"/>
                    </w:rPr>
                    <w:t>占标率%</w:t>
                  </w:r>
                </w:p>
              </w:tc>
              <w:tc>
                <w:tcPr>
                  <w:tcW w:w="644" w:type="pct"/>
                  <w:tcBorders>
                    <w:tl2br w:val="nil"/>
                    <w:tr2bl w:val="nil"/>
                  </w:tcBorders>
                  <w:noWrap w:val="0"/>
                  <w:vAlign w:val="center"/>
                </w:tcPr>
                <w:p w14:paraId="4E2A70D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pacing w:val="-3"/>
                      <w:sz w:val="21"/>
                      <w:szCs w:val="21"/>
                      <w:highlight w:val="none"/>
                    </w:rPr>
                    <w:t>达标情况</w:t>
                  </w:r>
                </w:p>
              </w:tc>
            </w:tr>
            <w:tr w14:paraId="49A6E334">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594" w:type="pct"/>
                  <w:tcBorders>
                    <w:tl2br w:val="nil"/>
                    <w:tr2bl w:val="nil"/>
                  </w:tcBorders>
                  <w:noWrap w:val="0"/>
                  <w:vAlign w:val="center"/>
                </w:tcPr>
                <w:p w14:paraId="5869198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SO</w:t>
                  </w:r>
                  <w:r>
                    <w:rPr>
                      <w:rFonts w:hint="default" w:ascii="Times New Roman" w:hAnsi="Times New Roman" w:eastAsia="宋体" w:cs="Times New Roman"/>
                      <w:color w:val="auto"/>
                      <w:spacing w:val="-6"/>
                      <w:sz w:val="21"/>
                      <w:szCs w:val="21"/>
                      <w:highlight w:val="none"/>
                      <w:vertAlign w:val="subscript"/>
                    </w:rPr>
                    <w:t>2</w:t>
                  </w:r>
                </w:p>
              </w:tc>
              <w:tc>
                <w:tcPr>
                  <w:tcW w:w="1510" w:type="pct"/>
                  <w:tcBorders>
                    <w:tl2br w:val="nil"/>
                    <w:tr2bl w:val="nil"/>
                  </w:tcBorders>
                  <w:noWrap w:val="0"/>
                  <w:vAlign w:val="center"/>
                </w:tcPr>
                <w:p w14:paraId="51F5A31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年平均质量浓度</w:t>
                  </w:r>
                </w:p>
              </w:tc>
              <w:tc>
                <w:tcPr>
                  <w:tcW w:w="907" w:type="pct"/>
                  <w:tcBorders>
                    <w:tl2br w:val="nil"/>
                    <w:tr2bl w:val="nil"/>
                  </w:tcBorders>
                  <w:noWrap w:val="0"/>
                  <w:vAlign w:val="center"/>
                </w:tcPr>
                <w:p w14:paraId="165E772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8</w:t>
                  </w:r>
                </w:p>
              </w:tc>
              <w:tc>
                <w:tcPr>
                  <w:tcW w:w="656" w:type="pct"/>
                  <w:tcBorders>
                    <w:tl2br w:val="nil"/>
                    <w:tr2bl w:val="nil"/>
                  </w:tcBorders>
                  <w:noWrap w:val="0"/>
                  <w:vAlign w:val="center"/>
                </w:tcPr>
                <w:p w14:paraId="083737FF">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687" w:type="pct"/>
                  <w:tcBorders>
                    <w:tl2br w:val="nil"/>
                    <w:tr2bl w:val="nil"/>
                  </w:tcBorders>
                  <w:noWrap w:val="0"/>
                  <w:vAlign w:val="center"/>
                </w:tcPr>
                <w:p w14:paraId="320BDC6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3.3</w:t>
                  </w:r>
                </w:p>
              </w:tc>
              <w:tc>
                <w:tcPr>
                  <w:tcW w:w="644" w:type="pct"/>
                  <w:tcBorders>
                    <w:tl2br w:val="nil"/>
                    <w:tr2bl w:val="nil"/>
                  </w:tcBorders>
                  <w:noWrap w:val="0"/>
                  <w:vAlign w:val="center"/>
                </w:tcPr>
                <w:p w14:paraId="79B90BF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038D1ACA">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90" w:hRule="atLeast"/>
                <w:jc w:val="center"/>
              </w:trPr>
              <w:tc>
                <w:tcPr>
                  <w:tcW w:w="594" w:type="pct"/>
                  <w:tcBorders>
                    <w:tl2br w:val="nil"/>
                    <w:tr2bl w:val="nil"/>
                  </w:tcBorders>
                  <w:noWrap w:val="0"/>
                  <w:vAlign w:val="center"/>
                </w:tcPr>
                <w:p w14:paraId="75621DF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510" w:type="pct"/>
                  <w:tcBorders>
                    <w:tl2br w:val="nil"/>
                    <w:tr2bl w:val="nil"/>
                  </w:tcBorders>
                  <w:noWrap w:val="0"/>
                  <w:vAlign w:val="center"/>
                </w:tcPr>
                <w:p w14:paraId="766AD65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年平均质量浓度</w:t>
                  </w:r>
                </w:p>
              </w:tc>
              <w:tc>
                <w:tcPr>
                  <w:tcW w:w="907" w:type="pct"/>
                  <w:tcBorders>
                    <w:tl2br w:val="nil"/>
                    <w:tr2bl w:val="nil"/>
                  </w:tcBorders>
                  <w:noWrap w:val="0"/>
                  <w:vAlign w:val="center"/>
                </w:tcPr>
                <w:p w14:paraId="6F9B28D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18</w:t>
                  </w:r>
                </w:p>
              </w:tc>
              <w:tc>
                <w:tcPr>
                  <w:tcW w:w="656" w:type="pct"/>
                  <w:tcBorders>
                    <w:tl2br w:val="nil"/>
                    <w:tr2bl w:val="nil"/>
                  </w:tcBorders>
                  <w:noWrap w:val="0"/>
                  <w:vAlign w:val="center"/>
                </w:tcPr>
                <w:p w14:paraId="158E68AB">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687" w:type="pct"/>
                  <w:tcBorders>
                    <w:tl2br w:val="nil"/>
                    <w:tr2bl w:val="nil"/>
                  </w:tcBorders>
                  <w:noWrap w:val="0"/>
                  <w:vAlign w:val="center"/>
                </w:tcPr>
                <w:p w14:paraId="319C211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r>
                    <w:rPr>
                      <w:rFonts w:hint="eastAsia" w:ascii="Times New Roman" w:hAnsi="Times New Roman" w:cs="Times New Roman"/>
                      <w:color w:val="auto"/>
                      <w:sz w:val="21"/>
                      <w:szCs w:val="21"/>
                      <w:highlight w:val="none"/>
                      <w:lang w:val="en-US" w:eastAsia="zh-CN"/>
                    </w:rPr>
                    <w:t>5</w:t>
                  </w:r>
                </w:p>
              </w:tc>
              <w:tc>
                <w:tcPr>
                  <w:tcW w:w="644" w:type="pct"/>
                  <w:tcBorders>
                    <w:tl2br w:val="nil"/>
                    <w:tr2bl w:val="nil"/>
                  </w:tcBorders>
                  <w:noWrap w:val="0"/>
                  <w:vAlign w:val="center"/>
                </w:tcPr>
                <w:p w14:paraId="09A4C36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33638F1C">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594" w:type="pct"/>
                  <w:tcBorders>
                    <w:tl2br w:val="nil"/>
                    <w:tr2bl w:val="nil"/>
                  </w:tcBorders>
                  <w:noWrap w:val="0"/>
                  <w:vAlign w:val="center"/>
                </w:tcPr>
                <w:p w14:paraId="71CA900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PM</w:t>
                  </w:r>
                  <w:r>
                    <w:rPr>
                      <w:rFonts w:hint="default" w:ascii="Times New Roman" w:hAnsi="Times New Roman" w:eastAsia="宋体" w:cs="Times New Roman"/>
                      <w:color w:val="auto"/>
                      <w:spacing w:val="-1"/>
                      <w:position w:val="-1"/>
                      <w:sz w:val="21"/>
                      <w:szCs w:val="21"/>
                      <w:highlight w:val="none"/>
                      <w:vertAlign w:val="subscript"/>
                    </w:rPr>
                    <w:t>10</w:t>
                  </w:r>
                </w:p>
              </w:tc>
              <w:tc>
                <w:tcPr>
                  <w:tcW w:w="1510" w:type="pct"/>
                  <w:tcBorders>
                    <w:tl2br w:val="nil"/>
                    <w:tr2bl w:val="nil"/>
                  </w:tcBorders>
                  <w:noWrap w:val="0"/>
                  <w:vAlign w:val="center"/>
                </w:tcPr>
                <w:p w14:paraId="68A9DC7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年平均质量浓度</w:t>
                  </w:r>
                </w:p>
              </w:tc>
              <w:tc>
                <w:tcPr>
                  <w:tcW w:w="907" w:type="pct"/>
                  <w:tcBorders>
                    <w:tl2br w:val="nil"/>
                    <w:tr2bl w:val="nil"/>
                  </w:tcBorders>
                  <w:noWrap w:val="0"/>
                  <w:vAlign w:val="center"/>
                </w:tcPr>
                <w:p w14:paraId="50F9220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41</w:t>
                  </w:r>
                </w:p>
              </w:tc>
              <w:tc>
                <w:tcPr>
                  <w:tcW w:w="656" w:type="pct"/>
                  <w:tcBorders>
                    <w:tl2br w:val="nil"/>
                    <w:tr2bl w:val="nil"/>
                  </w:tcBorders>
                  <w:noWrap w:val="0"/>
                  <w:vAlign w:val="center"/>
                </w:tcPr>
                <w:p w14:paraId="15876CC4">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687" w:type="pct"/>
                  <w:tcBorders>
                    <w:tl2br w:val="nil"/>
                    <w:tr2bl w:val="nil"/>
                  </w:tcBorders>
                  <w:noWrap w:val="0"/>
                  <w:vAlign w:val="center"/>
                </w:tcPr>
                <w:p w14:paraId="40AD57A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r>
                    <w:rPr>
                      <w:rFonts w:hint="eastAsia" w:ascii="Times New Roman" w:hAnsi="Times New Roman"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5</w:t>
                  </w:r>
                </w:p>
              </w:tc>
              <w:tc>
                <w:tcPr>
                  <w:tcW w:w="644" w:type="pct"/>
                  <w:tcBorders>
                    <w:tl2br w:val="nil"/>
                    <w:tr2bl w:val="nil"/>
                  </w:tcBorders>
                  <w:noWrap w:val="0"/>
                  <w:vAlign w:val="center"/>
                </w:tcPr>
                <w:p w14:paraId="5A97979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30443E3A">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594" w:type="pct"/>
                  <w:tcBorders>
                    <w:tl2br w:val="nil"/>
                    <w:tr2bl w:val="nil"/>
                  </w:tcBorders>
                  <w:noWrap w:val="0"/>
                  <w:vAlign w:val="center"/>
                </w:tcPr>
                <w:p w14:paraId="5E896B5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position w:val="-1"/>
                      <w:sz w:val="21"/>
                      <w:szCs w:val="21"/>
                      <w:highlight w:val="none"/>
                      <w:vertAlign w:val="subscript"/>
                    </w:rPr>
                    <w:t>2.5</w:t>
                  </w:r>
                </w:p>
              </w:tc>
              <w:tc>
                <w:tcPr>
                  <w:tcW w:w="1510" w:type="pct"/>
                  <w:tcBorders>
                    <w:tl2br w:val="nil"/>
                    <w:tr2bl w:val="nil"/>
                  </w:tcBorders>
                  <w:noWrap w:val="0"/>
                  <w:vAlign w:val="center"/>
                </w:tcPr>
                <w:p w14:paraId="6564DAB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年平均质量浓度</w:t>
                  </w:r>
                </w:p>
              </w:tc>
              <w:tc>
                <w:tcPr>
                  <w:tcW w:w="907" w:type="pct"/>
                  <w:tcBorders>
                    <w:tl2br w:val="nil"/>
                    <w:tr2bl w:val="nil"/>
                  </w:tcBorders>
                  <w:noWrap w:val="0"/>
                  <w:vAlign w:val="center"/>
                </w:tcPr>
                <w:p w14:paraId="6520540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w:t>
                  </w:r>
                </w:p>
              </w:tc>
              <w:tc>
                <w:tcPr>
                  <w:tcW w:w="656" w:type="pct"/>
                  <w:tcBorders>
                    <w:tl2br w:val="nil"/>
                    <w:tr2bl w:val="nil"/>
                  </w:tcBorders>
                  <w:noWrap w:val="0"/>
                  <w:vAlign w:val="center"/>
                </w:tcPr>
                <w:p w14:paraId="22EE8197">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687" w:type="pct"/>
                  <w:tcBorders>
                    <w:tl2br w:val="nil"/>
                    <w:tr2bl w:val="nil"/>
                  </w:tcBorders>
                  <w:noWrap w:val="0"/>
                  <w:vAlign w:val="center"/>
                </w:tcPr>
                <w:p w14:paraId="0AF53A5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71.4</w:t>
                  </w:r>
                </w:p>
              </w:tc>
              <w:tc>
                <w:tcPr>
                  <w:tcW w:w="644" w:type="pct"/>
                  <w:tcBorders>
                    <w:tl2br w:val="nil"/>
                    <w:tr2bl w:val="nil"/>
                  </w:tcBorders>
                  <w:noWrap w:val="0"/>
                  <w:vAlign w:val="center"/>
                </w:tcPr>
                <w:p w14:paraId="657CA79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456EA40C">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594" w:type="pct"/>
                  <w:tcBorders>
                    <w:tl2br w:val="nil"/>
                    <w:tr2bl w:val="nil"/>
                  </w:tcBorders>
                  <w:noWrap w:val="0"/>
                  <w:vAlign w:val="center"/>
                </w:tcPr>
                <w:p w14:paraId="3DDFE59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CO</w:t>
                  </w:r>
                </w:p>
              </w:tc>
              <w:tc>
                <w:tcPr>
                  <w:tcW w:w="1510" w:type="pct"/>
                  <w:tcBorders>
                    <w:tl2br w:val="nil"/>
                    <w:tr2bl w:val="nil"/>
                  </w:tcBorders>
                  <w:noWrap w:val="0"/>
                  <w:vAlign w:val="center"/>
                </w:tcPr>
                <w:p w14:paraId="63DBCAE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第95百分位数24小时平均</w:t>
                  </w:r>
                  <w:r>
                    <w:rPr>
                      <w:rFonts w:hint="default" w:ascii="Times New Roman" w:hAnsi="Times New Roman" w:eastAsia="宋体" w:cs="Times New Roman"/>
                      <w:color w:val="auto"/>
                      <w:spacing w:val="-3"/>
                      <w:sz w:val="21"/>
                      <w:szCs w:val="21"/>
                      <w:highlight w:val="none"/>
                    </w:rPr>
                    <w:t>质量浓度</w:t>
                  </w:r>
                </w:p>
              </w:tc>
              <w:tc>
                <w:tcPr>
                  <w:tcW w:w="907" w:type="pct"/>
                  <w:tcBorders>
                    <w:tl2br w:val="nil"/>
                    <w:tr2bl w:val="nil"/>
                  </w:tcBorders>
                  <w:noWrap w:val="0"/>
                  <w:vAlign w:val="center"/>
                </w:tcPr>
                <w:p w14:paraId="3E6A513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0.9</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656" w:type="pct"/>
                  <w:tcBorders>
                    <w:tl2br w:val="nil"/>
                    <w:tr2bl w:val="nil"/>
                  </w:tcBorders>
                  <w:noWrap w:val="0"/>
                  <w:vAlign w:val="center"/>
                </w:tcPr>
                <w:p w14:paraId="5328CA6E">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4mg/m</w:t>
                  </w:r>
                  <w:r>
                    <w:rPr>
                      <w:rFonts w:hint="default" w:ascii="Times New Roman" w:hAnsi="Times New Roman" w:eastAsia="宋体" w:cs="Times New Roman"/>
                      <w:color w:val="auto"/>
                      <w:sz w:val="21"/>
                      <w:szCs w:val="21"/>
                      <w:highlight w:val="none"/>
                      <w:vertAlign w:val="superscript"/>
                    </w:rPr>
                    <w:t>3</w:t>
                  </w:r>
                </w:p>
              </w:tc>
              <w:tc>
                <w:tcPr>
                  <w:tcW w:w="687" w:type="pct"/>
                  <w:tcBorders>
                    <w:tl2br w:val="nil"/>
                    <w:tr2bl w:val="nil"/>
                  </w:tcBorders>
                  <w:noWrap w:val="0"/>
                  <w:vAlign w:val="center"/>
                </w:tcPr>
                <w:p w14:paraId="128CC76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22.5</w:t>
                  </w:r>
                </w:p>
              </w:tc>
              <w:tc>
                <w:tcPr>
                  <w:tcW w:w="644" w:type="pct"/>
                  <w:tcBorders>
                    <w:tl2br w:val="nil"/>
                    <w:tr2bl w:val="nil"/>
                  </w:tcBorders>
                  <w:noWrap w:val="0"/>
                  <w:vAlign w:val="center"/>
                </w:tcPr>
                <w:p w14:paraId="7803E22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5E2C32C4">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40" w:hRule="atLeast"/>
                <w:jc w:val="center"/>
              </w:trPr>
              <w:tc>
                <w:tcPr>
                  <w:tcW w:w="594" w:type="pct"/>
                  <w:tcBorders>
                    <w:tl2br w:val="nil"/>
                    <w:tr2bl w:val="nil"/>
                  </w:tcBorders>
                  <w:noWrap w:val="0"/>
                  <w:vAlign w:val="center"/>
                </w:tcPr>
                <w:p w14:paraId="2FE182D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O</w:t>
                  </w:r>
                  <w:r>
                    <w:rPr>
                      <w:rFonts w:hint="default" w:ascii="Times New Roman" w:hAnsi="Times New Roman" w:eastAsia="宋体" w:cs="Times New Roman"/>
                      <w:color w:val="auto"/>
                      <w:spacing w:val="-5"/>
                      <w:sz w:val="21"/>
                      <w:szCs w:val="21"/>
                      <w:highlight w:val="none"/>
                      <w:vertAlign w:val="subscript"/>
                    </w:rPr>
                    <w:t>3</w:t>
                  </w:r>
                </w:p>
              </w:tc>
              <w:tc>
                <w:tcPr>
                  <w:tcW w:w="1510" w:type="pct"/>
                  <w:tcBorders>
                    <w:tl2br w:val="nil"/>
                    <w:tr2bl w:val="nil"/>
                  </w:tcBorders>
                  <w:noWrap w:val="0"/>
                  <w:vAlign w:val="center"/>
                </w:tcPr>
                <w:p w14:paraId="1C0643D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第90百分位数日最大8小时</w:t>
                  </w:r>
                  <w:r>
                    <w:rPr>
                      <w:rFonts w:hint="default" w:ascii="Times New Roman" w:hAnsi="Times New Roman" w:eastAsia="宋体" w:cs="Times New Roman"/>
                      <w:color w:val="auto"/>
                      <w:spacing w:val="-2"/>
                      <w:sz w:val="21"/>
                      <w:szCs w:val="21"/>
                      <w:highlight w:val="none"/>
                    </w:rPr>
                    <w:t>平均质量浓度</w:t>
                  </w:r>
                </w:p>
              </w:tc>
              <w:tc>
                <w:tcPr>
                  <w:tcW w:w="907" w:type="pct"/>
                  <w:tcBorders>
                    <w:tl2br w:val="nil"/>
                    <w:tr2bl w:val="nil"/>
                  </w:tcBorders>
                  <w:noWrap w:val="0"/>
                  <w:vAlign w:val="center"/>
                </w:tcPr>
                <w:p w14:paraId="6290124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r>
                    <w:rPr>
                      <w:rFonts w:hint="eastAsia" w:ascii="Times New Roman" w:hAnsi="Times New Roman" w:cs="Times New Roman"/>
                      <w:color w:val="auto"/>
                      <w:sz w:val="21"/>
                      <w:szCs w:val="21"/>
                      <w:highlight w:val="none"/>
                      <w:lang w:val="en-US" w:eastAsia="zh-CN"/>
                    </w:rPr>
                    <w:t>7</w:t>
                  </w:r>
                </w:p>
              </w:tc>
              <w:tc>
                <w:tcPr>
                  <w:tcW w:w="656" w:type="pct"/>
                  <w:tcBorders>
                    <w:tl2br w:val="nil"/>
                    <w:tr2bl w:val="nil"/>
                  </w:tcBorders>
                  <w:noWrap w:val="0"/>
                  <w:vAlign w:val="center"/>
                </w:tcPr>
                <w:p w14:paraId="7B81957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160</w:t>
                  </w:r>
                </w:p>
              </w:tc>
              <w:tc>
                <w:tcPr>
                  <w:tcW w:w="687" w:type="pct"/>
                  <w:tcBorders>
                    <w:tl2br w:val="nil"/>
                    <w:tr2bl w:val="nil"/>
                  </w:tcBorders>
                  <w:noWrap w:val="0"/>
                  <w:vAlign w:val="center"/>
                </w:tcPr>
                <w:p w14:paraId="759C503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66.8</w:t>
                  </w:r>
                </w:p>
              </w:tc>
              <w:tc>
                <w:tcPr>
                  <w:tcW w:w="644" w:type="pct"/>
                  <w:tcBorders>
                    <w:tl2br w:val="nil"/>
                    <w:tr2bl w:val="nil"/>
                  </w:tcBorders>
                  <w:noWrap w:val="0"/>
                  <w:vAlign w:val="center"/>
                </w:tcPr>
                <w:p w14:paraId="789AC7C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bl>
          <w:p w14:paraId="10EC8716">
            <w:pPr>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21"/>
                <w:sz w:val="24"/>
                <w:szCs w:val="24"/>
                <w:highlight w:val="none"/>
              </w:rPr>
              <w:t>根据上表数据可知，项目所在区域SO</w:t>
            </w:r>
            <w:r>
              <w:rPr>
                <w:rFonts w:hint="default" w:ascii="Times New Roman" w:hAnsi="Times New Roman" w:eastAsia="宋体" w:cs="Times New Roman"/>
                <w:color w:val="auto"/>
                <w:kern w:val="21"/>
                <w:sz w:val="24"/>
                <w:szCs w:val="24"/>
                <w:highlight w:val="none"/>
                <w:vertAlign w:val="subscript"/>
              </w:rPr>
              <w:t>2</w:t>
            </w:r>
            <w:r>
              <w:rPr>
                <w:rFonts w:hint="default" w:ascii="Times New Roman" w:hAnsi="Times New Roman" w:eastAsia="宋体" w:cs="Times New Roman"/>
                <w:color w:val="auto"/>
                <w:kern w:val="21"/>
                <w:sz w:val="24"/>
                <w:szCs w:val="24"/>
                <w:highlight w:val="none"/>
              </w:rPr>
              <w:t>、NO</w:t>
            </w:r>
            <w:r>
              <w:rPr>
                <w:rFonts w:hint="default" w:ascii="Times New Roman" w:hAnsi="Times New Roman" w:eastAsia="宋体" w:cs="Times New Roman"/>
                <w:color w:val="auto"/>
                <w:kern w:val="21"/>
                <w:sz w:val="24"/>
                <w:szCs w:val="24"/>
                <w:highlight w:val="none"/>
                <w:vertAlign w:val="subscript"/>
              </w:rPr>
              <w:t>2</w:t>
            </w:r>
            <w:r>
              <w:rPr>
                <w:rFonts w:hint="default" w:ascii="Times New Roman" w:hAnsi="Times New Roman" w:eastAsia="宋体" w:cs="Times New Roman"/>
                <w:color w:val="auto"/>
                <w:kern w:val="21"/>
                <w:sz w:val="24"/>
                <w:szCs w:val="24"/>
                <w:highlight w:val="none"/>
              </w:rPr>
              <w:t>、PM</w:t>
            </w:r>
            <w:r>
              <w:rPr>
                <w:rFonts w:hint="default" w:ascii="Times New Roman" w:hAnsi="Times New Roman" w:eastAsia="宋体" w:cs="Times New Roman"/>
                <w:color w:val="auto"/>
                <w:kern w:val="21"/>
                <w:sz w:val="24"/>
                <w:szCs w:val="24"/>
                <w:highlight w:val="none"/>
                <w:vertAlign w:val="subscript"/>
              </w:rPr>
              <w:t>10</w:t>
            </w:r>
            <w:r>
              <w:rPr>
                <w:rFonts w:hint="default" w:ascii="Times New Roman" w:hAnsi="Times New Roman" w:eastAsia="宋体" w:cs="Times New Roman"/>
                <w:color w:val="auto"/>
                <w:kern w:val="21"/>
                <w:sz w:val="24"/>
                <w:szCs w:val="24"/>
                <w:highlight w:val="none"/>
              </w:rPr>
              <w:t>、PM</w:t>
            </w:r>
            <w:r>
              <w:rPr>
                <w:rFonts w:hint="default" w:ascii="Times New Roman" w:hAnsi="Times New Roman" w:eastAsia="宋体" w:cs="Times New Roman"/>
                <w:color w:val="auto"/>
                <w:kern w:val="21"/>
                <w:sz w:val="24"/>
                <w:szCs w:val="24"/>
                <w:highlight w:val="none"/>
                <w:vertAlign w:val="subscript"/>
              </w:rPr>
              <w:t>2.5</w:t>
            </w:r>
            <w:r>
              <w:rPr>
                <w:rFonts w:hint="default" w:ascii="Times New Roman" w:hAnsi="Times New Roman" w:eastAsia="宋体" w:cs="Times New Roman"/>
                <w:color w:val="auto"/>
                <w:kern w:val="21"/>
                <w:sz w:val="24"/>
                <w:szCs w:val="24"/>
                <w:highlight w:val="none"/>
              </w:rPr>
              <w:t>、CO、O</w:t>
            </w:r>
            <w:r>
              <w:rPr>
                <w:rFonts w:hint="default" w:ascii="Times New Roman" w:hAnsi="Times New Roman" w:eastAsia="宋体" w:cs="Times New Roman"/>
                <w:color w:val="auto"/>
                <w:kern w:val="21"/>
                <w:sz w:val="24"/>
                <w:szCs w:val="24"/>
                <w:highlight w:val="none"/>
                <w:vertAlign w:val="subscript"/>
              </w:rPr>
              <w:t>3</w:t>
            </w:r>
            <w:r>
              <w:rPr>
                <w:rFonts w:hint="default" w:ascii="Times New Roman" w:hAnsi="Times New Roman" w:eastAsia="宋体" w:cs="Times New Roman"/>
                <w:color w:val="auto"/>
                <w:kern w:val="21"/>
                <w:sz w:val="24"/>
                <w:szCs w:val="24"/>
                <w:highlight w:val="none"/>
              </w:rPr>
              <w:t>的年评价指标均能达到《环境空气质量标准》（GB3095-2012）及2018年修改单中的二级标准，因此，项目所在区域为达标区。</w:t>
            </w:r>
          </w:p>
          <w:p w14:paraId="160B750C">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olor w:val="auto"/>
                <w:sz w:val="24"/>
                <w:szCs w:val="24"/>
                <w:highlight w:val="none"/>
                <w:lang w:val="en-US" w:eastAsia="zh-CN"/>
              </w:rPr>
            </w:pPr>
            <w:r>
              <w:rPr>
                <w:rFonts w:hint="default" w:ascii="Times New Roman" w:hAnsi="Times New Roman" w:eastAsia="宋体"/>
                <w:color w:val="auto"/>
                <w:sz w:val="24"/>
                <w:szCs w:val="24"/>
                <w:highlight w:val="none"/>
                <w:lang w:eastAsia="zh-CN"/>
              </w:rPr>
              <w:t>（</w:t>
            </w:r>
            <w:r>
              <w:rPr>
                <w:rFonts w:hint="default" w:ascii="Times New Roman" w:hAnsi="Times New Roman" w:eastAsia="宋体"/>
                <w:color w:val="auto"/>
                <w:sz w:val="24"/>
                <w:szCs w:val="24"/>
                <w:highlight w:val="none"/>
                <w:lang w:val="en-US" w:eastAsia="zh-CN"/>
              </w:rPr>
              <w:t>2</w:t>
            </w:r>
            <w:r>
              <w:rPr>
                <w:rFonts w:hint="default" w:ascii="Times New Roman" w:hAnsi="Times New Roman" w:eastAsia="宋体"/>
                <w:color w:val="auto"/>
                <w:sz w:val="24"/>
                <w:szCs w:val="24"/>
                <w:highlight w:val="none"/>
                <w:lang w:eastAsia="zh-CN"/>
              </w:rPr>
              <w:t>）</w:t>
            </w:r>
            <w:r>
              <w:rPr>
                <w:rFonts w:hint="default" w:ascii="Times New Roman" w:hAnsi="Times New Roman" w:eastAsia="宋体"/>
                <w:color w:val="auto"/>
                <w:sz w:val="24"/>
                <w:szCs w:val="24"/>
                <w:highlight w:val="none"/>
                <w:lang w:val="en-US" w:eastAsia="zh-CN"/>
              </w:rPr>
              <w:t>其他污染物环境质量现状</w:t>
            </w:r>
          </w:p>
          <w:p w14:paraId="3D4AF8D7">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olor w:val="auto"/>
                <w:sz w:val="24"/>
                <w:szCs w:val="24"/>
                <w:highlight w:val="none"/>
              </w:rPr>
            </w:pPr>
            <w:r>
              <w:rPr>
                <w:rFonts w:hint="default" w:ascii="Times New Roman" w:hAnsi="Times New Roman" w:eastAsia="宋体"/>
                <w:color w:val="auto"/>
                <w:sz w:val="24"/>
                <w:szCs w:val="24"/>
                <w:highlight w:val="none"/>
              </w:rPr>
              <w:t>根据《建设项目环境影响报告表编制技术指南（污染影响类）（试行）》（环办环评[2020]33号）</w:t>
            </w:r>
            <w:r>
              <w:rPr>
                <w:rFonts w:hint="eastAsia" w:ascii="Times New Roman" w:hAnsi="Times New Roman" w:eastAsia="宋体"/>
                <w:color w:val="auto"/>
                <w:sz w:val="24"/>
                <w:szCs w:val="24"/>
                <w:highlight w:val="none"/>
                <w:lang w:eastAsia="zh-CN"/>
              </w:rPr>
              <w:t>“</w:t>
            </w:r>
            <w:r>
              <w:rPr>
                <w:rFonts w:hint="default" w:ascii="Times New Roman" w:hAnsi="Times New Roman" w:eastAsia="宋体"/>
                <w:color w:val="auto"/>
                <w:sz w:val="24"/>
                <w:szCs w:val="24"/>
                <w:highlight w:val="none"/>
              </w:rPr>
              <w:t>排放国家、地方环境空气质量标准中有标准限值要求的特征污染物时，引用建设项目周边5千米范围内近3年的现有监测数据，无相关数据的选择当季主导风向下风向1个点位补充不少于3天的监测数据</w:t>
            </w:r>
            <w:r>
              <w:rPr>
                <w:rFonts w:hint="eastAsia" w:ascii="Times New Roman" w:hAnsi="Times New Roman" w:eastAsia="宋体"/>
                <w:color w:val="auto"/>
                <w:sz w:val="24"/>
                <w:szCs w:val="24"/>
                <w:highlight w:val="none"/>
                <w:lang w:eastAsia="zh-CN"/>
              </w:rPr>
              <w:t>”</w:t>
            </w:r>
            <w:r>
              <w:rPr>
                <w:rFonts w:hint="default" w:ascii="Times New Roman" w:hAnsi="Times New Roman" w:eastAsia="宋体"/>
                <w:color w:val="auto"/>
                <w:sz w:val="24"/>
                <w:szCs w:val="24"/>
                <w:highlight w:val="none"/>
              </w:rPr>
              <w:t>。</w:t>
            </w:r>
          </w:p>
          <w:p w14:paraId="7E3445DA">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olor w:val="auto"/>
                <w:sz w:val="24"/>
                <w:szCs w:val="24"/>
                <w:highlight w:val="none"/>
                <w:lang w:eastAsia="zh-CN"/>
              </w:rPr>
            </w:pPr>
            <w:r>
              <w:rPr>
                <w:rFonts w:hint="default" w:ascii="Times New Roman" w:hAnsi="Times New Roman" w:eastAsia="宋体"/>
                <w:color w:val="auto"/>
                <w:sz w:val="24"/>
                <w:szCs w:val="24"/>
                <w:highlight w:val="none"/>
              </w:rPr>
              <w:t>为了解工程所在区域环境空气中特征污染因子质量现状，</w:t>
            </w:r>
            <w:r>
              <w:rPr>
                <w:rFonts w:hint="eastAsia" w:ascii="Times New Roman" w:hAnsi="Times New Roman" w:eastAsia="宋体"/>
                <w:color w:val="auto"/>
                <w:sz w:val="24"/>
                <w:szCs w:val="24"/>
                <w:highlight w:val="none"/>
                <w:lang w:val="en-US" w:eastAsia="zh-CN"/>
              </w:rPr>
              <w:t>评价期间</w:t>
            </w:r>
            <w:r>
              <w:rPr>
                <w:rFonts w:hint="default" w:ascii="Times New Roman" w:hAnsi="Times New Roman" w:eastAsia="宋体"/>
                <w:color w:val="auto"/>
                <w:sz w:val="24"/>
                <w:szCs w:val="24"/>
                <w:highlight w:val="none"/>
              </w:rPr>
              <w:t>委托</w:t>
            </w:r>
            <w:r>
              <w:rPr>
                <w:rFonts w:hint="eastAsia" w:ascii="Times New Roman" w:hAnsi="Times New Roman" w:eastAsia="宋体"/>
                <w:color w:val="auto"/>
                <w:sz w:val="24"/>
                <w:szCs w:val="24"/>
                <w:highlight w:val="none"/>
              </w:rPr>
              <w:t>黑龙江绿宸环境监测</w:t>
            </w:r>
            <w:r>
              <w:rPr>
                <w:rFonts w:hint="eastAsia" w:ascii="Times New Roman" w:hAnsi="Times New Roman" w:eastAsia="宋体" w:cs="Times New Roman"/>
                <w:color w:val="auto"/>
                <w:sz w:val="24"/>
                <w:szCs w:val="24"/>
                <w:highlight w:val="none"/>
              </w:rPr>
              <w:t>有限公司</w:t>
            </w:r>
            <w:r>
              <w:rPr>
                <w:rFonts w:hint="default" w:ascii="Times New Roman" w:hAnsi="Times New Roman" w:eastAsia="宋体" w:cs="Times New Roman"/>
                <w:color w:val="auto"/>
                <w:sz w:val="24"/>
                <w:szCs w:val="24"/>
                <w:highlight w:val="none"/>
              </w:rPr>
              <w:t>于202</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14</w:t>
            </w:r>
            <w:r>
              <w:rPr>
                <w:rFonts w:hint="default" w:ascii="Times New Roman" w:hAnsi="Times New Roman" w:eastAsia="宋体" w:cs="Times New Roman"/>
                <w:color w:val="auto"/>
                <w:sz w:val="24"/>
                <w:szCs w:val="24"/>
                <w:highlight w:val="none"/>
              </w:rPr>
              <w:t>日~</w:t>
            </w:r>
            <w:r>
              <w:rPr>
                <w:rFonts w:hint="eastAsia" w:ascii="Times New Roman" w:hAnsi="Times New Roman" w:eastAsia="宋体" w:cs="Times New Roman"/>
                <w:color w:val="auto"/>
                <w:sz w:val="24"/>
                <w:szCs w:val="24"/>
                <w:highlight w:val="none"/>
                <w:lang w:val="en-US" w:eastAsia="zh-CN"/>
              </w:rPr>
              <w:t>16</w:t>
            </w:r>
            <w:r>
              <w:rPr>
                <w:rFonts w:hint="default" w:ascii="Times New Roman" w:hAnsi="Times New Roman" w:eastAsia="宋体" w:cs="Times New Roman"/>
                <w:color w:val="auto"/>
                <w:sz w:val="24"/>
                <w:szCs w:val="24"/>
                <w:highlight w:val="none"/>
              </w:rPr>
              <w:t>日对项</w:t>
            </w:r>
            <w:r>
              <w:rPr>
                <w:rFonts w:hint="default" w:ascii="Times New Roman" w:hAnsi="Times New Roman" w:eastAsia="宋体"/>
                <w:color w:val="auto"/>
                <w:sz w:val="24"/>
                <w:szCs w:val="24"/>
                <w:highlight w:val="none"/>
              </w:rPr>
              <w:t>目所在区域大气环境质量进行了监测，监测点位于</w:t>
            </w:r>
            <w:r>
              <w:rPr>
                <w:rFonts w:hint="eastAsia" w:ascii="Times New Roman" w:hAnsi="Times New Roman" w:eastAsia="宋体"/>
                <w:color w:val="auto"/>
                <w:sz w:val="24"/>
                <w:szCs w:val="24"/>
                <w:highlight w:val="none"/>
                <w:lang w:eastAsia="zh-CN"/>
              </w:rPr>
              <w:t>当季主导风向</w:t>
            </w:r>
            <w:r>
              <w:rPr>
                <w:rFonts w:hint="default" w:ascii="Times New Roman" w:hAnsi="Times New Roman" w:eastAsia="宋体"/>
                <w:color w:val="auto"/>
                <w:sz w:val="24"/>
                <w:szCs w:val="24"/>
                <w:highlight w:val="none"/>
              </w:rPr>
              <w:t>下风向</w:t>
            </w:r>
            <w:r>
              <w:rPr>
                <w:rFonts w:hint="default" w:ascii="Times New Roman" w:hAnsi="Times New Roman" w:eastAsia="宋体"/>
                <w:color w:val="auto"/>
                <w:sz w:val="24"/>
                <w:szCs w:val="24"/>
                <w:highlight w:val="none"/>
                <w:lang w:eastAsia="zh-CN"/>
              </w:rPr>
              <w:t>。</w:t>
            </w:r>
          </w:p>
          <w:p w14:paraId="7AAC613C">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olor w:val="auto"/>
                <w:sz w:val="24"/>
                <w:szCs w:val="24"/>
                <w:highlight w:val="none"/>
              </w:rPr>
            </w:pPr>
            <w:r>
              <w:rPr>
                <w:rFonts w:hint="default" w:ascii="Times New Roman" w:hAnsi="Times New Roman" w:eastAsia="宋体"/>
                <w:color w:val="auto"/>
                <w:sz w:val="24"/>
                <w:szCs w:val="24"/>
                <w:highlight w:val="none"/>
                <w:lang w:val="en-US" w:eastAsia="zh-CN"/>
              </w:rPr>
              <w:t>①</w:t>
            </w:r>
            <w:r>
              <w:rPr>
                <w:rFonts w:hint="default" w:ascii="Times New Roman" w:hAnsi="Times New Roman" w:eastAsia="宋体"/>
                <w:color w:val="auto"/>
                <w:sz w:val="24"/>
                <w:szCs w:val="24"/>
                <w:highlight w:val="none"/>
              </w:rPr>
              <w:t>监测时间和频次</w:t>
            </w:r>
          </w:p>
          <w:p w14:paraId="4BB490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olor w:val="auto"/>
                <w:sz w:val="24"/>
                <w:szCs w:val="24"/>
                <w:highlight w:val="none"/>
              </w:rPr>
            </w:pPr>
            <w:r>
              <w:rPr>
                <w:rFonts w:hint="default" w:ascii="Times New Roman" w:hAnsi="Times New Roman" w:eastAsia="宋体"/>
                <w:color w:val="auto"/>
                <w:sz w:val="24"/>
                <w:szCs w:val="24"/>
                <w:highlight w:val="none"/>
              </w:rPr>
              <w:t>监测时间为</w:t>
            </w:r>
            <w:r>
              <w:rPr>
                <w:rFonts w:hint="eastAsia" w:ascii="Times New Roman" w:hAnsi="Times New Roman" w:eastAsia="宋体"/>
                <w:color w:val="auto"/>
                <w:sz w:val="24"/>
                <w:szCs w:val="24"/>
                <w:highlight w:val="none"/>
                <w:lang w:val="en-US" w:eastAsia="zh-CN"/>
              </w:rPr>
              <w:t>2022年7月14日~16日</w:t>
            </w:r>
            <w:r>
              <w:rPr>
                <w:rFonts w:hint="default" w:ascii="Times New Roman" w:hAnsi="Times New Roman" w:eastAsia="宋体"/>
                <w:color w:val="auto"/>
                <w:sz w:val="24"/>
                <w:szCs w:val="24"/>
                <w:highlight w:val="none"/>
                <w:lang w:val="en-US" w:eastAsia="zh-CN"/>
              </w:rPr>
              <w:t>，连续监测3天，TSP取日均值</w:t>
            </w:r>
            <w:r>
              <w:rPr>
                <w:rFonts w:hint="default" w:ascii="Times New Roman" w:hAnsi="Times New Roman" w:eastAsia="宋体"/>
                <w:color w:val="auto"/>
                <w:sz w:val="24"/>
                <w:szCs w:val="24"/>
                <w:highlight w:val="none"/>
              </w:rPr>
              <w:t>。</w:t>
            </w:r>
          </w:p>
          <w:p w14:paraId="111735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olor w:val="auto"/>
                <w:sz w:val="24"/>
                <w:szCs w:val="24"/>
                <w:highlight w:val="none"/>
              </w:rPr>
            </w:pPr>
            <w:r>
              <w:rPr>
                <w:rFonts w:hint="default" w:ascii="Times New Roman" w:hAnsi="Times New Roman" w:eastAsia="宋体"/>
                <w:color w:val="auto"/>
                <w:sz w:val="24"/>
                <w:szCs w:val="24"/>
                <w:highlight w:val="none"/>
                <w:lang w:val="en-US" w:eastAsia="zh-CN"/>
              </w:rPr>
              <w:t>②</w:t>
            </w:r>
            <w:r>
              <w:rPr>
                <w:rFonts w:hint="default" w:ascii="Times New Roman" w:hAnsi="Times New Roman" w:eastAsia="宋体"/>
                <w:color w:val="auto"/>
                <w:sz w:val="24"/>
                <w:szCs w:val="24"/>
                <w:highlight w:val="none"/>
              </w:rPr>
              <w:t>补充监测点布设</w:t>
            </w:r>
          </w:p>
          <w:p w14:paraId="605CCFCE">
            <w:pPr>
              <w:keepNext w:val="0"/>
              <w:keepLines w:val="0"/>
              <w:pageBreakBefore w:val="0"/>
              <w:widowControl/>
              <w:tabs>
                <w:tab w:val="left" w:pos="42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b/>
                <w:bCs/>
                <w:color w:val="auto"/>
                <w:highlight w:val="none"/>
                <w:lang w:val="en-US" w:eastAsia="zh-CN"/>
              </w:rPr>
            </w:pPr>
            <w:r>
              <w:rPr>
                <w:rFonts w:hint="default" w:ascii="Times New Roman" w:hAnsi="Times New Roman" w:eastAsia="宋体" w:cs="Times New Roman"/>
                <w:b/>
                <w:bCs/>
                <w:color w:val="auto"/>
                <w:kern w:val="2"/>
                <w:sz w:val="21"/>
                <w:szCs w:val="21"/>
                <w:lang w:val="en-US" w:eastAsia="zh-CN" w:bidi="ar-SA"/>
              </w:rPr>
              <w:t>表3-2 其他污染物补充监测点位基本信息</w:t>
            </w:r>
          </w:p>
          <w:tbl>
            <w:tblPr>
              <w:tblStyle w:val="3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9"/>
              <w:gridCol w:w="965"/>
              <w:gridCol w:w="878"/>
              <w:gridCol w:w="1076"/>
              <w:gridCol w:w="1213"/>
              <w:gridCol w:w="1764"/>
              <w:gridCol w:w="1220"/>
            </w:tblGrid>
            <w:tr w14:paraId="1ED71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6" w:type="pct"/>
                  <w:vMerge w:val="restart"/>
                  <w:tcBorders>
                    <w:tl2br w:val="nil"/>
                    <w:tr2bl w:val="nil"/>
                  </w:tcBorders>
                  <w:noWrap w:val="0"/>
                  <w:vAlign w:val="center"/>
                </w:tcPr>
                <w:p w14:paraId="591B1AB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
                      <w:bCs w:val="0"/>
                      <w:color w:val="auto"/>
                      <w:kern w:val="1"/>
                      <w:sz w:val="21"/>
                      <w:highlight w:val="none"/>
                    </w:rPr>
                  </w:pPr>
                  <w:r>
                    <w:rPr>
                      <w:rFonts w:hint="default" w:ascii="Times New Roman" w:hAnsi="Times New Roman" w:eastAsia="宋体" w:cs="Times New Roman"/>
                      <w:b/>
                      <w:bCs w:val="0"/>
                      <w:color w:val="auto"/>
                      <w:kern w:val="1"/>
                      <w:sz w:val="21"/>
                      <w:highlight w:val="none"/>
                    </w:rPr>
                    <w:t>监测点名称</w:t>
                  </w:r>
                </w:p>
              </w:tc>
              <w:tc>
                <w:tcPr>
                  <w:tcW w:w="1098" w:type="pct"/>
                  <w:gridSpan w:val="2"/>
                  <w:tcBorders>
                    <w:tl2br w:val="nil"/>
                    <w:tr2bl w:val="nil"/>
                  </w:tcBorders>
                  <w:noWrap w:val="0"/>
                  <w:vAlign w:val="center"/>
                </w:tcPr>
                <w:p w14:paraId="4867691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
                      <w:bCs w:val="0"/>
                      <w:color w:val="auto"/>
                      <w:kern w:val="1"/>
                      <w:sz w:val="21"/>
                      <w:highlight w:val="none"/>
                      <w:lang w:val="en-US" w:eastAsia="zh-CN"/>
                    </w:rPr>
                  </w:pPr>
                  <w:r>
                    <w:rPr>
                      <w:rFonts w:hint="default" w:ascii="Times New Roman" w:hAnsi="Times New Roman" w:eastAsia="宋体" w:cs="Times New Roman"/>
                      <w:b/>
                      <w:bCs w:val="0"/>
                      <w:color w:val="auto"/>
                      <w:kern w:val="1"/>
                      <w:sz w:val="21"/>
                      <w:highlight w:val="none"/>
                    </w:rPr>
                    <w:t>监测点坐标/m</w:t>
                  </w:r>
                </w:p>
              </w:tc>
              <w:tc>
                <w:tcPr>
                  <w:tcW w:w="641" w:type="pct"/>
                  <w:vMerge w:val="restart"/>
                  <w:tcBorders>
                    <w:tl2br w:val="nil"/>
                    <w:tr2bl w:val="nil"/>
                  </w:tcBorders>
                  <w:noWrap w:val="0"/>
                  <w:vAlign w:val="center"/>
                </w:tcPr>
                <w:p w14:paraId="6162ED5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
                      <w:bCs w:val="0"/>
                      <w:color w:val="auto"/>
                      <w:kern w:val="1"/>
                      <w:sz w:val="21"/>
                      <w:highlight w:val="none"/>
                      <w:lang w:val="en-US" w:eastAsia="zh-CN"/>
                    </w:rPr>
                  </w:pPr>
                  <w:r>
                    <w:rPr>
                      <w:rFonts w:hint="default" w:ascii="Times New Roman" w:hAnsi="Times New Roman" w:eastAsia="宋体" w:cs="Times New Roman"/>
                      <w:b/>
                      <w:bCs w:val="0"/>
                      <w:color w:val="auto"/>
                      <w:kern w:val="1"/>
                      <w:sz w:val="21"/>
                      <w:highlight w:val="none"/>
                      <w:lang w:val="en-US" w:eastAsia="zh-CN"/>
                    </w:rPr>
                    <w:t>相对厂址方位</w:t>
                  </w:r>
                </w:p>
              </w:tc>
              <w:tc>
                <w:tcPr>
                  <w:tcW w:w="723" w:type="pct"/>
                  <w:vMerge w:val="restart"/>
                  <w:tcBorders>
                    <w:tl2br w:val="nil"/>
                    <w:tr2bl w:val="nil"/>
                  </w:tcBorders>
                  <w:noWrap w:val="0"/>
                  <w:vAlign w:val="center"/>
                </w:tcPr>
                <w:p w14:paraId="3F330EC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
                      <w:bCs w:val="0"/>
                      <w:color w:val="auto"/>
                      <w:kern w:val="1"/>
                      <w:sz w:val="21"/>
                      <w:highlight w:val="none"/>
                      <w:lang w:val="en-US" w:eastAsia="zh-CN"/>
                    </w:rPr>
                  </w:pPr>
                  <w:r>
                    <w:rPr>
                      <w:rFonts w:hint="default" w:ascii="Times New Roman" w:hAnsi="Times New Roman" w:eastAsia="宋体" w:cs="Times New Roman"/>
                      <w:b/>
                      <w:bCs w:val="0"/>
                      <w:color w:val="auto"/>
                      <w:kern w:val="1"/>
                      <w:sz w:val="21"/>
                      <w:highlight w:val="none"/>
                      <w:lang w:val="en-US" w:eastAsia="zh-CN"/>
                    </w:rPr>
                    <w:t>相对厂界距离/m</w:t>
                  </w:r>
                </w:p>
              </w:tc>
              <w:tc>
                <w:tcPr>
                  <w:tcW w:w="1051" w:type="pct"/>
                  <w:vMerge w:val="restart"/>
                  <w:tcBorders>
                    <w:tl2br w:val="nil"/>
                    <w:tr2bl w:val="nil"/>
                  </w:tcBorders>
                  <w:noWrap w:val="0"/>
                  <w:vAlign w:val="center"/>
                </w:tcPr>
                <w:p w14:paraId="0794CDC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
                      <w:bCs w:val="0"/>
                      <w:color w:val="auto"/>
                      <w:kern w:val="1"/>
                      <w:sz w:val="21"/>
                      <w:highlight w:val="none"/>
                      <w:lang w:val="en-US" w:eastAsia="zh-CN"/>
                    </w:rPr>
                  </w:pPr>
                  <w:r>
                    <w:rPr>
                      <w:rFonts w:hint="default" w:ascii="Times New Roman" w:hAnsi="Times New Roman" w:eastAsia="宋体" w:cs="Times New Roman"/>
                      <w:b/>
                      <w:bCs w:val="0"/>
                      <w:color w:val="auto"/>
                      <w:kern w:val="1"/>
                      <w:sz w:val="21"/>
                      <w:highlight w:val="none"/>
                      <w:lang w:val="en-US" w:eastAsia="zh-CN"/>
                    </w:rPr>
                    <w:t>监测时间</w:t>
                  </w:r>
                </w:p>
              </w:tc>
              <w:tc>
                <w:tcPr>
                  <w:tcW w:w="727" w:type="pct"/>
                  <w:vMerge w:val="restart"/>
                  <w:tcBorders>
                    <w:tl2br w:val="nil"/>
                    <w:tr2bl w:val="nil"/>
                  </w:tcBorders>
                  <w:noWrap w:val="0"/>
                  <w:vAlign w:val="center"/>
                </w:tcPr>
                <w:p w14:paraId="340A5AD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
                      <w:bCs w:val="0"/>
                      <w:color w:val="auto"/>
                      <w:kern w:val="1"/>
                      <w:sz w:val="21"/>
                      <w:highlight w:val="none"/>
                      <w:lang w:val="en-US" w:eastAsia="zh-CN"/>
                    </w:rPr>
                  </w:pPr>
                  <w:r>
                    <w:rPr>
                      <w:rFonts w:hint="default" w:ascii="Times New Roman" w:hAnsi="Times New Roman" w:eastAsia="宋体" w:cs="Times New Roman"/>
                      <w:b/>
                      <w:bCs w:val="0"/>
                      <w:color w:val="auto"/>
                      <w:kern w:val="1"/>
                      <w:sz w:val="21"/>
                      <w:highlight w:val="none"/>
                      <w:lang w:val="en-US" w:eastAsia="zh-CN"/>
                    </w:rPr>
                    <w:t>监测因子</w:t>
                  </w:r>
                </w:p>
              </w:tc>
            </w:tr>
            <w:tr w14:paraId="7CBBF0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6" w:type="pct"/>
                  <w:vMerge w:val="continue"/>
                  <w:tcBorders>
                    <w:tl2br w:val="nil"/>
                    <w:tr2bl w:val="nil"/>
                  </w:tcBorders>
                  <w:noWrap w:val="0"/>
                  <w:vAlign w:val="center"/>
                </w:tcPr>
                <w:p w14:paraId="6C1FD7F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Cs/>
                      <w:color w:val="auto"/>
                      <w:kern w:val="1"/>
                      <w:sz w:val="21"/>
                      <w:highlight w:val="none"/>
                    </w:rPr>
                  </w:pPr>
                </w:p>
              </w:tc>
              <w:tc>
                <w:tcPr>
                  <w:tcW w:w="575" w:type="pct"/>
                  <w:tcBorders>
                    <w:tl2br w:val="nil"/>
                    <w:tr2bl w:val="nil"/>
                  </w:tcBorders>
                  <w:noWrap w:val="0"/>
                  <w:vAlign w:val="center"/>
                </w:tcPr>
                <w:p w14:paraId="0376A22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Cs/>
                      <w:color w:val="auto"/>
                      <w:kern w:val="1"/>
                      <w:sz w:val="21"/>
                      <w:highlight w:val="none"/>
                      <w:lang w:val="en-US" w:eastAsia="zh-CN"/>
                    </w:rPr>
                  </w:pPr>
                  <w:r>
                    <w:rPr>
                      <w:rFonts w:hint="default" w:ascii="Times New Roman" w:hAnsi="Times New Roman" w:eastAsia="宋体" w:cs="Times New Roman"/>
                      <w:bCs/>
                      <w:color w:val="auto"/>
                      <w:kern w:val="1"/>
                      <w:sz w:val="21"/>
                      <w:highlight w:val="none"/>
                    </w:rPr>
                    <w:t>X</w:t>
                  </w:r>
                </w:p>
              </w:tc>
              <w:tc>
                <w:tcPr>
                  <w:tcW w:w="523" w:type="pct"/>
                  <w:tcBorders>
                    <w:tl2br w:val="nil"/>
                    <w:tr2bl w:val="nil"/>
                  </w:tcBorders>
                  <w:noWrap w:val="0"/>
                  <w:vAlign w:val="center"/>
                </w:tcPr>
                <w:p w14:paraId="4457877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Cs/>
                      <w:color w:val="auto"/>
                      <w:kern w:val="1"/>
                      <w:sz w:val="21"/>
                      <w:highlight w:val="none"/>
                      <w:lang w:val="en-US" w:eastAsia="zh-CN"/>
                    </w:rPr>
                  </w:pPr>
                  <w:r>
                    <w:rPr>
                      <w:rFonts w:hint="default" w:ascii="Times New Roman" w:hAnsi="Times New Roman" w:eastAsia="宋体" w:cs="Times New Roman"/>
                      <w:bCs/>
                      <w:color w:val="auto"/>
                      <w:kern w:val="1"/>
                      <w:sz w:val="21"/>
                      <w:highlight w:val="none"/>
                    </w:rPr>
                    <w:t>Y</w:t>
                  </w:r>
                </w:p>
              </w:tc>
              <w:tc>
                <w:tcPr>
                  <w:tcW w:w="641" w:type="pct"/>
                  <w:vMerge w:val="continue"/>
                  <w:tcBorders>
                    <w:tl2br w:val="nil"/>
                    <w:tr2bl w:val="nil"/>
                  </w:tcBorders>
                  <w:noWrap w:val="0"/>
                  <w:vAlign w:val="center"/>
                </w:tcPr>
                <w:p w14:paraId="7E608CD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Cs/>
                      <w:color w:val="auto"/>
                      <w:kern w:val="1"/>
                      <w:sz w:val="21"/>
                      <w:highlight w:val="none"/>
                      <w:lang w:val="en-US" w:eastAsia="zh-CN"/>
                    </w:rPr>
                  </w:pPr>
                </w:p>
              </w:tc>
              <w:tc>
                <w:tcPr>
                  <w:tcW w:w="723" w:type="pct"/>
                  <w:vMerge w:val="continue"/>
                  <w:tcBorders>
                    <w:tl2br w:val="nil"/>
                    <w:tr2bl w:val="nil"/>
                  </w:tcBorders>
                  <w:noWrap w:val="0"/>
                  <w:vAlign w:val="center"/>
                </w:tcPr>
                <w:p w14:paraId="4CF08D4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Cs/>
                      <w:color w:val="auto"/>
                      <w:kern w:val="1"/>
                      <w:sz w:val="21"/>
                      <w:highlight w:val="none"/>
                      <w:lang w:val="en-US" w:eastAsia="zh-CN"/>
                    </w:rPr>
                  </w:pPr>
                </w:p>
              </w:tc>
              <w:tc>
                <w:tcPr>
                  <w:tcW w:w="1051" w:type="pct"/>
                  <w:vMerge w:val="continue"/>
                  <w:tcBorders>
                    <w:tl2br w:val="nil"/>
                    <w:tr2bl w:val="nil"/>
                  </w:tcBorders>
                  <w:noWrap w:val="0"/>
                  <w:vAlign w:val="center"/>
                </w:tcPr>
                <w:p w14:paraId="64F93A1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Cs/>
                      <w:color w:val="auto"/>
                      <w:kern w:val="1"/>
                      <w:sz w:val="21"/>
                      <w:highlight w:val="none"/>
                      <w:lang w:val="en-US" w:eastAsia="zh-CN"/>
                    </w:rPr>
                  </w:pPr>
                </w:p>
              </w:tc>
              <w:tc>
                <w:tcPr>
                  <w:tcW w:w="727" w:type="pct"/>
                  <w:vMerge w:val="continue"/>
                  <w:tcBorders>
                    <w:tl2br w:val="nil"/>
                    <w:tr2bl w:val="nil"/>
                  </w:tcBorders>
                  <w:noWrap w:val="0"/>
                  <w:vAlign w:val="center"/>
                </w:tcPr>
                <w:p w14:paraId="4940C0C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288" w:lineRule="auto"/>
                    <w:jc w:val="center"/>
                    <w:textAlignment w:val="auto"/>
                    <w:rPr>
                      <w:rFonts w:hint="default" w:ascii="Times New Roman" w:hAnsi="Times New Roman" w:eastAsia="宋体" w:cs="Times New Roman"/>
                      <w:bCs/>
                      <w:color w:val="auto"/>
                      <w:kern w:val="1"/>
                      <w:sz w:val="21"/>
                      <w:highlight w:val="none"/>
                      <w:lang w:val="en-US" w:eastAsia="zh-CN"/>
                    </w:rPr>
                  </w:pPr>
                </w:p>
              </w:tc>
            </w:tr>
            <w:tr w14:paraId="6F4B8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756" w:type="pct"/>
                  <w:tcBorders>
                    <w:tl2br w:val="nil"/>
                    <w:tr2bl w:val="nil"/>
                  </w:tcBorders>
                  <w:noWrap w:val="0"/>
                  <w:vAlign w:val="center"/>
                </w:tcPr>
                <w:p w14:paraId="5C56F927">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1#主导风向下风向</w:t>
                  </w:r>
                </w:p>
              </w:tc>
              <w:tc>
                <w:tcPr>
                  <w:tcW w:w="965" w:type="dxa"/>
                  <w:tcBorders>
                    <w:tl2br w:val="nil"/>
                    <w:tr2bl w:val="nil"/>
                  </w:tcBorders>
                  <w:noWrap w:val="0"/>
                  <w:vAlign w:val="center"/>
                </w:tcPr>
                <w:p w14:paraId="78EBA90D">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306</w:t>
                  </w:r>
                </w:p>
              </w:tc>
              <w:tc>
                <w:tcPr>
                  <w:tcW w:w="878" w:type="dxa"/>
                  <w:tcBorders>
                    <w:tl2br w:val="nil"/>
                    <w:tr2bl w:val="nil"/>
                  </w:tcBorders>
                  <w:noWrap w:val="0"/>
                  <w:vAlign w:val="center"/>
                </w:tcPr>
                <w:p w14:paraId="58120215">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152</w:t>
                  </w:r>
                </w:p>
              </w:tc>
              <w:tc>
                <w:tcPr>
                  <w:tcW w:w="641" w:type="pct"/>
                  <w:tcBorders>
                    <w:tl2br w:val="nil"/>
                    <w:tr2bl w:val="nil"/>
                  </w:tcBorders>
                  <w:noWrap w:val="0"/>
                  <w:vAlign w:val="center"/>
                </w:tcPr>
                <w:p w14:paraId="39E27958">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东南</w:t>
                  </w:r>
                </w:p>
              </w:tc>
              <w:tc>
                <w:tcPr>
                  <w:tcW w:w="723" w:type="pct"/>
                  <w:tcBorders>
                    <w:tl2br w:val="nil"/>
                    <w:tr2bl w:val="nil"/>
                  </w:tcBorders>
                  <w:noWrap w:val="0"/>
                  <w:vAlign w:val="center"/>
                </w:tcPr>
                <w:p w14:paraId="48761805">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c>
                <w:tcPr>
                  <w:tcW w:w="1051" w:type="pct"/>
                  <w:tcBorders>
                    <w:tl2br w:val="nil"/>
                    <w:tr2bl w:val="nil"/>
                  </w:tcBorders>
                  <w:noWrap w:val="0"/>
                  <w:vAlign w:val="center"/>
                </w:tcPr>
                <w:p w14:paraId="42A98105">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2022年7月14日~16日</w:t>
                  </w:r>
                </w:p>
              </w:tc>
              <w:tc>
                <w:tcPr>
                  <w:tcW w:w="727" w:type="pct"/>
                  <w:tcBorders>
                    <w:tl2br w:val="nil"/>
                    <w:tr2bl w:val="nil"/>
                  </w:tcBorders>
                  <w:noWrap w:val="0"/>
                  <w:vAlign w:val="center"/>
                </w:tcPr>
                <w:p w14:paraId="745069D9">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TSP</w:t>
                  </w:r>
                </w:p>
              </w:tc>
            </w:tr>
          </w:tbl>
          <w:p w14:paraId="76D47011">
            <w:pPr>
              <w:pStyle w:val="108"/>
              <w:keepNext w:val="0"/>
              <w:keepLines w:val="0"/>
              <w:pageBreakBefore w:val="0"/>
              <w:widowControl/>
              <w:kinsoku/>
              <w:wordWrap/>
              <w:overflowPunct/>
              <w:topLinePunct w:val="0"/>
              <w:autoSpaceDE/>
              <w:autoSpaceDN/>
              <w:bidi w:val="0"/>
              <w:adjustRightInd/>
              <w:snapToGrid/>
              <w:spacing w:beforeLines="50" w:line="240" w:lineRule="auto"/>
              <w:ind w:firstLine="560"/>
              <w:textAlignment w:val="auto"/>
              <w:rPr>
                <w:rFonts w:hint="eastAsia"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18"/>
                <w:szCs w:val="18"/>
                <w:highlight w:val="none"/>
                <w:lang w:val="en-US" w:eastAsia="zh-CN"/>
              </w:rPr>
              <w:t>注：以厂区西南角为原点</w:t>
            </w:r>
          </w:p>
          <w:p w14:paraId="0F6A3C76">
            <w:pPr>
              <w:pStyle w:val="108"/>
              <w:keepNext w:val="0"/>
              <w:keepLines w:val="0"/>
              <w:pageBreakBefore w:val="0"/>
              <w:widowControl/>
              <w:kinsoku/>
              <w:wordWrap/>
              <w:overflowPunct/>
              <w:topLinePunct w:val="0"/>
              <w:autoSpaceDE/>
              <w:autoSpaceDN/>
              <w:bidi w:val="0"/>
              <w:adjustRightInd/>
              <w:snapToGrid/>
              <w:spacing w:beforeLines="50" w:line="360" w:lineRule="auto"/>
              <w:ind w:firstLine="560"/>
              <w:textAlignment w:val="auto"/>
              <w:rPr>
                <w:rFonts w:hint="eastAsia"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③补充监测结果</w:t>
            </w:r>
          </w:p>
          <w:p w14:paraId="6004EDEE">
            <w:pPr>
              <w:pStyle w:val="108"/>
              <w:keepNext w:val="0"/>
              <w:keepLines w:val="0"/>
              <w:pageBreakBefore w:val="0"/>
              <w:widowControl/>
              <w:kinsoku/>
              <w:wordWrap/>
              <w:overflowPunct/>
              <w:topLinePunct w:val="0"/>
              <w:autoSpaceDE/>
              <w:autoSpaceDN/>
              <w:bidi w:val="0"/>
              <w:adjustRightInd/>
              <w:snapToGrid/>
              <w:spacing w:line="360" w:lineRule="auto"/>
              <w:ind w:firstLine="560"/>
              <w:textAlignment w:val="auto"/>
              <w:rPr>
                <w:rFonts w:hint="default" w:ascii="Times New Roman" w:hAnsi="Times New Roman" w:eastAsia="宋体"/>
                <w:color w:val="auto"/>
                <w:highlight w:val="none"/>
              </w:rPr>
            </w:pPr>
            <w:r>
              <w:rPr>
                <w:rFonts w:hint="eastAsia" w:ascii="Times New Roman" w:hAnsi="Times New Roman" w:eastAsia="宋体" w:cs="宋体"/>
                <w:color w:val="auto"/>
                <w:sz w:val="24"/>
                <w:szCs w:val="24"/>
                <w:highlight w:val="none"/>
              </w:rPr>
              <w:t>补充监测结果</w:t>
            </w:r>
            <w:r>
              <w:rPr>
                <w:rFonts w:hint="eastAsia" w:ascii="Times New Roman" w:hAnsi="Times New Roman" w:eastAsia="宋体" w:cs="宋体"/>
                <w:color w:val="auto"/>
                <w:sz w:val="24"/>
                <w:szCs w:val="24"/>
                <w:highlight w:val="none"/>
                <w:lang w:val="en-US" w:eastAsia="zh-CN"/>
              </w:rPr>
              <w:t>详见表3-3</w:t>
            </w:r>
            <w:r>
              <w:rPr>
                <w:rFonts w:hint="eastAsia" w:ascii="Times New Roman" w:hAnsi="Times New Roman" w:eastAsia="宋体" w:cs="宋体"/>
                <w:color w:val="auto"/>
                <w:sz w:val="24"/>
                <w:szCs w:val="24"/>
                <w:highlight w:val="none"/>
              </w:rPr>
              <w:t>。</w:t>
            </w:r>
          </w:p>
          <w:p w14:paraId="7E20D7D6">
            <w:pPr>
              <w:keepNext w:val="0"/>
              <w:keepLines w:val="0"/>
              <w:pageBreakBefore w:val="0"/>
              <w:widowControl/>
              <w:tabs>
                <w:tab w:val="left" w:pos="420"/>
              </w:tabs>
              <w:kinsoku/>
              <w:wordWrap/>
              <w:overflowPunct/>
              <w:topLinePunct w:val="0"/>
              <w:autoSpaceDE/>
              <w:autoSpaceDN/>
              <w:bidi w:val="0"/>
              <w:adjustRightInd/>
              <w:snapToGrid/>
              <w:spacing w:line="360" w:lineRule="auto"/>
              <w:jc w:val="center"/>
              <w:textAlignment w:val="auto"/>
              <w:rPr>
                <w:rStyle w:val="100"/>
                <w:rFonts w:hint="default" w:ascii="Times New Roman" w:hAnsi="Times New Roman" w:eastAsia="宋体"/>
                <w:b/>
                <w:bCs/>
                <w:color w:val="auto"/>
                <w:sz w:val="24"/>
                <w:szCs w:val="24"/>
                <w:highlight w:val="none"/>
                <w:lang w:val="en-US" w:eastAsia="zh-CN"/>
              </w:rPr>
            </w:pPr>
            <w:r>
              <w:rPr>
                <w:rFonts w:hint="default" w:ascii="Times New Roman" w:hAnsi="Times New Roman" w:eastAsia="宋体" w:cs="Times New Roman"/>
                <w:b/>
                <w:bCs/>
                <w:color w:val="auto"/>
                <w:kern w:val="2"/>
                <w:sz w:val="21"/>
                <w:szCs w:val="21"/>
                <w:lang w:val="en-US" w:eastAsia="zh-CN" w:bidi="ar-SA"/>
              </w:rPr>
              <w:t>表3-3</w:t>
            </w:r>
            <w:r>
              <w:rPr>
                <w:rFonts w:hint="eastAsia" w:ascii="Times New Roman" w:hAnsi="Times New Roman" w:eastAsia="宋体" w:cs="Times New Roman"/>
                <w:b/>
                <w:bCs/>
                <w:color w:val="auto"/>
                <w:kern w:val="2"/>
                <w:sz w:val="21"/>
                <w:szCs w:val="21"/>
                <w:lang w:val="en-US" w:eastAsia="zh-CN" w:bidi="ar-SA"/>
              </w:rPr>
              <w:t xml:space="preserve"> </w:t>
            </w:r>
            <w:r>
              <w:rPr>
                <w:rFonts w:hint="default" w:ascii="Times New Roman" w:hAnsi="Times New Roman" w:eastAsia="宋体" w:cs="Times New Roman"/>
                <w:b/>
                <w:bCs/>
                <w:color w:val="auto"/>
                <w:kern w:val="2"/>
                <w:sz w:val="21"/>
                <w:szCs w:val="21"/>
                <w:lang w:val="en-US" w:eastAsia="zh-CN" w:bidi="ar-SA"/>
              </w:rPr>
              <w:t>其他污染物环境质量现状监测结果表</w:t>
            </w:r>
          </w:p>
          <w:tbl>
            <w:tblPr>
              <w:tblStyle w:val="3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723"/>
              <w:gridCol w:w="683"/>
              <w:gridCol w:w="883"/>
              <w:gridCol w:w="554"/>
              <w:gridCol w:w="1289"/>
              <w:gridCol w:w="1287"/>
              <w:gridCol w:w="807"/>
              <w:gridCol w:w="676"/>
              <w:gridCol w:w="590"/>
            </w:tblGrid>
            <w:tr w14:paraId="7E656A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2" w:type="pct"/>
                  <w:vMerge w:val="restart"/>
                  <w:tcBorders>
                    <w:tl2br w:val="nil"/>
                    <w:tr2bl w:val="nil"/>
                  </w:tcBorders>
                  <w:noWrap w:val="0"/>
                  <w:vAlign w:val="center"/>
                </w:tcPr>
                <w:p w14:paraId="71B7D33A">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default" w:ascii="Times New Roman" w:hAnsi="Times New Roman" w:eastAsia="宋体"/>
                      <w:b/>
                      <w:bCs/>
                      <w:color w:val="auto"/>
                      <w:sz w:val="21"/>
                      <w:szCs w:val="21"/>
                      <w:highlight w:val="none"/>
                      <w:lang w:val="en-US" w:eastAsia="zh-CN"/>
                    </w:rPr>
                    <w:t>监测</w:t>
                  </w:r>
                </w:p>
                <w:p w14:paraId="72ACE43B">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default" w:ascii="Times New Roman" w:hAnsi="Times New Roman" w:eastAsia="宋体"/>
                      <w:b/>
                      <w:bCs/>
                      <w:color w:val="auto"/>
                      <w:sz w:val="21"/>
                      <w:szCs w:val="21"/>
                      <w:highlight w:val="none"/>
                      <w:lang w:val="en-US" w:eastAsia="zh-CN"/>
                    </w:rPr>
                    <w:t>点位</w:t>
                  </w:r>
                </w:p>
              </w:tc>
              <w:tc>
                <w:tcPr>
                  <w:tcW w:w="838" w:type="pct"/>
                  <w:gridSpan w:val="2"/>
                  <w:tcBorders>
                    <w:tl2br w:val="nil"/>
                    <w:tr2bl w:val="nil"/>
                  </w:tcBorders>
                  <w:noWrap w:val="0"/>
                  <w:vAlign w:val="center"/>
                </w:tcPr>
                <w:p w14:paraId="2F04A49B">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default" w:ascii="Times New Roman" w:hAnsi="Times New Roman" w:eastAsia="宋体"/>
                      <w:b/>
                      <w:bCs/>
                      <w:color w:val="auto"/>
                      <w:sz w:val="21"/>
                      <w:szCs w:val="21"/>
                      <w:highlight w:val="none"/>
                      <w:lang w:val="en-US" w:eastAsia="zh-CN"/>
                    </w:rPr>
                    <w:t>监测点坐标/m</w:t>
                  </w:r>
                </w:p>
              </w:tc>
              <w:tc>
                <w:tcPr>
                  <w:tcW w:w="526" w:type="pct"/>
                  <w:vMerge w:val="restart"/>
                  <w:tcBorders>
                    <w:tl2br w:val="nil"/>
                    <w:tr2bl w:val="nil"/>
                  </w:tcBorders>
                  <w:noWrap w:val="0"/>
                  <w:vAlign w:val="center"/>
                </w:tcPr>
                <w:p w14:paraId="4D5BD570">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default" w:ascii="Times New Roman" w:hAnsi="Times New Roman" w:eastAsia="宋体"/>
                      <w:b/>
                      <w:bCs/>
                      <w:color w:val="auto"/>
                      <w:sz w:val="21"/>
                      <w:szCs w:val="21"/>
                      <w:highlight w:val="none"/>
                      <w:lang w:val="en-US" w:eastAsia="zh-CN"/>
                    </w:rPr>
                    <w:t>污染物</w:t>
                  </w:r>
                </w:p>
              </w:tc>
              <w:tc>
                <w:tcPr>
                  <w:tcW w:w="330" w:type="pct"/>
                  <w:vMerge w:val="restart"/>
                  <w:tcBorders>
                    <w:tl2br w:val="nil"/>
                    <w:tr2bl w:val="nil"/>
                  </w:tcBorders>
                  <w:noWrap w:val="0"/>
                  <w:vAlign w:val="center"/>
                </w:tcPr>
                <w:p w14:paraId="10C7534E">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default" w:ascii="Times New Roman" w:hAnsi="Times New Roman" w:eastAsia="宋体"/>
                      <w:b/>
                      <w:bCs/>
                      <w:color w:val="auto"/>
                      <w:sz w:val="21"/>
                      <w:szCs w:val="21"/>
                      <w:highlight w:val="none"/>
                      <w:lang w:val="en-US" w:eastAsia="zh-CN"/>
                    </w:rPr>
                    <w:t>平均</w:t>
                  </w:r>
                </w:p>
                <w:p w14:paraId="2F8EB91B">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default" w:ascii="Times New Roman" w:hAnsi="Times New Roman" w:eastAsia="宋体"/>
                      <w:b/>
                      <w:bCs/>
                      <w:color w:val="auto"/>
                      <w:sz w:val="21"/>
                      <w:szCs w:val="21"/>
                      <w:highlight w:val="none"/>
                      <w:lang w:val="en-US" w:eastAsia="zh-CN"/>
                    </w:rPr>
                    <w:t>时间</w:t>
                  </w:r>
                </w:p>
              </w:tc>
              <w:tc>
                <w:tcPr>
                  <w:tcW w:w="768" w:type="pct"/>
                  <w:vMerge w:val="restart"/>
                  <w:tcBorders>
                    <w:tl2br w:val="nil"/>
                    <w:tr2bl w:val="nil"/>
                  </w:tcBorders>
                  <w:noWrap w:val="0"/>
                  <w:vAlign w:val="center"/>
                </w:tcPr>
                <w:p w14:paraId="39E3A812">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default" w:ascii="Times New Roman" w:hAnsi="Times New Roman" w:eastAsia="宋体"/>
                      <w:b/>
                      <w:bCs/>
                      <w:color w:val="auto"/>
                      <w:sz w:val="21"/>
                      <w:szCs w:val="21"/>
                      <w:highlight w:val="none"/>
                      <w:lang w:val="en-US" w:eastAsia="zh-CN"/>
                    </w:rPr>
                    <w:t>评价标准（</w:t>
                  </w:r>
                  <w:r>
                    <w:rPr>
                      <w:rFonts w:hint="eastAsia" w:ascii="Times New Roman" w:hAnsi="Times New Roman" w:cs="Times New Roman"/>
                      <w:b/>
                      <w:bCs/>
                      <w:color w:val="auto"/>
                      <w:sz w:val="21"/>
                      <w:szCs w:val="21"/>
                      <w:highlight w:val="none"/>
                      <w:lang w:val="en-US" w:eastAsia="zh-CN"/>
                    </w:rPr>
                    <w:t>m</w:t>
                  </w:r>
                  <w:r>
                    <w:rPr>
                      <w:rFonts w:hint="default" w:ascii="Times New Roman" w:hAnsi="Times New Roman" w:eastAsia="宋体" w:cs="Times New Roman"/>
                      <w:b/>
                      <w:bCs/>
                      <w:color w:val="auto"/>
                      <w:sz w:val="21"/>
                      <w:szCs w:val="21"/>
                      <w:highlight w:val="none"/>
                      <w:lang w:val="en-US" w:eastAsia="zh-CN"/>
                    </w:rPr>
                    <w:t>g/</w:t>
                  </w:r>
                  <w:r>
                    <w:rPr>
                      <w:rFonts w:hint="default" w:ascii="Times New Roman" w:hAnsi="Times New Roman" w:eastAsia="宋体"/>
                      <w:b/>
                      <w:bCs/>
                      <w:color w:val="auto"/>
                      <w:sz w:val="21"/>
                      <w:szCs w:val="21"/>
                      <w:highlight w:val="none"/>
                      <w:lang w:val="en-US" w:eastAsia="zh-CN"/>
                    </w:rPr>
                    <w:t>m</w:t>
                  </w:r>
                  <w:r>
                    <w:rPr>
                      <w:rFonts w:hint="default" w:ascii="Times New Roman" w:hAnsi="Times New Roman" w:eastAsia="宋体"/>
                      <w:b/>
                      <w:bCs/>
                      <w:color w:val="auto"/>
                      <w:sz w:val="21"/>
                      <w:szCs w:val="21"/>
                      <w:highlight w:val="none"/>
                      <w:vertAlign w:val="superscript"/>
                      <w:lang w:val="en-US" w:eastAsia="zh-CN"/>
                    </w:rPr>
                    <w:t>3</w:t>
                  </w:r>
                  <w:r>
                    <w:rPr>
                      <w:rFonts w:hint="default" w:ascii="Times New Roman" w:hAnsi="Times New Roman" w:eastAsia="宋体"/>
                      <w:b/>
                      <w:bCs/>
                      <w:color w:val="auto"/>
                      <w:sz w:val="21"/>
                      <w:szCs w:val="21"/>
                      <w:highlight w:val="none"/>
                      <w:lang w:val="en-US" w:eastAsia="zh-CN"/>
                    </w:rPr>
                    <w:t>）</w:t>
                  </w:r>
                </w:p>
              </w:tc>
              <w:tc>
                <w:tcPr>
                  <w:tcW w:w="767" w:type="pct"/>
                  <w:vMerge w:val="restart"/>
                  <w:tcBorders>
                    <w:tl2br w:val="nil"/>
                    <w:tr2bl w:val="nil"/>
                  </w:tcBorders>
                  <w:noWrap w:val="0"/>
                  <w:vAlign w:val="center"/>
                </w:tcPr>
                <w:p w14:paraId="0969057F">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default" w:ascii="Times New Roman" w:hAnsi="Times New Roman" w:eastAsia="宋体"/>
                      <w:b/>
                      <w:bCs/>
                      <w:color w:val="auto"/>
                      <w:sz w:val="21"/>
                      <w:szCs w:val="21"/>
                      <w:highlight w:val="none"/>
                      <w:lang w:val="en-US" w:eastAsia="zh-CN"/>
                    </w:rPr>
                    <w:t>监测浓度范围</w:t>
                  </w:r>
                  <w:r>
                    <w:rPr>
                      <w:rFonts w:hint="eastAsia" w:ascii="Times New Roman" w:hAnsi="Times New Roman" w:eastAsia="宋体"/>
                      <w:b/>
                      <w:bCs/>
                      <w:color w:val="auto"/>
                      <w:sz w:val="21"/>
                      <w:szCs w:val="21"/>
                      <w:highlight w:val="none"/>
                      <w:lang w:val="en-US" w:eastAsia="zh-CN"/>
                    </w:rPr>
                    <w:t>（</w:t>
                  </w:r>
                  <w:r>
                    <w:rPr>
                      <w:rFonts w:hint="eastAsia" w:ascii="Times New Roman" w:hAnsi="Times New Roman"/>
                      <w:b/>
                      <w:bCs/>
                      <w:color w:val="auto"/>
                      <w:sz w:val="21"/>
                      <w:szCs w:val="21"/>
                      <w:highlight w:val="none"/>
                      <w:lang w:val="en-US" w:eastAsia="zh-CN"/>
                    </w:rPr>
                    <w:t>m</w:t>
                  </w:r>
                  <w:r>
                    <w:rPr>
                      <w:rFonts w:hint="default" w:ascii="Times New Roman" w:hAnsi="Times New Roman" w:eastAsia="宋体"/>
                      <w:b/>
                      <w:bCs/>
                      <w:color w:val="auto"/>
                      <w:sz w:val="21"/>
                      <w:szCs w:val="21"/>
                      <w:highlight w:val="none"/>
                      <w:lang w:val="en-US" w:eastAsia="zh-CN"/>
                    </w:rPr>
                    <w:t>g/m</w:t>
                  </w:r>
                  <w:r>
                    <w:rPr>
                      <w:rFonts w:hint="default" w:ascii="Times New Roman" w:hAnsi="Times New Roman" w:eastAsia="宋体"/>
                      <w:b/>
                      <w:bCs/>
                      <w:color w:val="auto"/>
                      <w:sz w:val="21"/>
                      <w:szCs w:val="21"/>
                      <w:highlight w:val="none"/>
                      <w:vertAlign w:val="superscript"/>
                      <w:lang w:val="en-US" w:eastAsia="zh-CN"/>
                    </w:rPr>
                    <w:t>3</w:t>
                  </w:r>
                  <w:r>
                    <w:rPr>
                      <w:rFonts w:hint="eastAsia" w:ascii="Times New Roman" w:hAnsi="Times New Roman" w:eastAsia="宋体"/>
                      <w:b/>
                      <w:bCs/>
                      <w:color w:val="auto"/>
                      <w:sz w:val="21"/>
                      <w:szCs w:val="21"/>
                      <w:highlight w:val="none"/>
                      <w:lang w:val="en-US" w:eastAsia="zh-CN"/>
                    </w:rPr>
                    <w:t>）</w:t>
                  </w:r>
                </w:p>
              </w:tc>
              <w:tc>
                <w:tcPr>
                  <w:tcW w:w="481" w:type="pct"/>
                  <w:vMerge w:val="restart"/>
                  <w:tcBorders>
                    <w:tl2br w:val="nil"/>
                    <w:tr2bl w:val="nil"/>
                  </w:tcBorders>
                  <w:noWrap w:val="0"/>
                  <w:vAlign w:val="center"/>
                </w:tcPr>
                <w:p w14:paraId="4605D85B">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default" w:ascii="Times New Roman" w:hAnsi="Times New Roman" w:eastAsia="宋体"/>
                      <w:b/>
                      <w:bCs/>
                      <w:color w:val="auto"/>
                      <w:sz w:val="21"/>
                      <w:szCs w:val="21"/>
                      <w:highlight w:val="none"/>
                      <w:lang w:val="en-US" w:eastAsia="zh-CN"/>
                    </w:rPr>
                    <w:t>最大浓度占标率%</w:t>
                  </w:r>
                </w:p>
              </w:tc>
              <w:tc>
                <w:tcPr>
                  <w:tcW w:w="403" w:type="pct"/>
                  <w:vMerge w:val="restart"/>
                  <w:tcBorders>
                    <w:tl2br w:val="nil"/>
                    <w:tr2bl w:val="nil"/>
                  </w:tcBorders>
                  <w:noWrap w:val="0"/>
                  <w:vAlign w:val="center"/>
                </w:tcPr>
                <w:p w14:paraId="08EE3277">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default" w:ascii="Times New Roman" w:hAnsi="Times New Roman" w:eastAsia="宋体"/>
                      <w:b/>
                      <w:bCs/>
                      <w:color w:val="auto"/>
                      <w:sz w:val="21"/>
                      <w:szCs w:val="21"/>
                      <w:highlight w:val="none"/>
                      <w:lang w:val="en-US" w:eastAsia="zh-CN"/>
                    </w:rPr>
                    <w:t>超标率%</w:t>
                  </w:r>
                </w:p>
              </w:tc>
              <w:tc>
                <w:tcPr>
                  <w:tcW w:w="351" w:type="pct"/>
                  <w:vMerge w:val="restart"/>
                  <w:tcBorders>
                    <w:tl2br w:val="nil"/>
                    <w:tr2bl w:val="nil"/>
                  </w:tcBorders>
                  <w:noWrap w:val="0"/>
                  <w:vAlign w:val="center"/>
                </w:tcPr>
                <w:p w14:paraId="0338BA0A">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default" w:ascii="Times New Roman" w:hAnsi="Times New Roman" w:eastAsia="宋体"/>
                      <w:b/>
                      <w:bCs/>
                      <w:color w:val="auto"/>
                      <w:sz w:val="21"/>
                      <w:szCs w:val="21"/>
                      <w:highlight w:val="none"/>
                      <w:lang w:val="en-US" w:eastAsia="zh-CN"/>
                    </w:rPr>
                    <w:t>达标情况</w:t>
                  </w:r>
                </w:p>
              </w:tc>
            </w:tr>
            <w:tr w14:paraId="1B492F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2" w:type="pct"/>
                  <w:vMerge w:val="continue"/>
                  <w:tcBorders>
                    <w:tl2br w:val="nil"/>
                    <w:tr2bl w:val="nil"/>
                  </w:tcBorders>
                  <w:noWrap w:val="0"/>
                  <w:vAlign w:val="center"/>
                </w:tcPr>
                <w:p w14:paraId="54862C03">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olor w:val="auto"/>
                      <w:sz w:val="21"/>
                      <w:szCs w:val="21"/>
                      <w:highlight w:val="none"/>
                      <w:lang w:val="en-US" w:eastAsia="zh-CN"/>
                    </w:rPr>
                  </w:pPr>
                </w:p>
              </w:tc>
              <w:tc>
                <w:tcPr>
                  <w:tcW w:w="431" w:type="pct"/>
                  <w:tcBorders>
                    <w:tl2br w:val="nil"/>
                    <w:tr2bl w:val="nil"/>
                  </w:tcBorders>
                  <w:noWrap w:val="0"/>
                  <w:vAlign w:val="center"/>
                </w:tcPr>
                <w:p w14:paraId="4A571E1D">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X</w:t>
                  </w:r>
                </w:p>
              </w:tc>
              <w:tc>
                <w:tcPr>
                  <w:tcW w:w="407" w:type="pct"/>
                  <w:tcBorders>
                    <w:tl2br w:val="nil"/>
                    <w:tr2bl w:val="nil"/>
                  </w:tcBorders>
                  <w:noWrap w:val="0"/>
                  <w:vAlign w:val="center"/>
                </w:tcPr>
                <w:p w14:paraId="0D3F1C9C">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Y</w:t>
                  </w:r>
                </w:p>
              </w:tc>
              <w:tc>
                <w:tcPr>
                  <w:tcW w:w="526" w:type="pct"/>
                  <w:vMerge w:val="continue"/>
                  <w:tcBorders>
                    <w:tl2br w:val="nil"/>
                    <w:tr2bl w:val="nil"/>
                  </w:tcBorders>
                  <w:noWrap w:val="0"/>
                  <w:vAlign w:val="center"/>
                </w:tcPr>
                <w:p w14:paraId="38998815">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olor w:val="auto"/>
                      <w:sz w:val="21"/>
                      <w:szCs w:val="21"/>
                      <w:highlight w:val="none"/>
                      <w:lang w:val="en-US" w:eastAsia="zh-CN"/>
                    </w:rPr>
                  </w:pPr>
                </w:p>
              </w:tc>
              <w:tc>
                <w:tcPr>
                  <w:tcW w:w="330" w:type="pct"/>
                  <w:vMerge w:val="continue"/>
                  <w:tcBorders>
                    <w:tl2br w:val="nil"/>
                    <w:tr2bl w:val="nil"/>
                  </w:tcBorders>
                  <w:noWrap w:val="0"/>
                  <w:vAlign w:val="center"/>
                </w:tcPr>
                <w:p w14:paraId="48E0587F">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olor w:val="auto"/>
                      <w:sz w:val="21"/>
                      <w:szCs w:val="21"/>
                      <w:highlight w:val="none"/>
                      <w:lang w:val="en-US" w:eastAsia="zh-CN"/>
                    </w:rPr>
                  </w:pPr>
                </w:p>
              </w:tc>
              <w:tc>
                <w:tcPr>
                  <w:tcW w:w="768" w:type="pct"/>
                  <w:vMerge w:val="continue"/>
                  <w:tcBorders>
                    <w:tl2br w:val="nil"/>
                    <w:tr2bl w:val="nil"/>
                  </w:tcBorders>
                  <w:noWrap w:val="0"/>
                  <w:vAlign w:val="center"/>
                </w:tcPr>
                <w:p w14:paraId="45352013">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olor w:val="auto"/>
                      <w:sz w:val="21"/>
                      <w:szCs w:val="21"/>
                      <w:highlight w:val="none"/>
                      <w:lang w:val="en-US" w:eastAsia="zh-CN"/>
                    </w:rPr>
                  </w:pPr>
                </w:p>
              </w:tc>
              <w:tc>
                <w:tcPr>
                  <w:tcW w:w="767" w:type="pct"/>
                  <w:vMerge w:val="continue"/>
                  <w:tcBorders>
                    <w:tl2br w:val="nil"/>
                    <w:tr2bl w:val="nil"/>
                  </w:tcBorders>
                  <w:noWrap w:val="0"/>
                  <w:vAlign w:val="center"/>
                </w:tcPr>
                <w:p w14:paraId="077F8EF0">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olor w:val="auto"/>
                      <w:sz w:val="21"/>
                      <w:szCs w:val="21"/>
                      <w:highlight w:val="none"/>
                      <w:lang w:val="en-US" w:eastAsia="zh-CN"/>
                    </w:rPr>
                  </w:pPr>
                </w:p>
              </w:tc>
              <w:tc>
                <w:tcPr>
                  <w:tcW w:w="481" w:type="pct"/>
                  <w:vMerge w:val="continue"/>
                  <w:tcBorders>
                    <w:tl2br w:val="nil"/>
                    <w:tr2bl w:val="nil"/>
                  </w:tcBorders>
                  <w:noWrap w:val="0"/>
                  <w:vAlign w:val="center"/>
                </w:tcPr>
                <w:p w14:paraId="215A803D">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olor w:val="auto"/>
                      <w:sz w:val="21"/>
                      <w:szCs w:val="21"/>
                      <w:highlight w:val="none"/>
                      <w:lang w:val="en-US" w:eastAsia="zh-CN"/>
                    </w:rPr>
                  </w:pPr>
                </w:p>
              </w:tc>
              <w:tc>
                <w:tcPr>
                  <w:tcW w:w="403" w:type="pct"/>
                  <w:vMerge w:val="continue"/>
                  <w:tcBorders>
                    <w:tl2br w:val="nil"/>
                    <w:tr2bl w:val="nil"/>
                  </w:tcBorders>
                  <w:noWrap w:val="0"/>
                  <w:vAlign w:val="center"/>
                </w:tcPr>
                <w:p w14:paraId="194C2FEA">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olor w:val="auto"/>
                      <w:sz w:val="21"/>
                      <w:szCs w:val="21"/>
                      <w:highlight w:val="none"/>
                      <w:lang w:val="en-US" w:eastAsia="zh-CN"/>
                    </w:rPr>
                  </w:pPr>
                </w:p>
              </w:tc>
              <w:tc>
                <w:tcPr>
                  <w:tcW w:w="351" w:type="pct"/>
                  <w:vMerge w:val="continue"/>
                  <w:tcBorders>
                    <w:tl2br w:val="nil"/>
                    <w:tr2bl w:val="nil"/>
                  </w:tcBorders>
                  <w:noWrap w:val="0"/>
                  <w:vAlign w:val="center"/>
                </w:tcPr>
                <w:p w14:paraId="4BF4AD46">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olor w:val="auto"/>
                      <w:sz w:val="21"/>
                      <w:szCs w:val="21"/>
                      <w:highlight w:val="none"/>
                      <w:lang w:val="en-US" w:eastAsia="zh-CN"/>
                    </w:rPr>
                  </w:pPr>
                </w:p>
              </w:tc>
            </w:tr>
            <w:tr w14:paraId="67A1E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6" w:hRule="atLeast"/>
                <w:jc w:val="center"/>
              </w:trPr>
              <w:tc>
                <w:tcPr>
                  <w:tcW w:w="532" w:type="pct"/>
                  <w:tcBorders>
                    <w:tl2br w:val="nil"/>
                    <w:tr2bl w:val="nil"/>
                  </w:tcBorders>
                  <w:noWrap w:val="0"/>
                  <w:vAlign w:val="center"/>
                </w:tcPr>
                <w:p w14:paraId="1E4A339E">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1#（主导风向下风向）</w:t>
                  </w:r>
                </w:p>
              </w:tc>
              <w:tc>
                <w:tcPr>
                  <w:tcW w:w="431" w:type="pct"/>
                  <w:tcBorders>
                    <w:tl2br w:val="nil"/>
                    <w:tr2bl w:val="nil"/>
                  </w:tcBorders>
                  <w:noWrap w:val="0"/>
                  <w:vAlign w:val="center"/>
                </w:tcPr>
                <w:p w14:paraId="3BA01124">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306</w:t>
                  </w:r>
                </w:p>
              </w:tc>
              <w:tc>
                <w:tcPr>
                  <w:tcW w:w="407" w:type="pct"/>
                  <w:tcBorders>
                    <w:tl2br w:val="nil"/>
                    <w:tr2bl w:val="nil"/>
                  </w:tcBorders>
                  <w:noWrap w:val="0"/>
                  <w:vAlign w:val="center"/>
                </w:tcPr>
                <w:p w14:paraId="4D35F3B2">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152</w:t>
                  </w:r>
                </w:p>
              </w:tc>
              <w:tc>
                <w:tcPr>
                  <w:tcW w:w="526" w:type="pct"/>
                  <w:tcBorders>
                    <w:tl2br w:val="nil"/>
                    <w:tr2bl w:val="nil"/>
                  </w:tcBorders>
                  <w:noWrap w:val="0"/>
                  <w:vAlign w:val="center"/>
                </w:tcPr>
                <w:p w14:paraId="43E7B3FB">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TSP</w:t>
                  </w:r>
                </w:p>
              </w:tc>
              <w:tc>
                <w:tcPr>
                  <w:tcW w:w="330" w:type="pct"/>
                  <w:tcBorders>
                    <w:tl2br w:val="nil"/>
                    <w:tr2bl w:val="nil"/>
                  </w:tcBorders>
                  <w:noWrap w:val="0"/>
                  <w:vAlign w:val="center"/>
                </w:tcPr>
                <w:p w14:paraId="0442209F">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日均值</w:t>
                  </w:r>
                </w:p>
              </w:tc>
              <w:tc>
                <w:tcPr>
                  <w:tcW w:w="768" w:type="pct"/>
                  <w:tcBorders>
                    <w:tl2br w:val="nil"/>
                    <w:tr2bl w:val="nil"/>
                  </w:tcBorders>
                  <w:noWrap w:val="0"/>
                  <w:vAlign w:val="center"/>
                </w:tcPr>
                <w:p w14:paraId="7180A244">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w:t>
                  </w:r>
                </w:p>
              </w:tc>
              <w:tc>
                <w:tcPr>
                  <w:tcW w:w="767" w:type="pct"/>
                  <w:tcBorders>
                    <w:tl2br w:val="nil"/>
                    <w:tr2bl w:val="nil"/>
                  </w:tcBorders>
                  <w:noWrap w:val="0"/>
                  <w:vAlign w:val="center"/>
                </w:tcPr>
                <w:p w14:paraId="50E390A2">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0.208~0.241</w:t>
                  </w:r>
                </w:p>
              </w:tc>
              <w:tc>
                <w:tcPr>
                  <w:tcW w:w="481" w:type="pct"/>
                  <w:tcBorders>
                    <w:tl2br w:val="nil"/>
                    <w:tr2bl w:val="nil"/>
                  </w:tcBorders>
                  <w:noWrap w:val="0"/>
                  <w:vAlign w:val="center"/>
                </w:tcPr>
                <w:p w14:paraId="150F8011">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p>
              </w:tc>
              <w:tc>
                <w:tcPr>
                  <w:tcW w:w="403" w:type="pct"/>
                  <w:tcBorders>
                    <w:tl2br w:val="nil"/>
                    <w:tr2bl w:val="nil"/>
                  </w:tcBorders>
                  <w:noWrap w:val="0"/>
                  <w:vAlign w:val="center"/>
                </w:tcPr>
                <w:p w14:paraId="716109B6">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351" w:type="pct"/>
                  <w:tcBorders>
                    <w:tl2br w:val="nil"/>
                    <w:tr2bl w:val="nil"/>
                  </w:tcBorders>
                  <w:noWrap w:val="0"/>
                  <w:vAlign w:val="center"/>
                </w:tcPr>
                <w:p w14:paraId="4DBCA503">
                  <w:pPr>
                    <w:pStyle w:val="107"/>
                    <w:keepNext w:val="0"/>
                    <w:keepLines w:val="0"/>
                    <w:pageBreakBefore w:val="0"/>
                    <w:widowControl w:val="0"/>
                    <w:kinsoku/>
                    <w:wordWrap/>
                    <w:overflowPunct/>
                    <w:topLinePunct w:val="0"/>
                    <w:autoSpaceDE/>
                    <w:autoSpaceDN/>
                    <w:bidi w:val="0"/>
                    <w:adjustRightInd/>
                    <w:snapToGrid/>
                    <w:spacing w:beforeLines="50" w:line="288"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bl>
          <w:p w14:paraId="1D2FA76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olor w:val="auto"/>
                <w:lang w:val="en-US" w:eastAsia="zh-CN"/>
              </w:rPr>
            </w:pPr>
            <w:r>
              <w:rPr>
                <w:rFonts w:hint="default" w:ascii="Times New Roman" w:hAnsi="Times New Roman" w:cs="Times New Roman"/>
                <w:color w:val="auto"/>
                <w:sz w:val="24"/>
                <w:highlight w:val="none"/>
              </w:rPr>
              <w:t>由上表可知，项目所在区域现状监测结果满足《环境空气质量标准》(GB3095-2012）及2018年修改单中二级标准浓度限值。项目所在区域环境空气质量良好，环境空气质量良好</w:t>
            </w:r>
            <w:r>
              <w:rPr>
                <w:rFonts w:hint="eastAsia" w:ascii="Times New Roman" w:hAnsi="Times New Roman" w:cs="Times New Roman"/>
                <w:color w:val="auto"/>
                <w:sz w:val="24"/>
                <w:highlight w:val="none"/>
                <w:lang w:eastAsia="zh-CN"/>
              </w:rPr>
              <w:t>。</w:t>
            </w:r>
          </w:p>
          <w:p w14:paraId="19CE2489">
            <w:pPr>
              <w:spacing w:line="360" w:lineRule="auto"/>
              <w:rPr>
                <w:rFonts w:hint="default" w:ascii="Times New Roman" w:hAnsi="Times New Roman"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、水环境现状</w:t>
            </w:r>
          </w:p>
          <w:p w14:paraId="7D0495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本项目所在区域地表水体为穆棱河。</w:t>
            </w:r>
            <w:r>
              <w:rPr>
                <w:rFonts w:hint="default" w:ascii="Times New Roman" w:hAnsi="Times New Roman" w:eastAsia="宋体" w:cs="Times New Roman"/>
                <w:color w:val="auto"/>
                <w:kern w:val="0"/>
                <w:sz w:val="24"/>
                <w:szCs w:val="21"/>
                <w:lang w:val="en-US" w:eastAsia="zh-CN" w:bidi="ar-SA"/>
              </w:rPr>
              <w:t>根据《202</w:t>
            </w:r>
            <w:r>
              <w:rPr>
                <w:rFonts w:hint="eastAsia" w:ascii="Times New Roman" w:hAnsi="Times New Roman" w:eastAsia="宋体" w:cs="Times New Roman"/>
                <w:color w:val="auto"/>
                <w:kern w:val="0"/>
                <w:sz w:val="24"/>
                <w:szCs w:val="21"/>
                <w:lang w:val="en-US" w:eastAsia="zh-CN" w:bidi="ar-SA"/>
              </w:rPr>
              <w:t>3</w:t>
            </w:r>
            <w:r>
              <w:rPr>
                <w:rFonts w:hint="default" w:ascii="Times New Roman" w:hAnsi="Times New Roman" w:eastAsia="宋体" w:cs="Times New Roman"/>
                <w:color w:val="auto"/>
                <w:kern w:val="0"/>
                <w:sz w:val="24"/>
                <w:szCs w:val="21"/>
                <w:lang w:val="en-US" w:eastAsia="zh-CN" w:bidi="ar-SA"/>
              </w:rPr>
              <w:t>年黑龙江省生态环境质量状况》（黑龙江省生态环境监测中心），202</w:t>
            </w:r>
            <w:r>
              <w:rPr>
                <w:rFonts w:hint="eastAsia" w:ascii="Times New Roman" w:hAnsi="Times New Roman" w:eastAsia="宋体" w:cs="Times New Roman"/>
                <w:color w:val="auto"/>
                <w:kern w:val="0"/>
                <w:sz w:val="24"/>
                <w:szCs w:val="21"/>
                <w:lang w:val="en-US" w:eastAsia="zh-CN" w:bidi="ar-SA"/>
              </w:rPr>
              <w:t>3</w:t>
            </w:r>
            <w:r>
              <w:rPr>
                <w:rFonts w:hint="default" w:ascii="Times New Roman" w:hAnsi="Times New Roman" w:eastAsia="宋体" w:cs="Times New Roman"/>
                <w:color w:val="auto"/>
                <w:kern w:val="0"/>
                <w:sz w:val="24"/>
                <w:szCs w:val="21"/>
                <w:lang w:val="en-US" w:eastAsia="zh-CN" w:bidi="ar-SA"/>
              </w:rPr>
              <w:t>年，全省地表水国考断面优良水体比例84.4%（扣除自然因素影响），劣V类水体比例0.8%，均超额完成国家考核目标；全省国、省控河流断面共监测180个断面，其中，Ⅱ类水质占11.1%，Ⅲ类水质占58.9%，Ⅳ类水质占26.1%，Ⅴ类水质占2.8%，劣Ⅴ类水质占1.1%*。2023年，全省参与考核评价地下水环境质量考核点位63个，完成国家考核目标要求，地下水环境质量总体保持稳定。全省2</w:t>
            </w:r>
            <w:r>
              <w:rPr>
                <w:rFonts w:hint="eastAsia" w:ascii="Times New Roman" w:hAnsi="Times New Roman" w:eastAsia="宋体" w:cs="Times New Roman"/>
                <w:color w:val="auto"/>
                <w:kern w:val="0"/>
                <w:sz w:val="24"/>
                <w:szCs w:val="21"/>
                <w:lang w:val="en-US" w:eastAsia="zh-CN" w:bidi="ar-SA"/>
              </w:rPr>
              <w:t>1</w:t>
            </w:r>
            <w:r>
              <w:rPr>
                <w:rFonts w:hint="default" w:ascii="Times New Roman" w:hAnsi="Times New Roman" w:eastAsia="宋体" w:cs="Times New Roman"/>
                <w:color w:val="auto"/>
                <w:kern w:val="0"/>
                <w:sz w:val="24"/>
                <w:szCs w:val="21"/>
                <w:lang w:val="en-US" w:eastAsia="zh-CN" w:bidi="ar-SA"/>
              </w:rPr>
              <w:t>个地市级水源地、24个县级市水源地水源达标率均为100%。</w:t>
            </w:r>
          </w:p>
          <w:p w14:paraId="49159F94">
            <w:pPr>
              <w:spacing w:line="360" w:lineRule="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rPr>
              <w:t>、声环境状况</w:t>
            </w:r>
          </w:p>
          <w:p w14:paraId="1957F637">
            <w:pPr>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kern w:val="0"/>
                <w:sz w:val="24"/>
                <w:highlight w:val="none"/>
              </w:rPr>
              <w:t>本项目建设地点选址周围50m范围内</w:t>
            </w:r>
            <w:r>
              <w:rPr>
                <w:rFonts w:hint="eastAsia" w:ascii="Times New Roman" w:hAnsi="Times New Roman" w:cs="Times New Roman"/>
                <w:color w:val="auto"/>
                <w:kern w:val="0"/>
                <w:sz w:val="24"/>
                <w:highlight w:val="none"/>
                <w:lang w:eastAsia="zh-CN"/>
              </w:rPr>
              <w:t>无</w:t>
            </w:r>
            <w:r>
              <w:rPr>
                <w:rFonts w:hint="default" w:ascii="Times New Roman" w:hAnsi="Times New Roman" w:eastAsia="宋体" w:cs="Times New Roman"/>
                <w:color w:val="auto"/>
                <w:kern w:val="0"/>
                <w:sz w:val="24"/>
                <w:highlight w:val="none"/>
              </w:rPr>
              <w:t>声环境保护目标，</w:t>
            </w:r>
            <w:r>
              <w:rPr>
                <w:rFonts w:hint="default" w:ascii="Times New Roman" w:hAnsi="Times New Roman" w:cs="Times New Roman"/>
                <w:color w:val="auto"/>
                <w:sz w:val="24"/>
                <w:szCs w:val="24"/>
                <w:highlight w:val="none"/>
              </w:rPr>
              <w:t>根据《建设项目环境影响报告表编制技术指南</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污染影响类</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》要求厂界外周边50m存在声环境保护目标的建设项目，应监测保护目标声环境质量现状并评价达标情况，根据现场调查结果，本项目50m范围内没有声环境敏感保护目标，不再对声环境进行监测。</w:t>
            </w:r>
          </w:p>
          <w:p w14:paraId="3E6872A4">
            <w:pPr>
              <w:spacing w:line="360" w:lineRule="auto"/>
              <w:ind w:firstLine="482" w:firstLineChars="200"/>
              <w:rPr>
                <w:rFonts w:ascii="Times New Roman" w:hAnsi="Times New Roman" w:eastAsia="宋体" w:cs="Times New Roman"/>
                <w:color w:val="auto"/>
                <w:sz w:val="24"/>
                <w:szCs w:val="24"/>
                <w:highlight w:val="none"/>
              </w:rPr>
            </w:pPr>
            <w:r>
              <w:rPr>
                <w:rFonts w:hint="eastAsia" w:ascii="Times New Roman" w:hAnsi="Times New Roman" w:cs="Times New Roman"/>
                <w:b/>
                <w:bCs/>
                <w:color w:val="auto"/>
                <w:sz w:val="24"/>
                <w:szCs w:val="24"/>
                <w:highlight w:val="none"/>
                <w:lang w:val="en-US" w:eastAsia="zh-CN"/>
              </w:rPr>
              <w:t>4</w:t>
            </w:r>
            <w:r>
              <w:rPr>
                <w:rFonts w:hint="eastAsia" w:ascii="Times New Roman" w:hAnsi="Times New Roman" w:cs="Times New Roman"/>
                <w:b/>
                <w:bCs/>
                <w:color w:val="auto"/>
                <w:sz w:val="24"/>
                <w:szCs w:val="24"/>
                <w:highlight w:val="none"/>
                <w:lang w:eastAsia="zh-CN"/>
              </w:rPr>
              <w:t>、</w:t>
            </w:r>
            <w:r>
              <w:rPr>
                <w:rFonts w:ascii="Times New Roman" w:hAnsi="Times New Roman" w:eastAsia="宋体" w:cs="Times New Roman"/>
                <w:b/>
                <w:bCs/>
                <w:color w:val="auto"/>
                <w:sz w:val="24"/>
                <w:szCs w:val="24"/>
                <w:highlight w:val="none"/>
              </w:rPr>
              <w:t>生态环境</w:t>
            </w:r>
          </w:p>
          <w:p w14:paraId="057914AE">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本项</w:t>
            </w:r>
            <w:r>
              <w:rPr>
                <w:rFonts w:hint="default" w:ascii="Times New Roman" w:hAnsi="Times New Roman" w:eastAsia="宋体" w:cs="Times New Roman"/>
                <w:color w:val="auto"/>
                <w:kern w:val="0"/>
                <w:sz w:val="24"/>
                <w:highlight w:val="none"/>
              </w:rPr>
              <w:t>目周边无国家级、省级、市级名胜古迹、自然保护区，生态敏感、脆弱区，故本项目</w:t>
            </w:r>
            <w:r>
              <w:rPr>
                <w:rFonts w:hint="default" w:ascii="Times New Roman" w:hAnsi="Times New Roman" w:eastAsia="宋体" w:cs="Times New Roman"/>
                <w:color w:val="auto"/>
                <w:kern w:val="0"/>
                <w:sz w:val="24"/>
              </w:rPr>
              <w:t>不开展生态环境现状调查。</w:t>
            </w:r>
          </w:p>
          <w:p w14:paraId="4D112AE0">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rPr>
              <w:t>综上所述，项目选址周边环境空气质量、地表水环境质量、声环境质量符合功能区划的要求，区域内生态环境现状良好。因此，项目所在区域整体环境质量良好</w:t>
            </w:r>
          </w:p>
          <w:p w14:paraId="6519C5D4">
            <w:pPr>
              <w:spacing w:line="360" w:lineRule="auto"/>
              <w:ind w:firstLine="482" w:firstLineChars="200"/>
              <w:rPr>
                <w:rFonts w:hint="eastAsia" w:ascii="Times New Roman" w:hAnsi="Times New Roman"/>
                <w:color w:val="auto"/>
                <w:sz w:val="24"/>
                <w:highlight w:val="none"/>
              </w:rPr>
            </w:pPr>
            <w:r>
              <w:rPr>
                <w:rFonts w:hint="eastAsia" w:ascii="Times New Roman" w:hAnsi="Times New Roman"/>
                <w:b/>
                <w:bCs/>
                <w:color w:val="auto"/>
                <w:sz w:val="24"/>
                <w:highlight w:val="none"/>
              </w:rPr>
              <w:t>5、地下水、土壤环境</w:t>
            </w:r>
          </w:p>
          <w:p w14:paraId="0FD2C7D3">
            <w:pPr>
              <w:autoSpaceDE w:val="0"/>
              <w:autoSpaceDN w:val="0"/>
              <w:adjustRightInd w:val="0"/>
              <w:spacing w:line="360" w:lineRule="auto"/>
              <w:ind w:firstLine="480" w:firstLineChars="200"/>
              <w:jc w:val="left"/>
              <w:rPr>
                <w:rFonts w:hint="eastAsia" w:ascii="Times New Roman" w:hAnsi="Times New Roman"/>
                <w:b/>
                <w:bCs/>
                <w:color w:val="auto"/>
                <w:sz w:val="24"/>
                <w:highlight w:val="none"/>
              </w:rPr>
            </w:pPr>
            <w:r>
              <w:rPr>
                <w:rFonts w:hint="eastAsia" w:ascii="Times New Roman" w:hAnsi="Times New Roman"/>
                <w:color w:val="auto"/>
                <w:sz w:val="24"/>
                <w:highlight w:val="none"/>
              </w:rPr>
              <w:t>项目运营期正常工况下不会对地下水和土壤造成影响</w:t>
            </w:r>
            <w:r>
              <w:rPr>
                <w:rFonts w:ascii="Times New Roman" w:hAnsi="Times New Roman"/>
                <w:color w:val="auto"/>
                <w:sz w:val="24"/>
                <w:highlight w:val="none"/>
              </w:rPr>
              <w:t>。</w:t>
            </w:r>
            <w:r>
              <w:rPr>
                <w:rFonts w:hint="eastAsia" w:ascii="Times New Roman" w:hAnsi="Times New Roman"/>
                <w:color w:val="auto"/>
                <w:sz w:val="24"/>
                <w:highlight w:val="none"/>
              </w:rPr>
              <w:t>项目</w:t>
            </w:r>
            <w:r>
              <w:rPr>
                <w:rFonts w:ascii="Times New Roman" w:hAnsi="Times New Roman"/>
                <w:color w:val="auto"/>
                <w:sz w:val="24"/>
                <w:highlight w:val="none"/>
              </w:rPr>
              <w:t>厂界500m范围内无地下水集中式饮用水源和热水、矿泉水、温泉等特殊地下水资源</w:t>
            </w:r>
            <w:r>
              <w:rPr>
                <w:rFonts w:hint="eastAsia" w:ascii="Times New Roman" w:hAnsi="Times New Roman"/>
                <w:color w:val="auto"/>
                <w:sz w:val="24"/>
                <w:highlight w:val="none"/>
              </w:rPr>
              <w:t>和土壤保护目标，因此本次项目不对项目周边地下水和土壤开展现状调查。</w:t>
            </w:r>
          </w:p>
          <w:p w14:paraId="30B507F9">
            <w:pPr>
              <w:autoSpaceDE w:val="0"/>
              <w:autoSpaceDN w:val="0"/>
              <w:adjustRightInd w:val="0"/>
              <w:spacing w:line="360" w:lineRule="auto"/>
              <w:ind w:firstLine="482" w:firstLineChars="200"/>
              <w:jc w:val="left"/>
              <w:rPr>
                <w:rFonts w:hint="eastAsia" w:ascii="Times New Roman" w:hAnsi="Times New Roman"/>
                <w:b/>
                <w:bCs/>
                <w:color w:val="auto"/>
                <w:sz w:val="24"/>
                <w:highlight w:val="none"/>
              </w:rPr>
            </w:pPr>
            <w:r>
              <w:rPr>
                <w:rFonts w:hint="eastAsia" w:ascii="Times New Roman" w:hAnsi="Times New Roman"/>
                <w:b/>
                <w:bCs/>
                <w:color w:val="auto"/>
                <w:sz w:val="24"/>
                <w:highlight w:val="none"/>
              </w:rPr>
              <w:t>6、电磁辐射</w:t>
            </w:r>
          </w:p>
          <w:p w14:paraId="322238BB">
            <w:pPr>
              <w:spacing w:line="360" w:lineRule="auto"/>
              <w:ind w:firstLine="480" w:firstLineChars="200"/>
              <w:rPr>
                <w:rFonts w:hint="default" w:ascii="Times New Roman" w:hAnsi="Times New Roman" w:cs="Times New Roman"/>
                <w:color w:val="auto"/>
                <w:kern w:val="0"/>
                <w:szCs w:val="21"/>
                <w:highlight w:val="none"/>
              </w:rPr>
            </w:pPr>
            <w:r>
              <w:rPr>
                <w:rFonts w:hint="eastAsia" w:ascii="Times New Roman" w:hAnsi="Times New Roman"/>
                <w:color w:val="auto"/>
                <w:sz w:val="24"/>
                <w:highlight w:val="none"/>
              </w:rPr>
              <w:t>本项目不涉及电磁辐射。</w:t>
            </w:r>
          </w:p>
        </w:tc>
      </w:tr>
      <w:tr w14:paraId="290736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800" w:type="dxa"/>
            <w:noWrap w:val="0"/>
            <w:vAlign w:val="center"/>
          </w:tcPr>
          <w:p w14:paraId="3454BD39">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环境</w:t>
            </w:r>
          </w:p>
          <w:p w14:paraId="2A584837">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保护</w:t>
            </w:r>
          </w:p>
          <w:p w14:paraId="56D5EB3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目标</w:t>
            </w:r>
          </w:p>
        </w:tc>
        <w:tc>
          <w:tcPr>
            <w:tcW w:w="8190" w:type="dxa"/>
            <w:noWrap w:val="0"/>
            <w:vAlign w:val="center"/>
          </w:tcPr>
          <w:p w14:paraId="10D7085E">
            <w:pPr>
              <w:keepNext w:val="0"/>
              <w:keepLines w:val="0"/>
              <w:widowControl/>
              <w:suppressLineNumbers w:val="0"/>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位于鸡西市恒山区大恒山办合作委四组，评价区内无国家、省、市级自然保护区、名胜古迹等敏感目标，周边居民为城镇管网供水，其环境保护目标主要为周围居民区等，各环境要素、环境保护对象见下表及附图</w:t>
            </w: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w:t>
            </w:r>
          </w:p>
          <w:p w14:paraId="56BBFAE4">
            <w:pPr>
              <w:pStyle w:val="16"/>
              <w:rPr>
                <w:rFonts w:hint="default" w:ascii="Times New Roman" w:hAnsi="Times New Roman" w:eastAsia="宋体" w:cs="Times New Roman"/>
                <w:color w:val="auto"/>
                <w:sz w:val="24"/>
                <w:szCs w:val="24"/>
                <w:highlight w:val="none"/>
                <w:lang w:val="en-US" w:eastAsia="zh-CN"/>
              </w:rPr>
            </w:pPr>
          </w:p>
          <w:p w14:paraId="5AD07CC1">
            <w:pPr>
              <w:pStyle w:val="16"/>
              <w:rPr>
                <w:rFonts w:hint="default" w:ascii="Times New Roman" w:hAnsi="Times New Roman" w:eastAsia="宋体" w:cs="Times New Roman"/>
                <w:color w:val="auto"/>
                <w:sz w:val="24"/>
                <w:szCs w:val="24"/>
                <w:highlight w:val="none"/>
                <w:lang w:val="en-US" w:eastAsia="zh-CN"/>
              </w:rPr>
            </w:pPr>
          </w:p>
          <w:p w14:paraId="4FF8C51C">
            <w:pPr>
              <w:keepNext w:val="0"/>
              <w:keepLines w:val="0"/>
              <w:pageBreakBefore w:val="0"/>
              <w:widowControl w:val="0"/>
              <w:kinsoku/>
              <w:wordWrap/>
              <w:overflowPunct/>
              <w:topLinePunct w:val="0"/>
              <w:autoSpaceDE/>
              <w:autoSpaceDN/>
              <w:bidi w:val="0"/>
              <w:adjustRightInd/>
              <w:snapToGrid/>
              <w:spacing w:before="159" w:beforeLines="50" w:line="240" w:lineRule="auto"/>
              <w:jc w:val="center"/>
              <w:textAlignment w:val="auto"/>
              <w:rPr>
                <w:rFonts w:hint="default" w:ascii="Times New Roman" w:hAnsi="Times New Roman" w:eastAsia="黑体" w:cs="Times New Roman"/>
                <w:b/>
                <w:bCs/>
                <w:snapToGrid w:val="0"/>
                <w:color w:val="auto"/>
                <w:kern w:val="2"/>
                <w:sz w:val="24"/>
                <w:szCs w:val="24"/>
                <w:lang w:val="en-US" w:eastAsia="zh-CN" w:bidi="ar-SA"/>
              </w:rPr>
            </w:pPr>
            <w:r>
              <w:rPr>
                <w:rFonts w:hint="default" w:ascii="Times New Roman" w:hAnsi="Times New Roman" w:eastAsia="黑体" w:cs="Times New Roman"/>
                <w:b/>
                <w:bCs/>
                <w:snapToGrid w:val="0"/>
                <w:color w:val="auto"/>
                <w:kern w:val="2"/>
                <w:sz w:val="24"/>
                <w:szCs w:val="24"/>
                <w:lang w:val="en-US" w:eastAsia="zh-CN" w:bidi="ar-SA"/>
              </w:rPr>
              <w:t>表3-</w:t>
            </w:r>
            <w:r>
              <w:rPr>
                <w:rFonts w:hint="eastAsia" w:eastAsia="黑体" w:cs="Times New Roman"/>
                <w:b/>
                <w:bCs/>
                <w:snapToGrid w:val="0"/>
                <w:color w:val="auto"/>
                <w:kern w:val="2"/>
                <w:sz w:val="24"/>
                <w:szCs w:val="24"/>
                <w:lang w:val="en-US" w:eastAsia="zh-CN" w:bidi="ar-SA"/>
              </w:rPr>
              <w:t>4</w:t>
            </w:r>
            <w:r>
              <w:rPr>
                <w:rFonts w:hint="default" w:ascii="Times New Roman" w:hAnsi="Times New Roman" w:eastAsia="黑体" w:cs="Times New Roman"/>
                <w:b/>
                <w:bCs/>
                <w:snapToGrid w:val="0"/>
                <w:color w:val="auto"/>
                <w:kern w:val="2"/>
                <w:sz w:val="24"/>
                <w:szCs w:val="24"/>
                <w:lang w:val="en-US" w:eastAsia="zh-CN" w:bidi="ar-SA"/>
              </w:rPr>
              <w:t>主要环境保护目标一览表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0"/>
              <w:gridCol w:w="1099"/>
              <w:gridCol w:w="3473"/>
              <w:gridCol w:w="3335"/>
            </w:tblGrid>
            <w:tr w14:paraId="6B1375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8" w:hRule="atLeast"/>
                <w:jc w:val="center"/>
              </w:trPr>
              <w:tc>
                <w:tcPr>
                  <w:tcW w:w="286" w:type="pct"/>
                  <w:noWrap w:val="0"/>
                  <w:vAlign w:val="center"/>
                </w:tcPr>
                <w:p w14:paraId="210C33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
                      <w:bCs/>
                      <w:color w:val="auto"/>
                      <w:highlight w:val="none"/>
                    </w:rPr>
                  </w:pPr>
                  <w:r>
                    <w:rPr>
                      <w:rFonts w:hint="default" w:ascii="Times New Roman" w:hAnsi="Times New Roman"/>
                      <w:b/>
                      <w:bCs/>
                      <w:color w:val="auto"/>
                      <w:highlight w:val="none"/>
                    </w:rPr>
                    <w:t>序号</w:t>
                  </w:r>
                </w:p>
              </w:tc>
              <w:tc>
                <w:tcPr>
                  <w:tcW w:w="655" w:type="pct"/>
                  <w:noWrap w:val="0"/>
                  <w:vAlign w:val="center"/>
                </w:tcPr>
                <w:p w14:paraId="188D19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
                      <w:bCs/>
                      <w:color w:val="auto"/>
                      <w:highlight w:val="none"/>
                    </w:rPr>
                  </w:pPr>
                  <w:r>
                    <w:rPr>
                      <w:rFonts w:hint="default" w:ascii="Times New Roman" w:hAnsi="Times New Roman"/>
                      <w:b/>
                      <w:bCs/>
                      <w:color w:val="auto"/>
                      <w:highlight w:val="none"/>
                    </w:rPr>
                    <w:t>类别</w:t>
                  </w:r>
                </w:p>
              </w:tc>
              <w:tc>
                <w:tcPr>
                  <w:tcW w:w="2069" w:type="pct"/>
                  <w:tcBorders>
                    <w:right w:val="single" w:color="000000" w:sz="4" w:space="0"/>
                  </w:tcBorders>
                  <w:noWrap w:val="0"/>
                  <w:vAlign w:val="center"/>
                </w:tcPr>
                <w:p w14:paraId="2C9F15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
                      <w:bCs/>
                      <w:color w:val="auto"/>
                      <w:highlight w:val="none"/>
                    </w:rPr>
                  </w:pPr>
                  <w:r>
                    <w:rPr>
                      <w:rFonts w:hint="default" w:ascii="Times New Roman" w:hAnsi="Times New Roman"/>
                      <w:b/>
                      <w:bCs/>
                      <w:color w:val="auto"/>
                      <w:highlight w:val="none"/>
                    </w:rPr>
                    <w:t>环境敏感目标</w:t>
                  </w:r>
                </w:p>
              </w:tc>
              <w:tc>
                <w:tcPr>
                  <w:tcW w:w="1987" w:type="pct"/>
                  <w:noWrap w:val="0"/>
                  <w:vAlign w:val="center"/>
                </w:tcPr>
                <w:p w14:paraId="6FFED8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b/>
                      <w:bCs/>
                      <w:color w:val="auto"/>
                      <w:highlight w:val="none"/>
                      <w:lang w:eastAsia="zh-CN"/>
                    </w:rPr>
                  </w:pPr>
                  <w:r>
                    <w:rPr>
                      <w:rFonts w:hint="default" w:ascii="Times New Roman" w:hAnsi="Times New Roman"/>
                      <w:b/>
                      <w:bCs/>
                      <w:color w:val="auto"/>
                      <w:highlight w:val="none"/>
                    </w:rPr>
                    <w:t>保护</w:t>
                  </w:r>
                  <w:r>
                    <w:rPr>
                      <w:rFonts w:hint="default" w:ascii="Times New Roman" w:hAnsi="Times New Roman"/>
                      <w:b/>
                      <w:bCs/>
                      <w:color w:val="auto"/>
                      <w:highlight w:val="none"/>
                      <w:lang w:eastAsia="zh-CN"/>
                    </w:rPr>
                    <w:t>标准</w:t>
                  </w:r>
                </w:p>
              </w:tc>
            </w:tr>
            <w:tr w14:paraId="099EC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38" w:hRule="atLeast"/>
                <w:jc w:val="center"/>
              </w:trPr>
              <w:tc>
                <w:tcPr>
                  <w:tcW w:w="286" w:type="pct"/>
                  <w:noWrap w:val="0"/>
                  <w:vAlign w:val="center"/>
                </w:tcPr>
                <w:p w14:paraId="047710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lang w:val="en-US" w:eastAsia="zh-CN"/>
                    </w:rPr>
                  </w:pPr>
                  <w:r>
                    <w:rPr>
                      <w:rFonts w:hint="default" w:ascii="Times New Roman" w:hAnsi="Times New Roman"/>
                      <w:color w:val="auto"/>
                      <w:highlight w:val="none"/>
                      <w:lang w:val="en-US" w:eastAsia="zh-CN"/>
                    </w:rPr>
                    <w:t>1</w:t>
                  </w:r>
                </w:p>
              </w:tc>
              <w:tc>
                <w:tcPr>
                  <w:tcW w:w="655" w:type="pct"/>
                  <w:noWrap w:val="0"/>
                  <w:vAlign w:val="center"/>
                </w:tcPr>
                <w:p w14:paraId="749712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rPr>
                  </w:pPr>
                  <w:r>
                    <w:rPr>
                      <w:rFonts w:hint="default" w:ascii="Times New Roman" w:hAnsi="Times New Roman"/>
                      <w:color w:val="auto"/>
                      <w:highlight w:val="none"/>
                    </w:rPr>
                    <w:t>声环境</w:t>
                  </w:r>
                </w:p>
              </w:tc>
              <w:tc>
                <w:tcPr>
                  <w:tcW w:w="2069" w:type="pct"/>
                  <w:tcBorders>
                    <w:right w:val="single" w:color="000000" w:sz="4" w:space="0"/>
                  </w:tcBorders>
                  <w:noWrap w:val="0"/>
                  <w:vAlign w:val="center"/>
                </w:tcPr>
                <w:p w14:paraId="6E7FF3CB">
                  <w:pPr>
                    <w:adjustRightInd w:val="0"/>
                    <w:snapToGrid w:val="0"/>
                    <w:jc w:val="center"/>
                    <w:rPr>
                      <w:rFonts w:hint="default" w:ascii="Times New Roman" w:hAnsi="Times New Roman"/>
                      <w:color w:val="auto"/>
                      <w:highlight w:val="none"/>
                      <w:lang w:val="en-US" w:eastAsia="zh-CN"/>
                    </w:rPr>
                  </w:pPr>
                  <w:r>
                    <w:rPr>
                      <w:rFonts w:hint="default" w:ascii="Times New Roman" w:hAnsi="Times New Roman"/>
                      <w:color w:val="auto"/>
                      <w:highlight w:val="none"/>
                    </w:rPr>
                    <w:t>本项目厂界外</w:t>
                  </w:r>
                  <w:r>
                    <w:rPr>
                      <w:rFonts w:hint="eastAsia" w:ascii="Times New Roman" w:hAnsi="Times New Roman"/>
                      <w:color w:val="auto"/>
                      <w:highlight w:val="none"/>
                      <w:lang w:val="en-US" w:eastAsia="zh-CN"/>
                    </w:rPr>
                    <w:t>50</w:t>
                  </w:r>
                  <w:r>
                    <w:rPr>
                      <w:rFonts w:hint="default" w:ascii="Times New Roman" w:hAnsi="Times New Roman"/>
                      <w:color w:val="auto"/>
                      <w:highlight w:val="none"/>
                    </w:rPr>
                    <w:t>m</w:t>
                  </w:r>
                  <w:r>
                    <w:rPr>
                      <w:rFonts w:hint="eastAsia" w:ascii="Times New Roman" w:hAnsi="Times New Roman"/>
                      <w:color w:val="auto"/>
                      <w:highlight w:val="none"/>
                      <w:lang w:eastAsia="zh-CN"/>
                    </w:rPr>
                    <w:t>范围</w:t>
                  </w:r>
                  <w:r>
                    <w:rPr>
                      <w:rFonts w:hint="default" w:ascii="Times New Roman" w:hAnsi="Times New Roman"/>
                      <w:color w:val="auto"/>
                      <w:highlight w:val="none"/>
                    </w:rPr>
                    <w:t>内</w:t>
                  </w:r>
                  <w:r>
                    <w:rPr>
                      <w:rFonts w:hint="eastAsia" w:ascii="Times New Roman" w:hAnsi="Times New Roman"/>
                      <w:color w:val="auto"/>
                      <w:highlight w:val="none"/>
                      <w:lang w:eastAsia="zh-CN"/>
                    </w:rPr>
                    <w:t>敏感点</w:t>
                  </w:r>
                </w:p>
              </w:tc>
              <w:tc>
                <w:tcPr>
                  <w:tcW w:w="1987" w:type="pct"/>
                  <w:noWrap w:val="0"/>
                  <w:vAlign w:val="center"/>
                </w:tcPr>
                <w:p w14:paraId="4B9B62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rPr>
                  </w:pPr>
                  <w:r>
                    <w:rPr>
                      <w:rFonts w:hint="default" w:ascii="Times New Roman" w:hAnsi="Times New Roman"/>
                      <w:color w:val="auto"/>
                      <w:highlight w:val="none"/>
                    </w:rPr>
                    <w:t>保护其满足</w:t>
                  </w:r>
                  <w:r>
                    <w:rPr>
                      <w:rFonts w:hint="eastAsia" w:ascii="Times New Roman" w:hAnsi="Times New Roman"/>
                      <w:color w:val="auto"/>
                      <w:highlight w:val="none"/>
                      <w:lang w:val="en-US" w:eastAsia="zh-CN"/>
                    </w:rPr>
                    <w:t>《声环境质量标准》（GB3096-2008）</w:t>
                  </w:r>
                  <w:r>
                    <w:rPr>
                      <w:rFonts w:hint="default" w:ascii="Times New Roman" w:hAnsi="Times New Roman"/>
                      <w:color w:val="auto"/>
                      <w:highlight w:val="none"/>
                      <w:lang w:val="en-US" w:eastAsia="zh-CN"/>
                    </w:rPr>
                    <w:t>中</w:t>
                  </w:r>
                  <w:r>
                    <w:rPr>
                      <w:rFonts w:hint="eastAsia" w:ascii="Times New Roman" w:hAnsi="Times New Roman"/>
                      <w:color w:val="auto"/>
                      <w:highlight w:val="none"/>
                      <w:lang w:val="en-US" w:eastAsia="zh-CN"/>
                    </w:rPr>
                    <w:t>2</w:t>
                  </w:r>
                  <w:r>
                    <w:rPr>
                      <w:rFonts w:hint="default" w:ascii="Times New Roman" w:hAnsi="Times New Roman"/>
                      <w:color w:val="auto"/>
                      <w:highlight w:val="none"/>
                      <w:lang w:val="en-US" w:eastAsia="zh-CN"/>
                    </w:rPr>
                    <w:t>类</w:t>
                  </w:r>
                </w:p>
              </w:tc>
            </w:tr>
            <w:tr w14:paraId="6C14C1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9" w:hRule="atLeast"/>
                <w:jc w:val="center"/>
              </w:trPr>
              <w:tc>
                <w:tcPr>
                  <w:tcW w:w="286" w:type="pct"/>
                  <w:noWrap w:val="0"/>
                  <w:vAlign w:val="center"/>
                </w:tcPr>
                <w:p w14:paraId="4E6431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lang w:val="en-US" w:eastAsia="zh-CN"/>
                    </w:rPr>
                  </w:pPr>
                  <w:r>
                    <w:rPr>
                      <w:rFonts w:hint="default" w:ascii="Times New Roman" w:hAnsi="Times New Roman"/>
                      <w:color w:val="auto"/>
                      <w:highlight w:val="none"/>
                      <w:lang w:val="en-US" w:eastAsia="zh-CN"/>
                    </w:rPr>
                    <w:t>2</w:t>
                  </w:r>
                </w:p>
              </w:tc>
              <w:tc>
                <w:tcPr>
                  <w:tcW w:w="655" w:type="pct"/>
                  <w:noWrap w:val="0"/>
                  <w:vAlign w:val="center"/>
                </w:tcPr>
                <w:p w14:paraId="6FDEAB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lang w:eastAsia="zh-CN"/>
                    </w:rPr>
                  </w:pPr>
                  <w:r>
                    <w:rPr>
                      <w:rFonts w:hint="default" w:ascii="Times New Roman" w:hAnsi="Times New Roman"/>
                      <w:color w:val="auto"/>
                      <w:highlight w:val="none"/>
                    </w:rPr>
                    <w:t>环境空气</w:t>
                  </w:r>
                </w:p>
              </w:tc>
              <w:tc>
                <w:tcPr>
                  <w:tcW w:w="2069" w:type="pct"/>
                  <w:tcBorders>
                    <w:right w:val="single" w:color="000000" w:sz="4" w:space="0"/>
                  </w:tcBorders>
                  <w:noWrap w:val="0"/>
                  <w:vAlign w:val="center"/>
                </w:tcPr>
                <w:p w14:paraId="3B7A44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lang w:val="en-US" w:eastAsia="zh-CN"/>
                    </w:rPr>
                  </w:pPr>
                  <w:r>
                    <w:rPr>
                      <w:rFonts w:ascii="Times New Roman" w:hAnsi="Times New Roman"/>
                      <w:color w:val="auto"/>
                      <w:kern w:val="0"/>
                      <w:szCs w:val="21"/>
                      <w:highlight w:val="none"/>
                    </w:rPr>
                    <w:t>厂界周边50</w:t>
                  </w:r>
                  <w:r>
                    <w:rPr>
                      <w:rFonts w:hint="eastAsia" w:ascii="Times New Roman" w:hAnsi="Times New Roman"/>
                      <w:color w:val="auto"/>
                      <w:kern w:val="0"/>
                      <w:szCs w:val="21"/>
                      <w:highlight w:val="none"/>
                    </w:rPr>
                    <w:t>0</w:t>
                  </w:r>
                  <w:r>
                    <w:rPr>
                      <w:rFonts w:ascii="Times New Roman" w:hAnsi="Times New Roman"/>
                      <w:color w:val="auto"/>
                      <w:kern w:val="0"/>
                      <w:szCs w:val="21"/>
                      <w:highlight w:val="none"/>
                    </w:rPr>
                    <w:t>m范围</w:t>
                  </w:r>
                  <w:r>
                    <w:rPr>
                      <w:rFonts w:hint="eastAsia" w:ascii="Times New Roman" w:hAnsi="Times New Roman"/>
                      <w:color w:val="auto"/>
                      <w:kern w:val="0"/>
                      <w:szCs w:val="21"/>
                      <w:highlight w:val="none"/>
                    </w:rPr>
                    <w:t>内</w:t>
                  </w:r>
                </w:p>
              </w:tc>
              <w:tc>
                <w:tcPr>
                  <w:tcW w:w="1987" w:type="pct"/>
                  <w:noWrap w:val="0"/>
                  <w:vAlign w:val="center"/>
                </w:tcPr>
                <w:p w14:paraId="4F166A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lang w:eastAsia="zh-CN"/>
                    </w:rPr>
                  </w:pPr>
                  <w:r>
                    <w:rPr>
                      <w:rFonts w:hint="default" w:ascii="Times New Roman" w:hAnsi="Times New Roman"/>
                      <w:color w:val="auto"/>
                      <w:highlight w:val="none"/>
                    </w:rPr>
                    <w:t>保护其满足</w:t>
                  </w:r>
                  <w:r>
                    <w:rPr>
                      <w:rFonts w:hint="default" w:ascii="Times New Roman" w:hAnsi="Times New Roman"/>
                      <w:color w:val="auto"/>
                      <w:highlight w:val="none"/>
                      <w:lang w:val="en-US" w:eastAsia="zh-CN"/>
                    </w:rPr>
                    <w:t>《环境空气质量标准》（GB3095-2012）中二级标准</w:t>
                  </w:r>
                </w:p>
              </w:tc>
            </w:tr>
            <w:tr w14:paraId="57AC9E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9" w:hRule="atLeast"/>
                <w:jc w:val="center"/>
              </w:trPr>
              <w:tc>
                <w:tcPr>
                  <w:tcW w:w="286" w:type="pct"/>
                  <w:noWrap w:val="0"/>
                  <w:vAlign w:val="center"/>
                </w:tcPr>
                <w:p w14:paraId="0DBA57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3</w:t>
                  </w:r>
                </w:p>
              </w:tc>
              <w:tc>
                <w:tcPr>
                  <w:tcW w:w="655" w:type="pct"/>
                  <w:noWrap w:val="0"/>
                  <w:vAlign w:val="center"/>
                </w:tcPr>
                <w:p w14:paraId="7D7856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rPr>
                  </w:pPr>
                  <w:r>
                    <w:rPr>
                      <w:rFonts w:hint="default" w:ascii="Times New Roman" w:hAnsi="Times New Roman"/>
                      <w:color w:val="auto"/>
                      <w:highlight w:val="none"/>
                    </w:rPr>
                    <w:t>地表水环境</w:t>
                  </w:r>
                </w:p>
              </w:tc>
              <w:tc>
                <w:tcPr>
                  <w:tcW w:w="2069" w:type="pct"/>
                  <w:tcBorders>
                    <w:right w:val="single" w:color="000000" w:sz="4" w:space="0"/>
                  </w:tcBorders>
                  <w:noWrap w:val="0"/>
                  <w:vAlign w:val="center"/>
                </w:tcPr>
                <w:p w14:paraId="209972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lang w:eastAsia="zh-CN"/>
                    </w:rPr>
                  </w:pPr>
                  <w:r>
                    <w:rPr>
                      <w:rFonts w:hint="eastAsia" w:ascii="Times New Roman" w:hAnsi="Times New Roman"/>
                      <w:color w:val="auto"/>
                      <w:highlight w:val="none"/>
                      <w:lang w:val="en-US" w:eastAsia="zh-CN"/>
                    </w:rPr>
                    <w:t>穆棱河</w:t>
                  </w:r>
                </w:p>
              </w:tc>
              <w:tc>
                <w:tcPr>
                  <w:tcW w:w="1987" w:type="pct"/>
                  <w:noWrap w:val="0"/>
                  <w:vAlign w:val="center"/>
                </w:tcPr>
                <w:p w14:paraId="5F5DC5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rPr>
                  </w:pPr>
                  <w:r>
                    <w:rPr>
                      <w:rFonts w:hint="default" w:ascii="Times New Roman" w:hAnsi="Times New Roman"/>
                      <w:color w:val="auto"/>
                      <w:highlight w:val="none"/>
                    </w:rPr>
                    <w:t>保护其满足</w:t>
                  </w:r>
                  <w:r>
                    <w:rPr>
                      <w:rFonts w:hint="default" w:ascii="Times New Roman" w:hAnsi="Times New Roman" w:cs="Times New Roman"/>
                      <w:color w:val="auto"/>
                      <w:highlight w:val="none"/>
                    </w:rPr>
                    <w:t>《地表水环境质量标准》</w:t>
                  </w:r>
                  <w:r>
                    <w:rPr>
                      <w:rFonts w:hint="default" w:ascii="Times New Roman" w:hAnsi="Times New Roman" w:eastAsia="宋体" w:cs="Times New Roman"/>
                      <w:color w:val="auto"/>
                      <w:highlight w:val="none"/>
                      <w:lang w:val="en-US" w:eastAsia="zh-CN"/>
                    </w:rPr>
                    <w:t>（GB3838-2002）中Ⅲ</w:t>
                  </w:r>
                  <w:r>
                    <w:rPr>
                      <w:rFonts w:hint="eastAsia" w:ascii="Times New Roman" w:hAnsi="Times New Roman" w:eastAsia="宋体" w:cs="Times New Roman"/>
                      <w:color w:val="auto"/>
                      <w:highlight w:val="none"/>
                      <w:lang w:val="en-US" w:eastAsia="zh-CN"/>
                    </w:rPr>
                    <w:t>类</w:t>
                  </w:r>
                  <w:r>
                    <w:rPr>
                      <w:rFonts w:hint="default" w:ascii="Times New Roman" w:hAnsi="Times New Roman" w:eastAsia="宋体" w:cs="Times New Roman"/>
                      <w:color w:val="auto"/>
                      <w:highlight w:val="none"/>
                      <w:lang w:val="en-US" w:eastAsia="zh-CN"/>
                    </w:rPr>
                    <w:t>标准</w:t>
                  </w:r>
                </w:p>
              </w:tc>
            </w:tr>
            <w:tr w14:paraId="0B934E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4" w:hRule="atLeast"/>
                <w:jc w:val="center"/>
              </w:trPr>
              <w:tc>
                <w:tcPr>
                  <w:tcW w:w="286" w:type="pct"/>
                  <w:noWrap w:val="0"/>
                  <w:vAlign w:val="center"/>
                </w:tcPr>
                <w:p w14:paraId="01BFBE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4</w:t>
                  </w:r>
                </w:p>
              </w:tc>
              <w:tc>
                <w:tcPr>
                  <w:tcW w:w="655" w:type="pct"/>
                  <w:noWrap w:val="0"/>
                  <w:vAlign w:val="center"/>
                </w:tcPr>
                <w:p w14:paraId="24B5E6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rPr>
                  </w:pPr>
                  <w:r>
                    <w:rPr>
                      <w:rFonts w:hint="default" w:ascii="Times New Roman" w:hAnsi="Times New Roman"/>
                      <w:color w:val="auto"/>
                      <w:highlight w:val="none"/>
                      <w:lang w:eastAsia="zh-CN"/>
                    </w:rPr>
                    <w:t>环境风险</w:t>
                  </w:r>
                </w:p>
              </w:tc>
              <w:tc>
                <w:tcPr>
                  <w:tcW w:w="2069" w:type="pct"/>
                  <w:tcBorders>
                    <w:right w:val="single" w:color="000000" w:sz="4" w:space="0"/>
                  </w:tcBorders>
                  <w:noWrap w:val="0"/>
                  <w:vAlign w:val="center"/>
                </w:tcPr>
                <w:p w14:paraId="41F694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lang w:eastAsia="zh-CN"/>
                    </w:rPr>
                  </w:pPr>
                  <w:r>
                    <w:rPr>
                      <w:rFonts w:hint="default" w:ascii="Times New Roman" w:hAnsi="Times New Roman"/>
                      <w:color w:val="auto"/>
                      <w:highlight w:val="none"/>
                      <w:lang w:eastAsia="zh-CN"/>
                    </w:rPr>
                    <w:t>厂界</w:t>
                  </w:r>
                </w:p>
              </w:tc>
              <w:tc>
                <w:tcPr>
                  <w:tcW w:w="1987" w:type="pct"/>
                  <w:noWrap w:val="0"/>
                  <w:vAlign w:val="center"/>
                </w:tcPr>
                <w:p w14:paraId="1A02CC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rPr>
                  </w:pPr>
                  <w:r>
                    <w:rPr>
                      <w:rFonts w:hint="default" w:ascii="Times New Roman" w:hAnsi="Times New Roman"/>
                      <w:color w:val="auto"/>
                      <w:highlight w:val="none"/>
                    </w:rPr>
                    <w:t>保护其</w:t>
                  </w:r>
                  <w:r>
                    <w:rPr>
                      <w:rFonts w:hint="default" w:ascii="Times New Roman" w:hAnsi="Times New Roman"/>
                      <w:color w:val="auto"/>
                      <w:highlight w:val="none"/>
                      <w:lang w:eastAsia="zh-CN"/>
                    </w:rPr>
                    <w:t>不受到环境风险事件发生</w:t>
                  </w:r>
                </w:p>
              </w:tc>
            </w:tr>
            <w:tr w14:paraId="512C8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4" w:hRule="atLeast"/>
                <w:jc w:val="center"/>
              </w:trPr>
              <w:tc>
                <w:tcPr>
                  <w:tcW w:w="286" w:type="pct"/>
                  <w:noWrap w:val="0"/>
                  <w:vAlign w:val="center"/>
                </w:tcPr>
                <w:p w14:paraId="4809EC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5</w:t>
                  </w:r>
                </w:p>
              </w:tc>
              <w:tc>
                <w:tcPr>
                  <w:tcW w:w="655" w:type="pct"/>
                  <w:noWrap w:val="0"/>
                  <w:vAlign w:val="center"/>
                </w:tcPr>
                <w:p w14:paraId="6D250C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rPr>
                  </w:pPr>
                  <w:r>
                    <w:rPr>
                      <w:rFonts w:hint="default" w:ascii="Times New Roman" w:hAnsi="Times New Roman"/>
                      <w:color w:val="auto"/>
                      <w:highlight w:val="none"/>
                    </w:rPr>
                    <w:t>生态环境</w:t>
                  </w:r>
                </w:p>
              </w:tc>
              <w:tc>
                <w:tcPr>
                  <w:tcW w:w="2069" w:type="pct"/>
                  <w:tcBorders>
                    <w:right w:val="single" w:color="000000" w:sz="4" w:space="0"/>
                  </w:tcBorders>
                  <w:noWrap w:val="0"/>
                  <w:vAlign w:val="center"/>
                </w:tcPr>
                <w:p w14:paraId="4A1762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rPr>
                  </w:pPr>
                  <w:r>
                    <w:rPr>
                      <w:rFonts w:hint="default" w:ascii="Times New Roman" w:hAnsi="Times New Roman"/>
                      <w:color w:val="auto"/>
                      <w:highlight w:val="none"/>
                      <w:lang w:eastAsia="zh-CN"/>
                    </w:rPr>
                    <w:t>厂界</w:t>
                  </w:r>
                </w:p>
              </w:tc>
              <w:tc>
                <w:tcPr>
                  <w:tcW w:w="1987" w:type="pct"/>
                  <w:noWrap w:val="0"/>
                  <w:vAlign w:val="center"/>
                </w:tcPr>
                <w:p w14:paraId="76DFD9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olor w:val="auto"/>
                      <w:highlight w:val="none"/>
                    </w:rPr>
                  </w:pPr>
                  <w:r>
                    <w:rPr>
                      <w:rFonts w:hint="default" w:ascii="Times New Roman" w:hAnsi="Times New Roman"/>
                      <w:color w:val="auto"/>
                      <w:highlight w:val="none"/>
                    </w:rPr>
                    <w:t>保护其不受到生态破坏</w:t>
                  </w:r>
                </w:p>
              </w:tc>
            </w:tr>
          </w:tbl>
          <w:p w14:paraId="6435D6A0">
            <w:pPr>
              <w:spacing w:line="360" w:lineRule="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 xml:space="preserve">1、声环境保护目标 </w:t>
            </w:r>
          </w:p>
          <w:p w14:paraId="18E4DA24">
            <w:pPr>
              <w:keepNext w:val="0"/>
              <w:keepLines w:val="0"/>
              <w:widowControl/>
              <w:suppressLineNumbers w:val="0"/>
              <w:spacing w:line="360" w:lineRule="auto"/>
              <w:ind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本项目厂界外50米范围内</w:t>
            </w:r>
            <w:r>
              <w:rPr>
                <w:rFonts w:hint="eastAsia" w:ascii="Times New Roman" w:hAnsi="Times New Roman" w:cs="Times New Roman"/>
                <w:color w:val="auto"/>
                <w:sz w:val="24"/>
                <w:szCs w:val="24"/>
                <w:highlight w:val="none"/>
                <w:lang w:val="en-US" w:eastAsia="zh-CN"/>
              </w:rPr>
              <w:t>无</w:t>
            </w:r>
            <w:r>
              <w:rPr>
                <w:rFonts w:hint="eastAsia" w:ascii="Times New Roman" w:hAnsi="Times New Roman" w:eastAsia="宋体" w:cs="Times New Roman"/>
                <w:color w:val="auto"/>
                <w:sz w:val="24"/>
                <w:szCs w:val="24"/>
                <w:highlight w:val="none"/>
                <w:lang w:val="en-US" w:eastAsia="zh-CN"/>
              </w:rPr>
              <w:t>声环境保护目标。</w:t>
            </w:r>
          </w:p>
          <w:p w14:paraId="21DE095B">
            <w:pPr>
              <w:spacing w:line="360" w:lineRule="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 xml:space="preserve">2、环境空气保护目标 </w:t>
            </w:r>
          </w:p>
          <w:p w14:paraId="2D128076">
            <w:pPr>
              <w:keepNext w:val="0"/>
              <w:keepLines w:val="0"/>
              <w:widowControl/>
              <w:suppressLineNumbers w:val="0"/>
              <w:spacing w:line="360" w:lineRule="auto"/>
              <w:ind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本项目厂界外500米范围内</w:t>
            </w:r>
            <w:r>
              <w:rPr>
                <w:rFonts w:hint="eastAsia" w:ascii="Times New Roman" w:hAnsi="Times New Roman" w:cs="Times New Roman"/>
                <w:color w:val="auto"/>
                <w:sz w:val="24"/>
                <w:szCs w:val="24"/>
                <w:highlight w:val="none"/>
                <w:lang w:val="en-US" w:eastAsia="zh-CN"/>
              </w:rPr>
              <w:t>无</w:t>
            </w:r>
            <w:r>
              <w:rPr>
                <w:rFonts w:hint="eastAsia" w:ascii="Times New Roman" w:hAnsi="Times New Roman" w:eastAsia="宋体" w:cs="Times New Roman"/>
                <w:color w:val="auto"/>
                <w:sz w:val="24"/>
                <w:szCs w:val="24"/>
                <w:highlight w:val="none"/>
                <w:lang w:val="en-US" w:eastAsia="zh-CN"/>
              </w:rPr>
              <w:t>环境空气保护目标。</w:t>
            </w:r>
          </w:p>
          <w:p w14:paraId="7D5F815B">
            <w:pPr>
              <w:spacing w:line="360" w:lineRule="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3、地下水环境保护目标</w:t>
            </w:r>
          </w:p>
          <w:p w14:paraId="60F1AF74">
            <w:pPr>
              <w:keepNext w:val="0"/>
              <w:keepLines w:val="0"/>
              <w:widowControl/>
              <w:suppressLineNumbers w:val="0"/>
              <w:spacing w:line="360" w:lineRule="auto"/>
              <w:ind w:firstLine="480" w:firstLineChars="200"/>
              <w:jc w:val="both"/>
              <w:rPr>
                <w:rFonts w:hint="default" w:ascii="Times New Roman" w:hAnsi="Times New Roman" w:cs="Times New Roman"/>
                <w:color w:val="auto"/>
                <w:kern w:val="0"/>
                <w:szCs w:val="21"/>
                <w:highlight w:val="none"/>
              </w:rPr>
            </w:pPr>
            <w:r>
              <w:rPr>
                <w:rFonts w:hint="eastAsia" w:ascii="Times New Roman" w:hAnsi="Times New Roman" w:eastAsia="宋体" w:cs="Times New Roman"/>
                <w:color w:val="auto"/>
                <w:sz w:val="24"/>
                <w:szCs w:val="24"/>
                <w:highlight w:val="none"/>
                <w:lang w:val="en-US" w:eastAsia="zh-CN"/>
              </w:rPr>
              <w:t xml:space="preserve">根据现场踏勘，本项目所在厂界500米范围内无地下水集中式饮用水水源、热水、矿泉水、温泉等特殊地下水资源。 </w:t>
            </w:r>
          </w:p>
        </w:tc>
      </w:tr>
      <w:tr w14:paraId="3A6350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1" w:hRule="atLeast"/>
          <w:jc w:val="center"/>
        </w:trPr>
        <w:tc>
          <w:tcPr>
            <w:tcW w:w="800" w:type="dxa"/>
            <w:noWrap w:val="0"/>
            <w:vAlign w:val="center"/>
          </w:tcPr>
          <w:p w14:paraId="45C5CB75">
            <w:pPr>
              <w:adjustRightInd w:val="0"/>
              <w:snapToGrid w:val="0"/>
              <w:jc w:val="both"/>
              <w:rPr>
                <w:rFonts w:hint="default" w:ascii="Times New Roman" w:hAnsi="Times New Roman" w:cs="Times New Roman"/>
                <w:color w:val="auto"/>
                <w:kern w:val="0"/>
                <w:sz w:val="24"/>
                <w:szCs w:val="24"/>
                <w:highlight w:val="none"/>
              </w:rPr>
            </w:pPr>
          </w:p>
          <w:p w14:paraId="2A6E8796">
            <w:pPr>
              <w:adjustRightInd w:val="0"/>
              <w:snapToGrid w:val="0"/>
              <w:jc w:val="center"/>
              <w:rPr>
                <w:rFonts w:hint="default" w:ascii="Times New Roman" w:hAnsi="Times New Roman" w:cs="Times New Roman"/>
                <w:color w:val="auto"/>
                <w:kern w:val="0"/>
                <w:sz w:val="24"/>
                <w:szCs w:val="24"/>
                <w:highlight w:val="none"/>
              </w:rPr>
            </w:pPr>
          </w:p>
          <w:p w14:paraId="00D55EA0">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污染</w:t>
            </w:r>
          </w:p>
          <w:p w14:paraId="02779CE8">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物排</w:t>
            </w:r>
          </w:p>
          <w:p w14:paraId="452E7958">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放控</w:t>
            </w:r>
          </w:p>
          <w:p w14:paraId="3F0973AB">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制标</w:t>
            </w:r>
          </w:p>
          <w:p w14:paraId="55CC3CE1">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4"/>
                <w:szCs w:val="24"/>
                <w:highlight w:val="none"/>
              </w:rPr>
              <w:t>准</w:t>
            </w:r>
          </w:p>
        </w:tc>
        <w:tc>
          <w:tcPr>
            <w:tcW w:w="8190" w:type="dxa"/>
            <w:noWrap w:val="0"/>
            <w:vAlign w:val="center"/>
          </w:tcPr>
          <w:p w14:paraId="059DB41B">
            <w:pPr>
              <w:spacing w:line="360" w:lineRule="auto"/>
              <w:ind w:firstLine="482" w:firstLineChars="200"/>
              <w:outlineLvl w:val="1"/>
              <w:rPr>
                <w:rFonts w:hint="default" w:ascii="Times New Roman" w:hAnsi="Times New Roman" w:cs="Times New Roman"/>
                <w:color w:val="auto"/>
                <w:highlight w:val="none"/>
              </w:rPr>
            </w:pPr>
            <w:r>
              <w:rPr>
                <w:rFonts w:hint="default" w:ascii="Times New Roman" w:hAnsi="Times New Roman" w:cs="Times New Roman"/>
                <w:b/>
                <w:bCs/>
                <w:color w:val="auto"/>
                <w:kern w:val="2"/>
                <w:sz w:val="24"/>
                <w:szCs w:val="24"/>
                <w:highlight w:val="none"/>
                <w:lang w:val="en-US" w:eastAsia="zh-CN" w:bidi="ar-SA"/>
              </w:rPr>
              <w:t>1、废气</w:t>
            </w:r>
          </w:p>
          <w:p w14:paraId="25E5B269">
            <w:pPr>
              <w:tabs>
                <w:tab w:val="left" w:pos="2397"/>
              </w:tabs>
              <w:spacing w:line="360" w:lineRule="auto"/>
              <w:ind w:firstLine="480" w:firstLineChars="200"/>
              <w:rPr>
                <w:rFonts w:hint="eastAsia" w:ascii="Times New Roman" w:hAnsi="Times New Roman"/>
                <w:color w:val="auto"/>
                <w:sz w:val="24"/>
                <w:highlight w:val="none"/>
                <w:lang w:eastAsia="zh-CN"/>
              </w:rPr>
            </w:pPr>
            <w:r>
              <w:rPr>
                <w:rFonts w:hint="eastAsia" w:ascii="Times New Roman" w:hAnsi="Times New Roman"/>
                <w:color w:val="auto"/>
                <w:sz w:val="24"/>
                <w:highlight w:val="none"/>
              </w:rPr>
              <w:t>生产过程</w:t>
            </w:r>
            <w:r>
              <w:rPr>
                <w:rFonts w:hint="eastAsia" w:ascii="Times New Roman" w:hAnsi="Times New Roman"/>
                <w:color w:val="auto"/>
                <w:sz w:val="24"/>
                <w:highlight w:val="none"/>
                <w:lang w:eastAsia="zh-CN"/>
              </w:rPr>
              <w:t>无组织颗粒物排放执行《煤炭工业污染物排放标准》（GB20426-2006）中无组织排放限值标准，详见表3-</w:t>
            </w:r>
            <w:r>
              <w:rPr>
                <w:rFonts w:hint="eastAsia" w:ascii="Times New Roman" w:hAnsi="Times New Roman"/>
                <w:color w:val="auto"/>
                <w:sz w:val="24"/>
                <w:highlight w:val="none"/>
                <w:lang w:val="en-US" w:eastAsia="zh-CN"/>
              </w:rPr>
              <w:t>6</w:t>
            </w:r>
            <w:r>
              <w:rPr>
                <w:rFonts w:hint="eastAsia" w:ascii="Times New Roman" w:hAnsi="Times New Roman"/>
                <w:color w:val="auto"/>
                <w:sz w:val="24"/>
                <w:highlight w:val="none"/>
                <w:lang w:eastAsia="zh-CN"/>
              </w:rPr>
              <w:t>。</w:t>
            </w:r>
          </w:p>
          <w:p w14:paraId="4A0BD1D5">
            <w:pPr>
              <w:keepNext w:val="0"/>
              <w:keepLines w:val="0"/>
              <w:pageBreakBefore w:val="0"/>
              <w:widowControl w:val="0"/>
              <w:kinsoku/>
              <w:wordWrap/>
              <w:overflowPunct/>
              <w:topLinePunct w:val="0"/>
              <w:autoSpaceDE/>
              <w:autoSpaceDN/>
              <w:bidi w:val="0"/>
              <w:adjustRightInd w:val="0"/>
              <w:snapToGrid w:val="0"/>
              <w:spacing w:line="360" w:lineRule="auto"/>
              <w:ind w:left="0" w:right="0" w:firstLine="0" w:firstLineChars="0"/>
              <w:jc w:val="center"/>
              <w:textAlignment w:val="auto"/>
              <w:outlineLvl w:val="9"/>
              <w:rPr>
                <w:rFonts w:hint="eastAsia"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表3</w:t>
            </w:r>
            <w:r>
              <w:rPr>
                <w:rFonts w:hint="eastAsia" w:ascii="Times New Roman" w:hAnsi="Times New Roman" w:eastAsia="宋体" w:cs="Times New Roman"/>
                <w:b/>
                <w:color w:val="auto"/>
                <w:sz w:val="21"/>
                <w:szCs w:val="21"/>
                <w:highlight w:val="none"/>
                <w:lang w:val="en-US" w:eastAsia="zh-CN"/>
              </w:rPr>
              <w:t>-</w:t>
            </w:r>
            <w:r>
              <w:rPr>
                <w:rFonts w:hint="eastAsia" w:cs="Times New Roman"/>
                <w:b/>
                <w:color w:val="auto"/>
                <w:sz w:val="21"/>
                <w:szCs w:val="21"/>
                <w:highlight w:val="none"/>
                <w:lang w:val="en-US" w:eastAsia="zh-CN"/>
              </w:rPr>
              <w:t>5</w:t>
            </w:r>
            <w:r>
              <w:rPr>
                <w:rFonts w:hint="eastAsia" w:ascii="Times New Roman" w:hAnsi="Times New Roman" w:cs="Times New Roman"/>
                <w:b/>
                <w:color w:val="auto"/>
                <w:sz w:val="21"/>
                <w:szCs w:val="21"/>
                <w:highlight w:val="none"/>
                <w:lang w:val="en-US" w:eastAsia="zh-CN"/>
              </w:rPr>
              <w:t>《煤炭工业污染物排放标准》（GB20426-2006）</w:t>
            </w:r>
          </w:p>
          <w:tbl>
            <w:tblPr>
              <w:tblStyle w:val="31"/>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16"/>
              <w:gridCol w:w="3343"/>
              <w:gridCol w:w="3329"/>
            </w:tblGrid>
            <w:tr w14:paraId="235AFE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97" w:hRule="atLeast"/>
                <w:tblHeader/>
                <w:jc w:val="center"/>
              </w:trPr>
              <w:tc>
                <w:tcPr>
                  <w:tcW w:w="1023" w:type="pct"/>
                  <w:tcBorders>
                    <w:tl2br w:val="nil"/>
                    <w:tr2bl w:val="nil"/>
                  </w:tcBorders>
                  <w:noWrap w:val="0"/>
                  <w:vAlign w:val="center"/>
                </w:tcPr>
                <w:p w14:paraId="71FE78BB">
                  <w:pPr>
                    <w:pStyle w:val="64"/>
                    <w:rPr>
                      <w:rFonts w:ascii="Times New Roman" w:hAnsi="Times New Roman"/>
                      <w:b/>
                      <w:bCs/>
                      <w:color w:val="auto"/>
                      <w:szCs w:val="21"/>
                      <w:highlight w:val="none"/>
                    </w:rPr>
                  </w:pPr>
                  <w:r>
                    <w:rPr>
                      <w:rFonts w:ascii="Times New Roman" w:hAnsi="Times New Roman"/>
                      <w:b/>
                      <w:bCs/>
                      <w:color w:val="auto"/>
                      <w:szCs w:val="21"/>
                      <w:highlight w:val="none"/>
                    </w:rPr>
                    <w:t>污染物</w:t>
                  </w:r>
                </w:p>
              </w:tc>
              <w:tc>
                <w:tcPr>
                  <w:tcW w:w="1992" w:type="pct"/>
                  <w:tcBorders>
                    <w:tl2br w:val="nil"/>
                    <w:tr2bl w:val="nil"/>
                  </w:tcBorders>
                  <w:noWrap w:val="0"/>
                  <w:vAlign w:val="center"/>
                </w:tcPr>
                <w:p w14:paraId="7C2839CA">
                  <w:pPr>
                    <w:pStyle w:val="64"/>
                    <w:rPr>
                      <w:rFonts w:ascii="Times New Roman" w:hAnsi="Times New Roman"/>
                      <w:b/>
                      <w:bCs/>
                      <w:color w:val="auto"/>
                      <w:szCs w:val="21"/>
                      <w:highlight w:val="none"/>
                    </w:rPr>
                  </w:pPr>
                  <w:r>
                    <w:rPr>
                      <w:rFonts w:ascii="Times New Roman" w:hAnsi="Times New Roman"/>
                      <w:b/>
                      <w:bCs/>
                      <w:color w:val="auto"/>
                      <w:szCs w:val="21"/>
                      <w:highlight w:val="none"/>
                    </w:rPr>
                    <w:t>煤炭工业装卸场所无组织排放限值(mg/Nm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c>
                <w:tcPr>
                  <w:tcW w:w="1984" w:type="pct"/>
                  <w:tcBorders>
                    <w:tl2br w:val="nil"/>
                    <w:tr2bl w:val="nil"/>
                  </w:tcBorders>
                  <w:noWrap w:val="0"/>
                  <w:vAlign w:val="center"/>
                </w:tcPr>
                <w:p w14:paraId="13C6D3AA">
                  <w:pPr>
                    <w:pStyle w:val="64"/>
                    <w:rPr>
                      <w:rFonts w:ascii="Times New Roman" w:hAnsi="Times New Roman"/>
                      <w:b/>
                      <w:bCs/>
                      <w:color w:val="auto"/>
                      <w:szCs w:val="21"/>
                      <w:highlight w:val="none"/>
                    </w:rPr>
                  </w:pPr>
                  <w:r>
                    <w:rPr>
                      <w:rFonts w:ascii="Times New Roman" w:hAnsi="Times New Roman"/>
                      <w:b/>
                      <w:bCs/>
                      <w:color w:val="auto"/>
                      <w:szCs w:val="21"/>
                      <w:highlight w:val="none"/>
                    </w:rPr>
                    <w:t>煤炭贮存场所、煤矸石堆放场无组织排放限值(mg/Nm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r>
            <w:tr w14:paraId="0C0441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0" w:hRule="atLeast"/>
                <w:jc w:val="center"/>
              </w:trPr>
              <w:tc>
                <w:tcPr>
                  <w:tcW w:w="1023" w:type="pct"/>
                  <w:tcBorders>
                    <w:tl2br w:val="nil"/>
                    <w:tr2bl w:val="nil"/>
                  </w:tcBorders>
                  <w:noWrap w:val="0"/>
                  <w:vAlign w:val="center"/>
                </w:tcPr>
                <w:p w14:paraId="1FF4DD42">
                  <w:pPr>
                    <w:pStyle w:val="64"/>
                    <w:rPr>
                      <w:rFonts w:ascii="Times New Roman" w:hAnsi="Times New Roman"/>
                      <w:color w:val="auto"/>
                      <w:szCs w:val="21"/>
                      <w:highlight w:val="none"/>
                    </w:rPr>
                  </w:pPr>
                  <w:r>
                    <w:rPr>
                      <w:rFonts w:ascii="Times New Roman" w:hAnsi="Times New Roman"/>
                      <w:color w:val="auto"/>
                      <w:szCs w:val="21"/>
                      <w:highlight w:val="none"/>
                    </w:rPr>
                    <w:t>颗粒物</w:t>
                  </w:r>
                </w:p>
              </w:tc>
              <w:tc>
                <w:tcPr>
                  <w:tcW w:w="1992" w:type="pct"/>
                  <w:tcBorders>
                    <w:tl2br w:val="nil"/>
                    <w:tr2bl w:val="nil"/>
                  </w:tcBorders>
                  <w:noWrap w:val="0"/>
                  <w:vAlign w:val="center"/>
                </w:tcPr>
                <w:p w14:paraId="4CA6D58D">
                  <w:pPr>
                    <w:pStyle w:val="64"/>
                    <w:rPr>
                      <w:rFonts w:ascii="Times New Roman" w:hAnsi="Times New Roman"/>
                      <w:color w:val="auto"/>
                      <w:szCs w:val="21"/>
                      <w:highlight w:val="none"/>
                    </w:rPr>
                  </w:pPr>
                  <w:r>
                    <w:rPr>
                      <w:rFonts w:ascii="Times New Roman" w:hAnsi="Times New Roman"/>
                      <w:color w:val="auto"/>
                      <w:szCs w:val="21"/>
                      <w:highlight w:val="none"/>
                    </w:rPr>
                    <w:t>1.0</w:t>
                  </w:r>
                </w:p>
              </w:tc>
              <w:tc>
                <w:tcPr>
                  <w:tcW w:w="1984" w:type="pct"/>
                  <w:tcBorders>
                    <w:tl2br w:val="nil"/>
                    <w:tr2bl w:val="nil"/>
                  </w:tcBorders>
                  <w:noWrap w:val="0"/>
                  <w:vAlign w:val="center"/>
                </w:tcPr>
                <w:p w14:paraId="7D75854C">
                  <w:pPr>
                    <w:pStyle w:val="64"/>
                    <w:rPr>
                      <w:rFonts w:ascii="Times New Roman" w:hAnsi="Times New Roman"/>
                      <w:color w:val="auto"/>
                      <w:szCs w:val="21"/>
                      <w:highlight w:val="none"/>
                    </w:rPr>
                  </w:pPr>
                  <w:r>
                    <w:rPr>
                      <w:rFonts w:ascii="Times New Roman" w:hAnsi="Times New Roman"/>
                      <w:color w:val="auto"/>
                      <w:szCs w:val="21"/>
                      <w:highlight w:val="none"/>
                    </w:rPr>
                    <w:t>1.0</w:t>
                  </w:r>
                </w:p>
              </w:tc>
            </w:tr>
          </w:tbl>
          <w:p w14:paraId="38EE1DEF">
            <w:pPr>
              <w:spacing w:before="120" w:beforeLines="50" w:line="360" w:lineRule="auto"/>
              <w:ind w:firstLine="482" w:firstLineChars="200"/>
              <w:rPr>
                <w:rFonts w:hint="default" w:ascii="Times New Roman" w:hAnsi="Times New Roman"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2、噪声</w:t>
            </w:r>
          </w:p>
          <w:p w14:paraId="2DBE79CA">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运营期厂界</w:t>
            </w:r>
            <w:r>
              <w:rPr>
                <w:rFonts w:hint="eastAsia" w:ascii="Times New Roman" w:hAnsi="Times New Roman" w:cs="Times New Roman"/>
                <w:color w:val="auto"/>
                <w:kern w:val="0"/>
                <w:sz w:val="24"/>
                <w:szCs w:val="24"/>
                <w:highlight w:val="none"/>
                <w:lang w:val="en-US" w:eastAsia="zh-CN"/>
              </w:rPr>
              <w:t>四周</w:t>
            </w:r>
            <w:r>
              <w:rPr>
                <w:rFonts w:hint="default" w:ascii="Times New Roman" w:hAnsi="Times New Roman" w:eastAsia="宋体" w:cs="Times New Roman"/>
                <w:color w:val="auto"/>
                <w:kern w:val="0"/>
                <w:sz w:val="24"/>
                <w:szCs w:val="24"/>
                <w:highlight w:val="none"/>
                <w:lang w:val="en-US" w:eastAsia="zh-CN"/>
              </w:rPr>
              <w:t>噪声执行</w:t>
            </w:r>
            <w:r>
              <w:rPr>
                <w:rFonts w:ascii="Times New Roman" w:hAnsi="Times New Roman"/>
                <w:color w:val="auto"/>
                <w:sz w:val="24"/>
                <w:highlight w:val="none"/>
              </w:rPr>
              <w:t>《工业企业厂界环境噪声排放标准》（GB 12348-2008）</w:t>
            </w:r>
            <w:r>
              <w:rPr>
                <w:rFonts w:hint="default" w:ascii="Times New Roman" w:hAnsi="Times New Roman" w:cs="Times New Roman"/>
                <w:color w:val="auto"/>
                <w:sz w:val="24"/>
                <w:szCs w:val="24"/>
                <w:highlight w:val="none"/>
                <w:lang w:val="en-US" w:eastAsia="zh-CN"/>
              </w:rPr>
              <w:t>中</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Hans"/>
              </w:rPr>
              <w:t>类标准</w:t>
            </w:r>
            <w:r>
              <w:rPr>
                <w:rFonts w:hint="default" w:ascii="Times New Roman" w:hAnsi="Times New Roman" w:eastAsia="宋体" w:cs="Times New Roman"/>
                <w:color w:val="auto"/>
                <w:kern w:val="0"/>
                <w:sz w:val="24"/>
                <w:szCs w:val="24"/>
                <w:highlight w:val="none"/>
                <w:lang w:val="en-US" w:eastAsia="zh-CN"/>
              </w:rPr>
              <w:t>。具体标准值见下表。</w:t>
            </w:r>
          </w:p>
          <w:p w14:paraId="5C5B67AE">
            <w:pPr>
              <w:pStyle w:val="16"/>
              <w:rPr>
                <w:rFonts w:hint="default" w:ascii="Times New Roman" w:hAnsi="Times New Roman" w:eastAsia="宋体" w:cs="Times New Roman"/>
                <w:color w:val="auto"/>
                <w:kern w:val="0"/>
                <w:sz w:val="24"/>
                <w:szCs w:val="24"/>
                <w:highlight w:val="none"/>
                <w:lang w:val="en-US" w:eastAsia="zh-CN"/>
              </w:rPr>
            </w:pPr>
          </w:p>
          <w:p w14:paraId="2F117956">
            <w:pPr>
              <w:pStyle w:val="16"/>
              <w:rPr>
                <w:rFonts w:hint="default" w:ascii="Times New Roman" w:hAnsi="Times New Roman" w:eastAsia="宋体" w:cs="Times New Roman"/>
                <w:color w:val="auto"/>
                <w:kern w:val="0"/>
                <w:sz w:val="24"/>
                <w:szCs w:val="24"/>
                <w:highlight w:val="none"/>
                <w:lang w:val="en-US" w:eastAsia="zh-CN"/>
              </w:rPr>
            </w:pPr>
          </w:p>
          <w:p w14:paraId="3EF8090E">
            <w:pPr>
              <w:spacing w:line="36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6</w:t>
            </w:r>
            <w:r>
              <w:rPr>
                <w:rFonts w:hint="eastAsia" w:ascii="Times New Roman" w:hAnsi="Times New Roman" w:cs="Times New Roman"/>
                <w:b/>
                <w:color w:val="auto"/>
                <w:kern w:val="2"/>
                <w:sz w:val="21"/>
                <w:szCs w:val="21"/>
                <w:highlight w:val="none"/>
                <w:lang w:val="en-US" w:eastAsia="zh-CN" w:bidi="ar-SA"/>
              </w:rPr>
              <w:t xml:space="preserve"> </w:t>
            </w:r>
            <w:r>
              <w:rPr>
                <w:rFonts w:hint="default" w:ascii="Times New Roman" w:hAnsi="Times New Roman" w:eastAsia="宋体" w:cs="Times New Roman"/>
                <w:b/>
                <w:color w:val="auto"/>
                <w:kern w:val="2"/>
                <w:sz w:val="21"/>
                <w:szCs w:val="21"/>
                <w:highlight w:val="none"/>
                <w:lang w:val="en-US" w:eastAsia="zh-CN" w:bidi="ar-SA"/>
              </w:rPr>
              <w:t>噪声排放执行标准</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78"/>
              <w:gridCol w:w="1678"/>
              <w:gridCol w:w="1678"/>
              <w:gridCol w:w="1678"/>
              <w:gridCol w:w="1678"/>
            </w:tblGrid>
            <w:tr w14:paraId="24A95B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1000" w:type="pct"/>
                  <w:tcBorders>
                    <w:bottom w:val="single" w:color="auto" w:sz="6" w:space="0"/>
                    <w:right w:val="single" w:color="auto" w:sz="8" w:space="0"/>
                  </w:tcBorders>
                  <w:noWrap w:val="0"/>
                  <w:vAlign w:val="center"/>
                </w:tcPr>
                <w:p w14:paraId="56C06879">
                  <w:pPr>
                    <w:jc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评价时段</w:t>
                  </w:r>
                </w:p>
              </w:tc>
              <w:tc>
                <w:tcPr>
                  <w:tcW w:w="1000" w:type="pct"/>
                  <w:tcBorders>
                    <w:left w:val="single" w:color="auto" w:sz="8" w:space="0"/>
                    <w:bottom w:val="single" w:color="auto" w:sz="6" w:space="0"/>
                    <w:right w:val="single" w:color="auto" w:sz="8" w:space="0"/>
                  </w:tcBorders>
                  <w:noWrap w:val="0"/>
                  <w:vAlign w:val="center"/>
                </w:tcPr>
                <w:p w14:paraId="402FABE2">
                  <w:pPr>
                    <w:jc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类别</w:t>
                  </w:r>
                </w:p>
              </w:tc>
              <w:tc>
                <w:tcPr>
                  <w:tcW w:w="1000" w:type="pct"/>
                  <w:tcBorders>
                    <w:left w:val="single" w:color="auto" w:sz="8" w:space="0"/>
                    <w:bottom w:val="single" w:color="auto" w:sz="6" w:space="0"/>
                    <w:right w:val="single" w:color="auto" w:sz="8" w:space="0"/>
                  </w:tcBorders>
                  <w:noWrap w:val="0"/>
                  <w:vAlign w:val="center"/>
                </w:tcPr>
                <w:p w14:paraId="30A42337">
                  <w:pPr>
                    <w:jc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单位</w:t>
                  </w:r>
                </w:p>
              </w:tc>
              <w:tc>
                <w:tcPr>
                  <w:tcW w:w="1000" w:type="pct"/>
                  <w:tcBorders>
                    <w:left w:val="single" w:color="auto" w:sz="8" w:space="0"/>
                    <w:bottom w:val="single" w:color="auto" w:sz="6" w:space="0"/>
                    <w:right w:val="single" w:color="auto" w:sz="8" w:space="0"/>
                  </w:tcBorders>
                  <w:noWrap w:val="0"/>
                  <w:vAlign w:val="center"/>
                </w:tcPr>
                <w:p w14:paraId="0F44EBE7">
                  <w:pPr>
                    <w:jc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昼间</w:t>
                  </w:r>
                </w:p>
              </w:tc>
              <w:tc>
                <w:tcPr>
                  <w:tcW w:w="1000" w:type="pct"/>
                  <w:tcBorders>
                    <w:left w:val="single" w:color="auto" w:sz="8" w:space="0"/>
                    <w:bottom w:val="single" w:color="auto" w:sz="6" w:space="0"/>
                  </w:tcBorders>
                  <w:noWrap w:val="0"/>
                  <w:vAlign w:val="center"/>
                </w:tcPr>
                <w:p w14:paraId="2BC883D8">
                  <w:pPr>
                    <w:jc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夜间</w:t>
                  </w:r>
                </w:p>
              </w:tc>
            </w:tr>
            <w:tr w14:paraId="46AE9F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1" w:hRule="atLeast"/>
                <w:jc w:val="center"/>
              </w:trPr>
              <w:tc>
                <w:tcPr>
                  <w:tcW w:w="1000" w:type="pct"/>
                  <w:tcBorders>
                    <w:right w:val="single" w:color="auto" w:sz="8" w:space="0"/>
                  </w:tcBorders>
                  <w:noWrap w:val="0"/>
                  <w:vAlign w:val="center"/>
                </w:tcPr>
                <w:p w14:paraId="514F8B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rPr>
                    <w:t>运营期</w:t>
                  </w:r>
                </w:p>
              </w:tc>
              <w:tc>
                <w:tcPr>
                  <w:tcW w:w="1000" w:type="pct"/>
                  <w:tcBorders>
                    <w:top w:val="single" w:color="auto" w:sz="6" w:space="0"/>
                    <w:left w:val="single" w:color="auto" w:sz="8" w:space="0"/>
                    <w:bottom w:val="single" w:color="auto" w:sz="6" w:space="0"/>
                    <w:right w:val="single" w:color="auto" w:sz="8" w:space="0"/>
                  </w:tcBorders>
                  <w:noWrap w:val="0"/>
                  <w:vAlign w:val="center"/>
                </w:tcPr>
                <w:p w14:paraId="3F2286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rPr>
                    <w:t>2类</w:t>
                  </w:r>
                </w:p>
              </w:tc>
              <w:tc>
                <w:tcPr>
                  <w:tcW w:w="1000" w:type="pct"/>
                  <w:tcBorders>
                    <w:top w:val="single" w:color="auto" w:sz="6" w:space="0"/>
                    <w:left w:val="single" w:color="auto" w:sz="8" w:space="0"/>
                    <w:bottom w:val="single" w:color="auto" w:sz="6" w:space="0"/>
                    <w:right w:val="single" w:color="auto" w:sz="8" w:space="0"/>
                  </w:tcBorders>
                  <w:noWrap w:val="0"/>
                  <w:vAlign w:val="center"/>
                </w:tcPr>
                <w:p w14:paraId="26AFC5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rPr>
                    <w:t>dB</w:t>
                  </w:r>
                  <w:r>
                    <w:rPr>
                      <w:rFonts w:hint="eastAsia" w:ascii="Times New Roman" w:hAnsi="Times New Roman" w:cs="Times New Roman"/>
                      <w:color w:val="auto"/>
                      <w:kern w:val="0"/>
                      <w:sz w:val="21"/>
                      <w:szCs w:val="21"/>
                      <w:lang w:eastAsia="zh-CN"/>
                    </w:rPr>
                    <w:t>（</w:t>
                  </w:r>
                  <w:r>
                    <w:rPr>
                      <w:rFonts w:hint="default" w:ascii="Times New Roman" w:hAnsi="Times New Roman" w:eastAsia="宋体" w:cs="Times New Roman"/>
                      <w:color w:val="auto"/>
                      <w:kern w:val="0"/>
                      <w:sz w:val="21"/>
                      <w:szCs w:val="21"/>
                    </w:rPr>
                    <w:t>A</w:t>
                  </w:r>
                  <w:r>
                    <w:rPr>
                      <w:rFonts w:hint="eastAsia" w:ascii="Times New Roman" w:hAnsi="Times New Roman" w:cs="Times New Roman"/>
                      <w:color w:val="auto"/>
                      <w:kern w:val="0"/>
                      <w:sz w:val="21"/>
                      <w:szCs w:val="21"/>
                      <w:lang w:eastAsia="zh-CN"/>
                    </w:rPr>
                    <w:t>）</w:t>
                  </w:r>
                </w:p>
              </w:tc>
              <w:tc>
                <w:tcPr>
                  <w:tcW w:w="1000" w:type="pct"/>
                  <w:tcBorders>
                    <w:top w:val="single" w:color="auto" w:sz="6" w:space="0"/>
                    <w:left w:val="single" w:color="auto" w:sz="8" w:space="0"/>
                    <w:bottom w:val="single" w:color="auto" w:sz="6" w:space="0"/>
                    <w:right w:val="single" w:color="auto" w:sz="8" w:space="0"/>
                  </w:tcBorders>
                  <w:noWrap w:val="0"/>
                  <w:vAlign w:val="center"/>
                </w:tcPr>
                <w:p w14:paraId="583783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rPr>
                    <w:t>60</w:t>
                  </w:r>
                </w:p>
              </w:tc>
              <w:tc>
                <w:tcPr>
                  <w:tcW w:w="1000" w:type="pct"/>
                  <w:tcBorders>
                    <w:top w:val="single" w:color="auto" w:sz="6" w:space="0"/>
                    <w:left w:val="single" w:color="auto" w:sz="8" w:space="0"/>
                    <w:bottom w:val="single" w:color="auto" w:sz="6" w:space="0"/>
                  </w:tcBorders>
                  <w:noWrap w:val="0"/>
                  <w:vAlign w:val="center"/>
                </w:tcPr>
                <w:p w14:paraId="571D6B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rPr>
                    <w:t>50</w:t>
                  </w:r>
                </w:p>
              </w:tc>
            </w:tr>
          </w:tbl>
          <w:p w14:paraId="7551A520">
            <w:pPr>
              <w:spacing w:before="120" w:beforeLines="50" w:line="360" w:lineRule="auto"/>
              <w:ind w:firstLine="482" w:firstLineChars="200"/>
              <w:rPr>
                <w:rFonts w:hint="default" w:ascii="Times New Roman" w:hAnsi="Times New Roman"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、固体废物</w:t>
            </w:r>
          </w:p>
          <w:p w14:paraId="2DA3E6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Regular"/>
                <w:color w:val="auto"/>
                <w:sz w:val="24"/>
                <w:szCs w:val="24"/>
                <w:highlight w:val="none"/>
                <w:lang w:eastAsia="zh-CN"/>
              </w:rPr>
            </w:pPr>
            <w:r>
              <w:rPr>
                <w:rFonts w:hint="default" w:ascii="Times New Roman" w:hAnsi="Times New Roman" w:eastAsia="宋体" w:cs="Times New Roman"/>
                <w:color w:val="auto"/>
                <w:sz w:val="24"/>
              </w:rPr>
              <w:t>一般固废参照执行《一般工业固体废物贮存和填埋污染控制标准》（GB18599-2020）中的相关规定；</w:t>
            </w:r>
            <w:r>
              <w:rPr>
                <w:rFonts w:hint="default" w:ascii="Times New Roman" w:hAnsi="Times New Roman" w:eastAsia="宋体" w:cs="Times New Roman"/>
                <w:color w:val="auto"/>
                <w:sz w:val="24"/>
                <w:lang w:val="zh-CN"/>
              </w:rPr>
              <w:t>危险废物执行《危险废物贮存污染控制标准》（GB18597-20</w:t>
            </w:r>
            <w:r>
              <w:rPr>
                <w:rFonts w:hint="eastAsia" w:ascii="Times New Roman" w:hAnsi="Times New Roman" w:cs="Times New Roman"/>
                <w:color w:val="auto"/>
                <w:sz w:val="24"/>
                <w:lang w:val="en-US" w:eastAsia="zh-CN"/>
              </w:rPr>
              <w:t>23</w:t>
            </w:r>
            <w:r>
              <w:rPr>
                <w:rFonts w:hint="default" w:ascii="Times New Roman" w:hAnsi="Times New Roman" w:eastAsia="宋体" w:cs="Times New Roman"/>
                <w:color w:val="auto"/>
                <w:sz w:val="24"/>
                <w:lang w:val="zh-CN"/>
              </w:rPr>
              <w:t>）中的相关规定</w:t>
            </w:r>
            <w:r>
              <w:rPr>
                <w:rFonts w:hint="eastAsia" w:ascii="Times New Roman" w:hAnsi="Times New Roman" w:eastAsia="宋体" w:cs="Times New Roman"/>
                <w:color w:val="auto"/>
                <w:sz w:val="24"/>
                <w:lang w:val="zh-CN"/>
              </w:rPr>
              <w:t>。</w:t>
            </w:r>
          </w:p>
          <w:p w14:paraId="6BF6A7D9">
            <w:pPr>
              <w:spacing w:line="360" w:lineRule="auto"/>
              <w:ind w:firstLine="482" w:firstLineChars="200"/>
              <w:rPr>
                <w:rFonts w:hint="default" w:ascii="Times New Roman" w:hAnsi="Times New Roman" w:eastAsia="宋体" w:cs="Times New Roman"/>
                <w:b/>
                <w:bCs/>
                <w:color w:val="auto"/>
                <w:sz w:val="24"/>
                <w:szCs w:val="24"/>
                <w:highlight w:val="none"/>
                <w:lang w:eastAsia="zh-CN"/>
              </w:rPr>
            </w:pPr>
            <w:r>
              <w:rPr>
                <w:rFonts w:hint="default" w:ascii="Times New Roman" w:hAnsi="Times New Roman"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eastAsia="zh-CN"/>
              </w:rPr>
              <w:t>、废水</w:t>
            </w:r>
          </w:p>
          <w:p w14:paraId="55FB5EC7">
            <w:pPr>
              <w:pStyle w:val="18"/>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项目用水采用全闭路循环工艺，无生产废水外排；场地污水及雨水经排水沟进入集水池沉淀后用于洗矸，无外排</w:t>
            </w:r>
            <w:r>
              <w:rPr>
                <w:rFonts w:hint="eastAsia" w:ascii="Times New Roman" w:hAnsi="Times New Roman" w:cs="Times New Roman"/>
                <w:color w:val="auto"/>
                <w:sz w:val="24"/>
                <w:highlight w:val="none"/>
                <w:lang w:eastAsia="zh-CN"/>
              </w:rPr>
              <w:t>；</w:t>
            </w:r>
            <w:r>
              <w:rPr>
                <w:rFonts w:hint="eastAsia" w:cs="Times New Roman"/>
                <w:color w:val="auto"/>
                <w:sz w:val="24"/>
                <w:highlight w:val="none"/>
                <w:lang w:eastAsia="zh-CN"/>
              </w:rPr>
              <w:t>生活污水排入防渗旱厕，定期清掏，外运至污水处理厂</w:t>
            </w:r>
            <w:r>
              <w:rPr>
                <w:rFonts w:hint="default" w:ascii="Times New Roman" w:hAnsi="Times New Roman" w:eastAsia="宋体" w:cs="Times New Roman"/>
                <w:color w:val="auto"/>
                <w:sz w:val="24"/>
                <w:highlight w:val="none"/>
              </w:rPr>
              <w:t>。</w:t>
            </w:r>
          </w:p>
        </w:tc>
      </w:tr>
      <w:tr w14:paraId="61901D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13" w:hRule="atLeast"/>
          <w:jc w:val="center"/>
        </w:trPr>
        <w:tc>
          <w:tcPr>
            <w:tcW w:w="800" w:type="dxa"/>
            <w:noWrap w:val="0"/>
            <w:vAlign w:val="center"/>
          </w:tcPr>
          <w:p w14:paraId="59C84C37">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总量</w:t>
            </w:r>
          </w:p>
          <w:p w14:paraId="06A6DA90">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控制</w:t>
            </w:r>
          </w:p>
          <w:p w14:paraId="506E3F6E">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4"/>
                <w:szCs w:val="24"/>
                <w:highlight w:val="none"/>
              </w:rPr>
              <w:t>指标</w:t>
            </w:r>
          </w:p>
        </w:tc>
        <w:tc>
          <w:tcPr>
            <w:tcW w:w="8190" w:type="dxa"/>
            <w:noWrap w:val="0"/>
            <w:vAlign w:val="top"/>
          </w:tcPr>
          <w:p w14:paraId="72DF78B2">
            <w:pPr>
              <w:widowControl/>
              <w:spacing w:line="360" w:lineRule="auto"/>
              <w:ind w:firstLine="480" w:firstLineChars="200"/>
              <w:jc w:val="both"/>
              <w:rPr>
                <w:rFonts w:hint="default" w:ascii="Times New Roman" w:hAnsi="Times New Roman" w:cs="Times New Roman Regular"/>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GB" w:eastAsia="zh-CN"/>
              </w:rPr>
              <w:t>根据《关于印发&lt;“十四五”生态保护监管规划&gt;的通知》（生态环境部办</w:t>
            </w:r>
            <w:r>
              <w:rPr>
                <w:rFonts w:hint="default" w:ascii="Times New Roman" w:hAnsi="Times New Roman" w:eastAsia="宋体" w:cs="Times New Roman"/>
                <w:color w:val="auto"/>
                <w:sz w:val="24"/>
                <w:szCs w:val="24"/>
                <w:highlight w:val="none"/>
                <w:lang w:val="en-US" w:eastAsia="zh-CN"/>
              </w:rPr>
              <w:t>公厅2022年3月18日印发）</w:t>
            </w:r>
            <w:r>
              <w:rPr>
                <w:rFonts w:hint="default" w:ascii="Times New Roman" w:hAnsi="Times New Roman" w:eastAsia="宋体" w:cs="Times New Roman"/>
                <w:color w:val="auto"/>
                <w:sz w:val="24"/>
                <w:szCs w:val="24"/>
                <w:highlight w:val="none"/>
                <w:lang w:val="en-GB" w:eastAsia="zh-CN"/>
              </w:rPr>
              <w:t>、《建设项目主要污染物排放总量指标审核及管理暂行办法》（环发</w:t>
            </w:r>
            <w:r>
              <w:rPr>
                <w:rFonts w:hint="eastAsia"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eastAsia="zh-CN"/>
              </w:rPr>
              <w:t>2014</w:t>
            </w:r>
            <w:r>
              <w:rPr>
                <w:rFonts w:hint="eastAsia"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eastAsia="zh-CN"/>
              </w:rPr>
              <w:t>197号）及国家相关规定</w:t>
            </w:r>
            <w:r>
              <w:rPr>
                <w:rFonts w:hint="default" w:ascii="Times New Roman" w:hAnsi="Times New Roman" w:cs="Times New Roman Regular"/>
                <w:color w:val="auto"/>
                <w:sz w:val="24"/>
                <w:szCs w:val="24"/>
                <w:highlight w:val="none"/>
              </w:rPr>
              <w:t>，总</w:t>
            </w:r>
            <w:r>
              <w:rPr>
                <w:rFonts w:hint="eastAsia" w:ascii="Times New Roman" w:hAnsi="Times New Roman" w:cs="Times New Roman Regular"/>
                <w:color w:val="auto"/>
                <w:sz w:val="24"/>
                <w:szCs w:val="24"/>
                <w:highlight w:val="none"/>
                <w:lang w:val="en-US" w:eastAsia="zh-Hans"/>
              </w:rPr>
              <w:t>并结合本项目实际污染物排放情况，确定本项</w:t>
            </w:r>
            <w:r>
              <w:rPr>
                <w:rFonts w:hint="eastAsia" w:ascii="Times New Roman" w:hAnsi="Times New Roman" w:cs="Times New Roman Regular"/>
                <w:color w:val="auto"/>
                <w:sz w:val="24"/>
                <w:szCs w:val="24"/>
                <w:highlight w:val="none"/>
                <w:lang w:val="en-US" w:eastAsia="zh-CN"/>
              </w:rPr>
              <w:t>无</w:t>
            </w:r>
            <w:r>
              <w:rPr>
                <w:rFonts w:hint="eastAsia" w:ascii="Times New Roman" w:hAnsi="Times New Roman" w:cs="Times New Roman Regular"/>
                <w:color w:val="auto"/>
                <w:sz w:val="24"/>
                <w:szCs w:val="24"/>
                <w:highlight w:val="none"/>
                <w:lang w:val="en-US" w:eastAsia="zh-Hans"/>
              </w:rPr>
              <w:t>目总量控制指标</w:t>
            </w:r>
            <w:r>
              <w:rPr>
                <w:rFonts w:hint="default" w:ascii="Times New Roman" w:hAnsi="Times New Roman" w:cs="Times New Roman Regular"/>
                <w:color w:val="auto"/>
                <w:sz w:val="24"/>
                <w:szCs w:val="24"/>
                <w:highlight w:val="none"/>
              </w:rPr>
              <w:t>。</w:t>
            </w:r>
            <w:r>
              <w:rPr>
                <w:rFonts w:hint="default" w:ascii="Times New Roman" w:hAnsi="Times New Roman" w:cs="Times New Roman Regular"/>
                <w:color w:val="auto"/>
                <w:sz w:val="24"/>
                <w:szCs w:val="24"/>
                <w:highlight w:val="none"/>
                <w:lang w:val="en-US" w:eastAsia="zh-CN"/>
              </w:rPr>
              <w:t xml:space="preserve"> </w:t>
            </w:r>
          </w:p>
          <w:p w14:paraId="724A2D06">
            <w:pPr>
              <w:pStyle w:val="16"/>
              <w:rPr>
                <w:rFonts w:hint="default" w:ascii="Times New Roman" w:hAnsi="Times New Roman" w:cs="Times New Roman Regular"/>
                <w:color w:val="auto"/>
                <w:sz w:val="24"/>
                <w:szCs w:val="24"/>
                <w:highlight w:val="none"/>
                <w:lang w:val="en-US" w:eastAsia="zh-CN"/>
              </w:rPr>
            </w:pPr>
          </w:p>
        </w:tc>
      </w:tr>
    </w:tbl>
    <w:p w14:paraId="3E8FB149">
      <w:pPr>
        <w:pStyle w:val="27"/>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6"/>
          <w:szCs w:val="36"/>
          <w:highlight w:val="none"/>
        </w:rPr>
        <w:br w:type="page"/>
      </w:r>
      <w:bookmarkStart w:id="8" w:name="_Toc20607"/>
      <w:r>
        <w:rPr>
          <w:rFonts w:hint="default" w:ascii="Times New Roman" w:hAnsi="Times New Roman" w:eastAsia="黑体" w:cs="Times New Roman"/>
          <w:snapToGrid w:val="0"/>
          <w:color w:val="auto"/>
          <w:sz w:val="30"/>
          <w:szCs w:val="30"/>
          <w:highlight w:val="none"/>
        </w:rPr>
        <w:t>四、主要环境影响和保护措施</w:t>
      </w:r>
      <w:bookmarkEnd w:id="8"/>
    </w:p>
    <w:tbl>
      <w:tblPr>
        <w:tblStyle w:val="31"/>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51"/>
        <w:gridCol w:w="8430"/>
      </w:tblGrid>
      <w:tr w14:paraId="0D1557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31" w:hRule="atLeast"/>
          <w:jc w:val="center"/>
        </w:trPr>
        <w:tc>
          <w:tcPr>
            <w:tcW w:w="551" w:type="dxa"/>
            <w:noWrap w:val="0"/>
            <w:tcMar>
              <w:left w:w="28" w:type="dxa"/>
              <w:right w:w="28" w:type="dxa"/>
            </w:tcMar>
            <w:vAlign w:val="center"/>
          </w:tcPr>
          <w:p w14:paraId="2D3FE9AA">
            <w:pPr>
              <w:pStyle w:val="27"/>
              <w:adjustRightInd w:val="0"/>
              <w:snapToGrid w:val="0"/>
              <w:spacing w:before="0" w:beforeAutospacing="0" w:after="0" w:afterAutospacing="0"/>
              <w:jc w:val="center"/>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施工</w:t>
            </w:r>
          </w:p>
          <w:p w14:paraId="57AFE228">
            <w:pPr>
              <w:pStyle w:val="27"/>
              <w:adjustRightInd w:val="0"/>
              <w:snapToGrid w:val="0"/>
              <w:spacing w:before="0" w:beforeAutospacing="0" w:after="0" w:afterAutospacing="0"/>
              <w:jc w:val="center"/>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期环</w:t>
            </w:r>
          </w:p>
          <w:p w14:paraId="1B0EE9FE">
            <w:pPr>
              <w:pStyle w:val="27"/>
              <w:adjustRightInd w:val="0"/>
              <w:snapToGrid w:val="0"/>
              <w:spacing w:before="0" w:beforeAutospacing="0" w:after="0" w:afterAutospacing="0"/>
              <w:jc w:val="center"/>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境保</w:t>
            </w:r>
          </w:p>
          <w:p w14:paraId="5F7E813F">
            <w:pPr>
              <w:pStyle w:val="27"/>
              <w:adjustRightInd w:val="0"/>
              <w:snapToGrid w:val="0"/>
              <w:spacing w:before="0" w:beforeAutospacing="0" w:after="0" w:afterAutospacing="0"/>
              <w:jc w:val="center"/>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护措</w:t>
            </w:r>
          </w:p>
          <w:p w14:paraId="12FDF0B6">
            <w:pPr>
              <w:pStyle w:val="27"/>
              <w:adjustRightInd w:val="0"/>
              <w:snapToGrid w:val="0"/>
              <w:spacing w:before="0" w:beforeAutospacing="0" w:after="0" w:afterAutospacing="0"/>
              <w:jc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color w:val="auto"/>
                <w:kern w:val="2"/>
                <w:sz w:val="24"/>
                <w:szCs w:val="24"/>
                <w:highlight w:val="none"/>
              </w:rPr>
              <w:t>施</w:t>
            </w:r>
          </w:p>
        </w:tc>
        <w:tc>
          <w:tcPr>
            <w:tcW w:w="8430" w:type="dxa"/>
            <w:noWrap w:val="0"/>
            <w:vAlign w:val="center"/>
          </w:tcPr>
          <w:p w14:paraId="5DDBE17F">
            <w:pPr>
              <w:adjustRightInd w:val="0"/>
              <w:snapToGrid w:val="0"/>
              <w:spacing w:line="360" w:lineRule="auto"/>
              <w:ind w:firstLine="480" w:firstLineChars="200"/>
              <w:jc w:val="both"/>
              <w:rPr>
                <w:rFonts w:hint="default" w:ascii="Times New Roman" w:hAnsi="Times New Roman" w:cs="Times New Roman"/>
                <w:bCs/>
                <w:color w:val="auto"/>
                <w:spacing w:val="-10"/>
                <w:szCs w:val="21"/>
                <w:highlight w:val="none"/>
              </w:rPr>
            </w:pPr>
            <w:r>
              <w:rPr>
                <w:rFonts w:hint="eastAsia" w:ascii="Times New Roman" w:hAnsi="Times New Roman"/>
                <w:color w:val="auto"/>
                <w:sz w:val="24"/>
              </w:rPr>
              <w:t>本项目</w:t>
            </w:r>
            <w:r>
              <w:rPr>
                <w:rFonts w:hint="eastAsia" w:ascii="Times New Roman" w:hAnsi="Times New Roman" w:eastAsia="宋体" w:cs="Times New Roman"/>
                <w:color w:val="auto"/>
                <w:sz w:val="24"/>
                <w:lang w:val="en-US" w:eastAsia="zh-CN"/>
              </w:rPr>
              <w:t>现已完成年洗选120万吨煤炭生产线及其配套设备的建设</w:t>
            </w:r>
            <w:r>
              <w:rPr>
                <w:rFonts w:hint="eastAsia" w:ascii="Times New Roman" w:hAnsi="Times New Roman"/>
                <w:color w:val="auto"/>
                <w:sz w:val="24"/>
                <w:lang w:val="en-US" w:eastAsia="zh-CN"/>
              </w:rPr>
              <w:t>，故本项目不对施工期进行分析</w:t>
            </w:r>
            <w:r>
              <w:rPr>
                <w:rFonts w:ascii="Times New Roman" w:hAnsi="Times New Roman"/>
                <w:color w:val="auto"/>
                <w:sz w:val="24"/>
              </w:rPr>
              <w:t>。</w:t>
            </w:r>
          </w:p>
        </w:tc>
      </w:tr>
      <w:tr w14:paraId="163168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31" w:hRule="atLeast"/>
          <w:jc w:val="center"/>
        </w:trPr>
        <w:tc>
          <w:tcPr>
            <w:tcW w:w="551" w:type="dxa"/>
            <w:noWrap w:val="0"/>
            <w:tcMar>
              <w:left w:w="28" w:type="dxa"/>
              <w:right w:w="28" w:type="dxa"/>
            </w:tcMar>
            <w:vAlign w:val="center"/>
          </w:tcPr>
          <w:p w14:paraId="2B7E6080">
            <w:pPr>
              <w:adjustRightInd w:val="0"/>
              <w:snapToGrid w:val="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运营</w:t>
            </w:r>
          </w:p>
          <w:p w14:paraId="257FE49B">
            <w:pPr>
              <w:adjustRightInd w:val="0"/>
              <w:snapToGrid w:val="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期环</w:t>
            </w:r>
          </w:p>
          <w:p w14:paraId="58963933">
            <w:pPr>
              <w:adjustRightInd w:val="0"/>
              <w:snapToGrid w:val="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境影</w:t>
            </w:r>
          </w:p>
          <w:p w14:paraId="3AA5DA15">
            <w:pPr>
              <w:adjustRightInd w:val="0"/>
              <w:snapToGrid w:val="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响和</w:t>
            </w:r>
          </w:p>
          <w:p w14:paraId="0D099F40">
            <w:pPr>
              <w:adjustRightInd w:val="0"/>
              <w:snapToGrid w:val="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保护</w:t>
            </w:r>
          </w:p>
          <w:p w14:paraId="410E53AE">
            <w:pPr>
              <w:adjustRightInd w:val="0"/>
              <w:snapToGrid w:val="0"/>
              <w:jc w:val="center"/>
              <w:rPr>
                <w:rFonts w:hint="default" w:ascii="Times New Roman" w:hAnsi="Times New Roman" w:cs="Times New Roman"/>
                <w:color w:val="auto"/>
                <w:kern w:val="2"/>
                <w:sz w:val="24"/>
                <w:szCs w:val="24"/>
                <w:highlight w:val="none"/>
              </w:rPr>
            </w:pPr>
            <w:r>
              <w:rPr>
                <w:rFonts w:hint="default" w:ascii="Times New Roman" w:hAnsi="Times New Roman" w:cs="Times New Roman"/>
                <w:bCs/>
                <w:color w:val="auto"/>
                <w:sz w:val="24"/>
                <w:szCs w:val="24"/>
                <w:highlight w:val="none"/>
              </w:rPr>
              <w:t>措施</w:t>
            </w:r>
          </w:p>
        </w:tc>
        <w:tc>
          <w:tcPr>
            <w:tcW w:w="8430" w:type="dxa"/>
            <w:noWrap w:val="0"/>
            <w:vAlign w:val="center"/>
          </w:tcPr>
          <w:p w14:paraId="542A2D4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eastAsia" w:ascii="Times New Roman" w:hAnsi="Times New Roman" w:cs="Times New Roman"/>
                <w:b/>
                <w:bCs/>
                <w:color w:val="auto"/>
                <w:kern w:val="2"/>
                <w:sz w:val="24"/>
                <w:szCs w:val="24"/>
                <w:lang w:val="en-US" w:eastAsia="zh-CN" w:bidi="ar-SA"/>
              </w:rPr>
              <w:t>1</w:t>
            </w:r>
            <w:r>
              <w:rPr>
                <w:rFonts w:hint="default" w:ascii="Times New Roman" w:hAnsi="Times New Roman" w:eastAsia="宋体" w:cs="Times New Roman"/>
                <w:b/>
                <w:bCs/>
                <w:color w:val="auto"/>
                <w:kern w:val="2"/>
                <w:sz w:val="24"/>
                <w:szCs w:val="24"/>
                <w:lang w:val="en-US" w:eastAsia="zh-CN" w:bidi="ar-SA"/>
              </w:rPr>
              <w:t>、</w:t>
            </w:r>
            <w:r>
              <w:rPr>
                <w:rFonts w:hint="default" w:ascii="Times New Roman" w:hAnsi="Times New Roman" w:eastAsia="宋体" w:cs="Times New Roman"/>
                <w:b/>
                <w:bCs/>
                <w:color w:val="auto"/>
                <w:sz w:val="24"/>
                <w:szCs w:val="24"/>
                <w:highlight w:val="none"/>
                <w:lang w:eastAsia="zh-CN"/>
              </w:rPr>
              <w:t>废气</w:t>
            </w:r>
          </w:p>
          <w:p w14:paraId="583A5052">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eastAsia" w:ascii="Times New Roman" w:hAnsi="Times New Roman" w:cs="Times New Roman"/>
                <w:b/>
                <w:bCs/>
                <w:color w:val="auto"/>
                <w:kern w:val="2"/>
                <w:sz w:val="24"/>
                <w:szCs w:val="24"/>
                <w:highlight w:val="none"/>
                <w:lang w:val="en-US" w:eastAsia="zh-CN" w:bidi="ar-SA"/>
              </w:rPr>
            </w:pPr>
            <w:r>
              <w:rPr>
                <w:rFonts w:hint="eastAsia" w:ascii="Times New Roman" w:hAnsi="Times New Roman" w:cs="Times New Roman"/>
                <w:b/>
                <w:bCs/>
                <w:color w:val="auto"/>
                <w:kern w:val="2"/>
                <w:sz w:val="24"/>
                <w:szCs w:val="24"/>
                <w:highlight w:val="none"/>
                <w:lang w:val="en-US" w:eastAsia="zh-CN" w:bidi="ar-SA"/>
              </w:rPr>
              <w:t>（1）污染物源强核算</w:t>
            </w:r>
          </w:p>
          <w:p w14:paraId="0F776ED2">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color w:val="auto"/>
                <w:sz w:val="24"/>
                <w:szCs w:val="24"/>
                <w:highlight w:val="none"/>
                <w:lang w:val="en-US" w:eastAsia="zh-CN"/>
              </w:rPr>
            </w:pPr>
            <w:r>
              <w:rPr>
                <w:rFonts w:hint="eastAsia" w:ascii="Times New Roman" w:hAnsi="Times New Roman"/>
                <w:color w:val="auto"/>
                <w:sz w:val="24"/>
                <w:szCs w:val="24"/>
                <w:highlight w:val="none"/>
              </w:rPr>
              <w:t>运营期废气产生环节为原料卸车产生扬尘、转运环节粉尘、运输扬尘、堆场扬尘。</w:t>
            </w:r>
          </w:p>
          <w:p w14:paraId="25D7DFA9">
            <w:pPr>
              <w:keepNext w:val="0"/>
              <w:keepLines w:val="0"/>
              <w:pageBreakBefore w:val="0"/>
              <w:kinsoku/>
              <w:wordWrap/>
              <w:overflowPunct/>
              <w:topLinePunct w:val="0"/>
              <w:autoSpaceDE/>
              <w:autoSpaceDN/>
              <w:bidi w:val="0"/>
              <w:adjustRightInd w:val="0"/>
              <w:snapToGrid w:val="0"/>
              <w:spacing w:line="360" w:lineRule="auto"/>
              <w:ind w:left="0" w:leftChars="0" w:firstLine="480" w:firstLineChars="200"/>
              <w:jc w:val="both"/>
              <w:textAlignment w:val="auto"/>
              <w:rPr>
                <w:rFonts w:ascii="Times New Roman" w:hAnsi="Times New Roman"/>
                <w:color w:val="auto"/>
                <w:sz w:val="24"/>
                <w:szCs w:val="24"/>
                <w:highlight w:val="none"/>
              </w:rPr>
            </w:pPr>
            <w:r>
              <w:rPr>
                <w:rFonts w:hint="default" w:ascii="Times New Roman" w:hAnsi="Times New Roman" w:cs="Calibri"/>
                <w:b w:val="0"/>
                <w:bCs w:val="0"/>
                <w:color w:val="auto"/>
                <w:kern w:val="2"/>
                <w:sz w:val="24"/>
                <w:szCs w:val="24"/>
                <w:highlight w:val="none"/>
                <w:lang w:val="en-US" w:eastAsia="zh-CN" w:bidi="ar-SA"/>
              </w:rPr>
              <w:t>①</w:t>
            </w:r>
            <w:r>
              <w:rPr>
                <w:rFonts w:ascii="Times New Roman" w:hAnsi="Times New Roman"/>
                <w:color w:val="auto"/>
                <w:sz w:val="24"/>
                <w:szCs w:val="24"/>
                <w:highlight w:val="none"/>
              </w:rPr>
              <w:t>原料卸车产生扬尘</w:t>
            </w:r>
          </w:p>
          <w:p w14:paraId="3AE6ECC0">
            <w:pPr>
              <w:pStyle w:val="73"/>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汽车煤炭卸载扬尘量采用西安冶金建筑学院的起尘量推荐公式：</w:t>
            </w:r>
          </w:p>
          <w:p w14:paraId="2776E70C">
            <w:pPr>
              <w:keepNext w:val="0"/>
              <w:keepLines w:val="0"/>
              <w:pageBreakBefore w:val="0"/>
              <w:kinsoku/>
              <w:wordWrap/>
              <w:overflowPunct/>
              <w:topLinePunct w:val="0"/>
              <w:autoSpaceDE/>
              <w:autoSpaceDN/>
              <w:bidi w:val="0"/>
              <w:spacing w:line="360" w:lineRule="auto"/>
              <w:ind w:left="0" w:leftChars="0" w:firstLine="480" w:firstLineChars="200"/>
              <w:jc w:val="center"/>
              <w:textAlignment w:val="auto"/>
              <w:rPr>
                <w:rFonts w:ascii="Times New Roman" w:hAnsi="Times New Roman"/>
                <w:color w:val="auto"/>
                <w:sz w:val="24"/>
                <w:szCs w:val="24"/>
                <w:highlight w:val="none"/>
              </w:rPr>
            </w:pPr>
            <w:r>
              <w:rPr>
                <w:rFonts w:ascii="Times New Roman" w:hAnsi="Times New Roman"/>
                <w:color w:val="auto"/>
                <w:sz w:val="24"/>
                <w:szCs w:val="24"/>
                <w:highlight w:val="none"/>
              </w:rPr>
              <w:drawing>
                <wp:inline distT="0" distB="0" distL="114300" distR="114300">
                  <wp:extent cx="1521460" cy="349885"/>
                  <wp:effectExtent l="0" t="0" r="2540" b="1206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1"/>
                          <a:stretch>
                            <a:fillRect/>
                          </a:stretch>
                        </pic:blipFill>
                        <pic:spPr>
                          <a:xfrm>
                            <a:off x="0" y="0"/>
                            <a:ext cx="1521460" cy="349885"/>
                          </a:xfrm>
                          <a:prstGeom prst="rect">
                            <a:avLst/>
                          </a:prstGeom>
                          <a:noFill/>
                          <a:ln>
                            <a:noFill/>
                          </a:ln>
                        </pic:spPr>
                      </pic:pic>
                    </a:graphicData>
                  </a:graphic>
                </wp:inline>
              </w:drawing>
            </w:r>
          </w:p>
          <w:p w14:paraId="5AF29D67">
            <w:pPr>
              <w:keepNext w:val="0"/>
              <w:keepLines w:val="0"/>
              <w:pageBreakBefore w:val="0"/>
              <w:kinsoku/>
              <w:wordWrap/>
              <w:overflowPunct/>
              <w:topLinePunct w:val="0"/>
              <w:autoSpaceDE/>
              <w:autoSpaceDN/>
              <w:bidi w:val="0"/>
              <w:spacing w:line="360" w:lineRule="auto"/>
              <w:ind w:left="1199" w:leftChars="228" w:hanging="720" w:hangingChars="3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式中：</w:t>
            </w:r>
            <w:r>
              <w:rPr>
                <w:rFonts w:ascii="Times New Roman" w:hAnsi="Times New Roman"/>
                <w:i/>
                <w:color w:val="auto"/>
                <w:sz w:val="24"/>
                <w:szCs w:val="24"/>
                <w:highlight w:val="none"/>
              </w:rPr>
              <w:t>Q</w:t>
            </w:r>
            <w:r>
              <w:rPr>
                <w:rFonts w:ascii="Times New Roman" w:hAnsi="Times New Roman"/>
                <w:color w:val="auto"/>
                <w:sz w:val="24"/>
                <w:szCs w:val="24"/>
                <w:highlight w:val="none"/>
              </w:rPr>
              <w:t>—煤装卸扬尘量，（mg/次）；</w:t>
            </w:r>
            <w:r>
              <w:rPr>
                <w:rFonts w:ascii="Times New Roman" w:hAnsi="Times New Roman"/>
                <w:color w:val="auto"/>
                <w:sz w:val="24"/>
                <w:szCs w:val="24"/>
                <w:highlight w:val="none"/>
              </w:rPr>
              <w:cr/>
            </w:r>
            <w:r>
              <w:rPr>
                <w:rFonts w:ascii="Times New Roman" w:hAnsi="Times New Roman"/>
                <w:i/>
                <w:color w:val="auto"/>
                <w:sz w:val="24"/>
                <w:szCs w:val="24"/>
                <w:highlight w:val="none"/>
              </w:rPr>
              <w:t>u</w:t>
            </w:r>
            <w:r>
              <w:rPr>
                <w:rFonts w:ascii="Times New Roman" w:hAnsi="Times New Roman"/>
                <w:color w:val="auto"/>
                <w:sz w:val="24"/>
                <w:szCs w:val="24"/>
                <w:highlight w:val="none"/>
              </w:rPr>
              <w:t>—起尘风速（m/s），本项目取当地全年平均风速4m/s；</w:t>
            </w:r>
            <w:r>
              <w:rPr>
                <w:rFonts w:ascii="Times New Roman" w:hAnsi="Times New Roman"/>
                <w:color w:val="auto"/>
                <w:sz w:val="24"/>
                <w:szCs w:val="24"/>
                <w:highlight w:val="none"/>
              </w:rPr>
              <w:cr/>
            </w:r>
            <w:r>
              <w:rPr>
                <w:rFonts w:ascii="Times New Roman" w:hAnsi="Times New Roman"/>
                <w:i/>
                <w:color w:val="auto"/>
                <w:sz w:val="24"/>
                <w:szCs w:val="24"/>
                <w:highlight w:val="none"/>
              </w:rPr>
              <w:t>M</w:t>
            </w:r>
            <w:r>
              <w:rPr>
                <w:rFonts w:ascii="Times New Roman" w:hAnsi="Times New Roman"/>
                <w:color w:val="auto"/>
                <w:sz w:val="24"/>
                <w:szCs w:val="24"/>
                <w:highlight w:val="none"/>
              </w:rPr>
              <w:t>—车辆吨位，t（取40t）；</w:t>
            </w:r>
            <w:r>
              <w:rPr>
                <w:rFonts w:ascii="Times New Roman" w:hAnsi="Times New Roman"/>
                <w:color w:val="auto"/>
                <w:sz w:val="24"/>
                <w:szCs w:val="24"/>
                <w:highlight w:val="none"/>
              </w:rPr>
              <w:cr/>
            </w:r>
            <w:r>
              <w:rPr>
                <w:rFonts w:ascii="Times New Roman" w:hAnsi="Times New Roman"/>
                <w:i/>
                <w:color w:val="auto"/>
                <w:sz w:val="24"/>
                <w:szCs w:val="24"/>
                <w:highlight w:val="none"/>
              </w:rPr>
              <w:t>H</w:t>
            </w:r>
            <w:r>
              <w:rPr>
                <w:rFonts w:ascii="Times New Roman" w:hAnsi="Times New Roman"/>
                <w:color w:val="auto"/>
                <w:sz w:val="24"/>
                <w:szCs w:val="24"/>
                <w:highlight w:val="none"/>
              </w:rPr>
              <w:t>—煤装卸高度，4m。</w:t>
            </w:r>
          </w:p>
          <w:p w14:paraId="5D0B02CD">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经计算，每车次卸煤时产生的扬尘量为38.516g，按原煤装卸车辆运输每天1</w:t>
            </w:r>
            <w:r>
              <w:rPr>
                <w:rFonts w:hint="eastAsia" w:ascii="Times New Roman" w:hAnsi="Times New Roman"/>
                <w:color w:val="auto"/>
                <w:sz w:val="24"/>
                <w:szCs w:val="24"/>
                <w:highlight w:val="none"/>
              </w:rPr>
              <w:t>0</w:t>
            </w:r>
            <w:r>
              <w:rPr>
                <w:rFonts w:ascii="Times New Roman" w:hAnsi="Times New Roman"/>
                <w:color w:val="auto"/>
                <w:sz w:val="24"/>
                <w:szCs w:val="24"/>
                <w:highlight w:val="none"/>
              </w:rPr>
              <w:t>0车次，则扬尘量约为</w:t>
            </w:r>
            <w:r>
              <w:rPr>
                <w:rFonts w:hint="eastAsia" w:ascii="Times New Roman" w:hAnsi="Times New Roman"/>
                <w:color w:val="auto"/>
                <w:sz w:val="24"/>
                <w:szCs w:val="24"/>
                <w:highlight w:val="none"/>
              </w:rPr>
              <w:t>3.8516</w:t>
            </w:r>
            <w:r>
              <w:rPr>
                <w:rFonts w:ascii="Times New Roman" w:hAnsi="Times New Roman"/>
                <w:color w:val="auto"/>
                <w:sz w:val="24"/>
                <w:szCs w:val="24"/>
                <w:highlight w:val="none"/>
              </w:rPr>
              <w:t>kg/d，即0.</w:t>
            </w:r>
            <w:r>
              <w:rPr>
                <w:rFonts w:hint="eastAsia" w:ascii="Times New Roman" w:hAnsi="Times New Roman"/>
                <w:color w:val="auto"/>
                <w:sz w:val="24"/>
                <w:szCs w:val="24"/>
                <w:highlight w:val="none"/>
              </w:rPr>
              <w:t>2407</w:t>
            </w:r>
            <w:r>
              <w:rPr>
                <w:rFonts w:ascii="Times New Roman" w:hAnsi="Times New Roman"/>
                <w:color w:val="auto"/>
                <w:sz w:val="24"/>
                <w:szCs w:val="24"/>
                <w:highlight w:val="none"/>
              </w:rPr>
              <w:t>kg/h、1.1555t/a。本项目采取洒水降尘措施，且在防风抑尘网内进行，粉尘排放量约减少90%，粉尘排放量约为0.0</w:t>
            </w:r>
            <w:r>
              <w:rPr>
                <w:rFonts w:hint="eastAsia" w:ascii="Times New Roman" w:hAnsi="Times New Roman"/>
                <w:color w:val="auto"/>
                <w:sz w:val="24"/>
                <w:szCs w:val="24"/>
                <w:highlight w:val="none"/>
              </w:rPr>
              <w:t>24</w:t>
            </w:r>
            <w:r>
              <w:rPr>
                <w:rFonts w:ascii="Times New Roman" w:hAnsi="Times New Roman"/>
                <w:color w:val="auto"/>
                <w:sz w:val="24"/>
                <w:szCs w:val="24"/>
                <w:highlight w:val="none"/>
              </w:rPr>
              <w:t>kg/h、0.1156t/a。</w:t>
            </w:r>
          </w:p>
          <w:p w14:paraId="59F0F460">
            <w:pPr>
              <w:keepNext w:val="0"/>
              <w:keepLines w:val="0"/>
              <w:pageBreakBefore w:val="0"/>
              <w:kinsoku/>
              <w:wordWrap/>
              <w:overflowPunct/>
              <w:topLinePunct w:val="0"/>
              <w:autoSpaceDE/>
              <w:autoSpaceDN/>
              <w:bidi w:val="0"/>
              <w:adjustRightInd w:val="0"/>
              <w:snapToGrid w:val="0"/>
              <w:spacing w:line="360" w:lineRule="auto"/>
              <w:ind w:left="0" w:leftChars="0" w:firstLine="480" w:firstLineChars="200"/>
              <w:jc w:val="both"/>
              <w:textAlignment w:val="auto"/>
              <w:rPr>
                <w:rFonts w:ascii="Times New Roman" w:hAnsi="Times New Roman"/>
                <w:color w:val="auto"/>
                <w:sz w:val="24"/>
                <w:szCs w:val="24"/>
                <w:highlight w:val="none"/>
              </w:rPr>
            </w:pPr>
            <w:r>
              <w:rPr>
                <w:rFonts w:hint="default" w:ascii="Times New Roman" w:hAnsi="Times New Roman" w:cs="Calibri"/>
                <w:color w:val="auto"/>
                <w:sz w:val="24"/>
                <w:szCs w:val="24"/>
                <w:highlight w:val="none"/>
              </w:rPr>
              <w:t>②</w:t>
            </w:r>
            <w:r>
              <w:rPr>
                <w:rFonts w:ascii="Times New Roman" w:hAnsi="Times New Roman"/>
                <w:color w:val="auto"/>
                <w:sz w:val="24"/>
                <w:szCs w:val="24"/>
                <w:highlight w:val="none"/>
              </w:rPr>
              <w:t>转运环节粉尘</w:t>
            </w:r>
          </w:p>
          <w:p w14:paraId="0FA02CDF">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转运环节扬尘主要集中在原料在入洗前的转载点，包括皮带输送和转载点将产生少量的煤尘。项目厂内原料输送采用皮带输送机运送方式，为减少扬尘，</w:t>
            </w:r>
            <w:r>
              <w:rPr>
                <w:rFonts w:hint="eastAsia" w:ascii="Times New Roman" w:hAnsi="Times New Roman"/>
                <w:color w:val="auto"/>
                <w:sz w:val="24"/>
                <w:szCs w:val="24"/>
                <w:highlight w:val="none"/>
                <w:lang w:eastAsia="zh-CN"/>
              </w:rPr>
              <w:t>上料口、</w:t>
            </w:r>
            <w:r>
              <w:rPr>
                <w:rFonts w:ascii="Times New Roman" w:hAnsi="Times New Roman"/>
                <w:color w:val="auto"/>
                <w:sz w:val="24"/>
                <w:szCs w:val="24"/>
                <w:highlight w:val="none"/>
              </w:rPr>
              <w:t>运输皮带均安装在封闭的通廊中，通廊上方留有通风口，并在转载点采取洒水降尘措施，将皮带输送机设置在封闭的皮带走廊内，故皮带输送及转运环节扬尘较小，在皮带输送机运送过程中，原料处于相对静止状态，极少产生扬尘，采取该治理措施后，可有效治理原料输送过程的扬尘污染，无组织逸散粉尘量极少，</w:t>
            </w:r>
            <w:r>
              <w:rPr>
                <w:rFonts w:ascii="Times New Roman" w:hAnsi="Times New Roman"/>
                <w:snapToGrid w:val="0"/>
                <w:color w:val="auto"/>
                <w:kern w:val="0"/>
                <w:sz w:val="24"/>
                <w:szCs w:val="24"/>
                <w:highlight w:val="none"/>
              </w:rPr>
              <w:t>对环境影响极小。</w:t>
            </w:r>
          </w:p>
          <w:p w14:paraId="7B3F7C98">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ascii="Times New Roman" w:hAnsi="Times New Roman"/>
                <w:color w:val="auto"/>
                <w:sz w:val="24"/>
                <w:szCs w:val="24"/>
                <w:highlight w:val="none"/>
              </w:rPr>
            </w:pPr>
            <w:r>
              <w:rPr>
                <w:rFonts w:hint="default" w:ascii="Times New Roman" w:hAnsi="Times New Roman" w:cs="Calibri"/>
                <w:color w:val="auto"/>
                <w:sz w:val="24"/>
                <w:szCs w:val="24"/>
                <w:highlight w:val="none"/>
                <w:lang w:val="en-US" w:eastAsia="zh-CN"/>
              </w:rPr>
              <w:t>③</w:t>
            </w:r>
            <w:r>
              <w:rPr>
                <w:rFonts w:ascii="Times New Roman" w:hAnsi="Times New Roman"/>
                <w:color w:val="auto"/>
                <w:sz w:val="24"/>
                <w:szCs w:val="24"/>
                <w:highlight w:val="none"/>
              </w:rPr>
              <w:t>运输扬尘</w:t>
            </w:r>
          </w:p>
          <w:p w14:paraId="00E306B0">
            <w:pPr>
              <w:pStyle w:val="7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项目运送原料、产品产生的道路扬尘，根据汽车运输扬尘经验公式：</w:t>
            </w:r>
          </w:p>
          <w:p w14:paraId="0805E768">
            <w:pPr>
              <w:keepNext w:val="0"/>
              <w:keepLines w:val="0"/>
              <w:pageBreakBefore w:val="0"/>
              <w:widowControl/>
              <w:kinsoku/>
              <w:wordWrap/>
              <w:overflowPunct/>
              <w:topLinePunct w:val="0"/>
              <w:autoSpaceDE/>
              <w:autoSpaceDN/>
              <w:bidi w:val="0"/>
              <w:spacing w:line="360" w:lineRule="auto"/>
              <w:ind w:left="0" w:leftChars="0" w:firstLine="480" w:firstLineChars="200"/>
              <w:jc w:val="center"/>
              <w:textAlignment w:val="auto"/>
              <w:rPr>
                <w:rFonts w:ascii="Times New Roman" w:hAnsi="Times New Roman"/>
                <w:color w:val="auto"/>
                <w:kern w:val="0"/>
                <w:sz w:val="24"/>
                <w:szCs w:val="24"/>
                <w:highlight w:val="none"/>
              </w:rPr>
            </w:pPr>
            <w:r>
              <w:rPr>
                <w:rFonts w:ascii="Times New Roman" w:hAnsi="Times New Roman"/>
                <w:color w:val="auto"/>
                <w:kern w:val="0"/>
                <w:sz w:val="24"/>
                <w:szCs w:val="24"/>
                <w:highlight w:val="none"/>
              </w:rPr>
              <w:drawing>
                <wp:inline distT="0" distB="0" distL="114300" distR="114300">
                  <wp:extent cx="2362200" cy="894080"/>
                  <wp:effectExtent l="0" t="0" r="0" b="1270"/>
                  <wp:docPr id="9" name="图片 4" descr="27C2F4198AFB43B789325753FABF77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27C2F4198AFB43B789325753FABF77C0"/>
                          <pic:cNvPicPr>
                            <a:picLocks noChangeAspect="1"/>
                          </pic:cNvPicPr>
                        </pic:nvPicPr>
                        <pic:blipFill>
                          <a:blip r:embed="rId22"/>
                          <a:stretch>
                            <a:fillRect/>
                          </a:stretch>
                        </pic:blipFill>
                        <pic:spPr>
                          <a:xfrm>
                            <a:off x="0" y="0"/>
                            <a:ext cx="2362200" cy="894080"/>
                          </a:xfrm>
                          <a:prstGeom prst="rect">
                            <a:avLst/>
                          </a:prstGeom>
                          <a:noFill/>
                          <a:ln>
                            <a:noFill/>
                          </a:ln>
                        </pic:spPr>
                      </pic:pic>
                    </a:graphicData>
                  </a:graphic>
                </wp:inline>
              </w:drawing>
            </w:r>
          </w:p>
          <w:p w14:paraId="04C16A7F">
            <w:pPr>
              <w:keepNext w:val="0"/>
              <w:keepLines w:val="0"/>
              <w:pageBreakBefore w:val="0"/>
              <w:kinsoku/>
              <w:wordWrap/>
              <w:overflowPunct/>
              <w:topLinePunct w:val="0"/>
              <w:autoSpaceDE/>
              <w:autoSpaceDN/>
              <w:bidi w:val="0"/>
              <w:spacing w:line="360" w:lineRule="auto"/>
              <w:ind w:left="1199" w:leftChars="228" w:hanging="720" w:hangingChars="3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式中：</w:t>
            </w:r>
            <w:r>
              <w:rPr>
                <w:rFonts w:ascii="Times New Roman" w:hAnsi="Times New Roman"/>
                <w:i/>
                <w:color w:val="auto"/>
                <w:sz w:val="24"/>
                <w:szCs w:val="24"/>
                <w:highlight w:val="none"/>
              </w:rPr>
              <w:t>Q</w:t>
            </w:r>
            <w:r>
              <w:rPr>
                <w:rFonts w:ascii="Times New Roman" w:hAnsi="Times New Roman"/>
                <w:i/>
                <w:color w:val="auto"/>
                <w:sz w:val="24"/>
                <w:szCs w:val="24"/>
                <w:highlight w:val="none"/>
                <w:vertAlign w:val="subscript"/>
              </w:rPr>
              <w:t>P</w:t>
            </w:r>
            <w:r>
              <w:rPr>
                <w:rFonts w:ascii="Times New Roman" w:hAnsi="Times New Roman"/>
                <w:color w:val="auto"/>
                <w:sz w:val="24"/>
                <w:szCs w:val="24"/>
                <w:highlight w:val="none"/>
              </w:rPr>
              <w:t>—道路扬尘量，（kg/km·辆）；</w:t>
            </w:r>
            <w:r>
              <w:rPr>
                <w:rFonts w:ascii="Times New Roman" w:hAnsi="Times New Roman"/>
                <w:color w:val="auto"/>
                <w:sz w:val="24"/>
                <w:szCs w:val="24"/>
                <w:highlight w:val="none"/>
              </w:rPr>
              <w:cr/>
            </w:r>
            <w:r>
              <w:rPr>
                <w:rFonts w:ascii="Times New Roman" w:hAnsi="Times New Roman"/>
                <w:i/>
                <w:color w:val="auto"/>
                <w:sz w:val="24"/>
                <w:szCs w:val="24"/>
                <w:highlight w:val="none"/>
              </w:rPr>
              <w:t>Q′</w:t>
            </w:r>
            <w:r>
              <w:rPr>
                <w:rFonts w:ascii="Times New Roman" w:hAnsi="Times New Roman"/>
                <w:i/>
                <w:color w:val="auto"/>
                <w:sz w:val="24"/>
                <w:szCs w:val="24"/>
                <w:highlight w:val="none"/>
                <w:vertAlign w:val="subscript"/>
              </w:rPr>
              <w:t>P</w:t>
            </w:r>
            <w:r>
              <w:rPr>
                <w:rFonts w:ascii="Times New Roman" w:hAnsi="Times New Roman"/>
                <w:color w:val="auto"/>
                <w:sz w:val="24"/>
                <w:szCs w:val="24"/>
                <w:highlight w:val="none"/>
              </w:rPr>
              <w:t>—总扬尘量，（kg/a）；</w:t>
            </w:r>
            <w:r>
              <w:rPr>
                <w:rFonts w:ascii="Times New Roman" w:hAnsi="Times New Roman"/>
                <w:color w:val="auto"/>
                <w:sz w:val="24"/>
                <w:szCs w:val="24"/>
                <w:highlight w:val="none"/>
              </w:rPr>
              <w:cr/>
            </w:r>
            <w:r>
              <w:rPr>
                <w:rFonts w:ascii="Times New Roman" w:hAnsi="Times New Roman"/>
                <w:i/>
                <w:color w:val="auto"/>
                <w:sz w:val="24"/>
                <w:szCs w:val="24"/>
                <w:highlight w:val="none"/>
              </w:rPr>
              <w:t>V</w:t>
            </w:r>
            <w:r>
              <w:rPr>
                <w:rFonts w:ascii="Times New Roman" w:hAnsi="Times New Roman"/>
                <w:color w:val="auto"/>
                <w:sz w:val="24"/>
                <w:szCs w:val="24"/>
                <w:highlight w:val="none"/>
              </w:rPr>
              <w:t>—车辆速度，5km/h；</w:t>
            </w:r>
            <w:r>
              <w:rPr>
                <w:rFonts w:ascii="Times New Roman" w:hAnsi="Times New Roman"/>
                <w:color w:val="auto"/>
                <w:sz w:val="24"/>
                <w:szCs w:val="24"/>
                <w:highlight w:val="none"/>
              </w:rPr>
              <w:cr/>
            </w:r>
            <w:r>
              <w:rPr>
                <w:rFonts w:ascii="Times New Roman" w:hAnsi="Times New Roman"/>
                <w:i/>
                <w:color w:val="auto"/>
                <w:sz w:val="24"/>
                <w:szCs w:val="24"/>
                <w:highlight w:val="none"/>
              </w:rPr>
              <w:t>M</w:t>
            </w:r>
            <w:r>
              <w:rPr>
                <w:rFonts w:ascii="Times New Roman" w:hAnsi="Times New Roman"/>
                <w:color w:val="auto"/>
                <w:sz w:val="24"/>
                <w:szCs w:val="24"/>
                <w:highlight w:val="none"/>
              </w:rPr>
              <w:t>—车辆载重，40t/辆；</w:t>
            </w:r>
            <w:r>
              <w:rPr>
                <w:rFonts w:ascii="Times New Roman" w:hAnsi="Times New Roman"/>
                <w:color w:val="auto"/>
                <w:sz w:val="24"/>
                <w:szCs w:val="24"/>
                <w:highlight w:val="none"/>
              </w:rPr>
              <w:cr/>
            </w:r>
            <w:r>
              <w:rPr>
                <w:rFonts w:ascii="Times New Roman" w:hAnsi="Times New Roman"/>
                <w:i/>
                <w:color w:val="auto"/>
                <w:sz w:val="24"/>
                <w:szCs w:val="24"/>
                <w:highlight w:val="none"/>
              </w:rPr>
              <w:t>P</w:t>
            </w:r>
            <w:r>
              <w:rPr>
                <w:rFonts w:ascii="Times New Roman" w:hAnsi="Times New Roman"/>
                <w:color w:val="auto"/>
                <w:sz w:val="24"/>
                <w:szCs w:val="24"/>
                <w:highlight w:val="none"/>
              </w:rPr>
              <w:t>—路面灰尘覆盖率，0.05kg/m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w:t>
            </w:r>
          </w:p>
          <w:p w14:paraId="221BE8C6">
            <w:pPr>
              <w:keepNext w:val="0"/>
              <w:keepLines w:val="0"/>
              <w:pageBreakBefore w:val="0"/>
              <w:kinsoku/>
              <w:wordWrap/>
              <w:overflowPunct/>
              <w:topLinePunct w:val="0"/>
              <w:autoSpaceDE/>
              <w:autoSpaceDN/>
              <w:bidi w:val="0"/>
              <w:spacing w:line="360" w:lineRule="auto"/>
              <w:ind w:left="1197" w:leftChars="570" w:firstLine="0" w:firstLineChars="0"/>
              <w:jc w:val="both"/>
              <w:textAlignment w:val="auto"/>
              <w:rPr>
                <w:rFonts w:ascii="Times New Roman" w:hAnsi="Times New Roman"/>
                <w:color w:val="auto"/>
                <w:sz w:val="24"/>
                <w:szCs w:val="24"/>
                <w:highlight w:val="none"/>
              </w:rPr>
            </w:pPr>
            <w:r>
              <w:rPr>
                <w:rFonts w:ascii="Times New Roman" w:hAnsi="Times New Roman"/>
                <w:i/>
                <w:color w:val="auto"/>
                <w:sz w:val="24"/>
                <w:szCs w:val="24"/>
                <w:highlight w:val="none"/>
              </w:rPr>
              <w:t>L</w:t>
            </w:r>
            <w:r>
              <w:rPr>
                <w:rFonts w:ascii="Times New Roman" w:hAnsi="Times New Roman"/>
                <w:color w:val="auto"/>
                <w:sz w:val="24"/>
                <w:szCs w:val="24"/>
                <w:highlight w:val="none"/>
              </w:rPr>
              <w:t>—运距，0.1km；</w:t>
            </w:r>
            <w:r>
              <w:rPr>
                <w:rFonts w:ascii="Times New Roman" w:hAnsi="Times New Roman"/>
                <w:color w:val="auto"/>
                <w:sz w:val="24"/>
                <w:szCs w:val="24"/>
                <w:highlight w:val="none"/>
              </w:rPr>
              <w:cr/>
            </w:r>
            <w:r>
              <w:rPr>
                <w:rFonts w:ascii="Times New Roman" w:hAnsi="Times New Roman"/>
                <w:i/>
                <w:color w:val="auto"/>
                <w:sz w:val="24"/>
                <w:szCs w:val="24"/>
                <w:highlight w:val="none"/>
              </w:rPr>
              <w:t>Q</w:t>
            </w:r>
            <w:r>
              <w:rPr>
                <w:rFonts w:ascii="Times New Roman" w:hAnsi="Times New Roman"/>
                <w:color w:val="auto"/>
                <w:sz w:val="24"/>
                <w:szCs w:val="24"/>
                <w:highlight w:val="none"/>
              </w:rPr>
              <w:t>—运输量，</w:t>
            </w:r>
            <w:r>
              <w:rPr>
                <w:rFonts w:hint="eastAsia" w:ascii="Times New Roman" w:hAnsi="Times New Roman"/>
                <w:color w:val="auto"/>
                <w:sz w:val="24"/>
                <w:szCs w:val="24"/>
                <w:highlight w:val="none"/>
              </w:rPr>
              <w:t>240</w:t>
            </w:r>
            <w:r>
              <w:rPr>
                <w:rFonts w:ascii="Times New Roman" w:hAnsi="Times New Roman"/>
                <w:color w:val="auto"/>
                <w:sz w:val="24"/>
                <w:szCs w:val="24"/>
                <w:highlight w:val="none"/>
              </w:rPr>
              <w:t xml:space="preserve">万t/a。 </w:t>
            </w:r>
          </w:p>
          <w:p w14:paraId="66D8BEBE">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经计算，Qp为0.63t/a（Q</w:t>
            </w:r>
            <w:r>
              <w:rPr>
                <w:rFonts w:ascii="Times New Roman" w:hAnsi="Times New Roman"/>
                <w:color w:val="auto"/>
                <w:sz w:val="24"/>
                <w:szCs w:val="24"/>
                <w:highlight w:val="none"/>
                <w:vertAlign w:val="subscript"/>
              </w:rPr>
              <w:t>P</w:t>
            </w:r>
            <w:r>
              <w:rPr>
                <w:rFonts w:ascii="Times New Roman" w:hAnsi="Times New Roman"/>
                <w:color w:val="auto"/>
                <w:sz w:val="24"/>
                <w:szCs w:val="24"/>
                <w:highlight w:val="none"/>
              </w:rPr>
              <w:t xml:space="preserve"> 计算值为0.1056），即0.</w:t>
            </w:r>
            <w:r>
              <w:rPr>
                <w:rFonts w:hint="eastAsia" w:ascii="Times New Roman" w:hAnsi="Times New Roman"/>
                <w:color w:val="auto"/>
                <w:sz w:val="24"/>
                <w:szCs w:val="24"/>
                <w:highlight w:val="none"/>
              </w:rPr>
              <w:t>13</w:t>
            </w:r>
            <w:r>
              <w:rPr>
                <w:rFonts w:ascii="Times New Roman" w:hAnsi="Times New Roman"/>
                <w:color w:val="auto"/>
                <w:sz w:val="24"/>
                <w:szCs w:val="24"/>
                <w:highlight w:val="none"/>
              </w:rPr>
              <w:t>kg/h。</w:t>
            </w:r>
          </w:p>
          <w:p w14:paraId="6D4D56F5">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本项目</w:t>
            </w:r>
            <w:r>
              <w:rPr>
                <w:rFonts w:hint="eastAsia" w:ascii="Times New Roman" w:hAnsi="Times New Roman"/>
                <w:color w:val="auto"/>
                <w:sz w:val="24"/>
                <w:szCs w:val="24"/>
                <w:highlight w:val="none"/>
              </w:rPr>
              <w:t>厂区内</w:t>
            </w:r>
            <w:r>
              <w:rPr>
                <w:rFonts w:ascii="Times New Roman" w:hAnsi="Times New Roman"/>
                <w:color w:val="auto"/>
                <w:sz w:val="24"/>
                <w:szCs w:val="24"/>
                <w:highlight w:val="none"/>
              </w:rPr>
              <w:t>对运输车辆车身加盖苫布，防止物料的洒落，运输道路进行洒水降尘措施，扬尘量可减少80%，扬尘排放量约为0.0</w:t>
            </w:r>
            <w:r>
              <w:rPr>
                <w:rFonts w:hint="eastAsia" w:ascii="Times New Roman" w:hAnsi="Times New Roman"/>
                <w:color w:val="auto"/>
                <w:sz w:val="24"/>
                <w:szCs w:val="24"/>
                <w:highlight w:val="none"/>
              </w:rPr>
              <w:t>26</w:t>
            </w:r>
            <w:r>
              <w:rPr>
                <w:rFonts w:ascii="Times New Roman" w:hAnsi="Times New Roman"/>
                <w:color w:val="auto"/>
                <w:sz w:val="24"/>
                <w:szCs w:val="24"/>
                <w:highlight w:val="none"/>
              </w:rPr>
              <w:t>kg/h，0.126t/a。</w:t>
            </w:r>
            <w:r>
              <w:rPr>
                <w:rFonts w:hint="eastAsia" w:ascii="Times New Roman" w:hAnsi="Times New Roman"/>
                <w:color w:val="auto"/>
                <w:sz w:val="24"/>
                <w:szCs w:val="24"/>
                <w:highlight w:val="none"/>
              </w:rPr>
              <w:t>厂区外运输时运输车辆车身加盖苫布，防止物料洒落。</w:t>
            </w:r>
            <w:r>
              <w:rPr>
                <w:rFonts w:hint="eastAsia" w:ascii="Times New Roman" w:hAnsi="Times New Roman"/>
                <w:color w:val="auto"/>
                <w:sz w:val="24"/>
                <w:szCs w:val="24"/>
                <w:highlight w:val="none"/>
                <w:lang w:eastAsia="zh-CN"/>
              </w:rPr>
              <w:t>运输路线应尽量避开居民区，</w:t>
            </w:r>
            <w:r>
              <w:rPr>
                <w:rFonts w:ascii="Times New Roman" w:hAnsi="Times New Roman"/>
                <w:color w:val="auto"/>
                <w:sz w:val="24"/>
                <w:szCs w:val="24"/>
                <w:highlight w:val="none"/>
              </w:rPr>
              <w:t>根据类比相关资料，行车道路两侧扬尘浓度可达8～10mg/m</w:t>
            </w:r>
            <w:r>
              <w:rPr>
                <w:rFonts w:ascii="Times New Roman" w:hAnsi="Times New Roman"/>
                <w:color w:val="auto"/>
                <w:sz w:val="24"/>
                <w:szCs w:val="24"/>
                <w:highlight w:val="none"/>
                <w:vertAlign w:val="superscript"/>
              </w:rPr>
              <w:t>3</w:t>
            </w:r>
            <w:r>
              <w:rPr>
                <w:rFonts w:ascii="Times New Roman" w:hAnsi="Times New Roman"/>
                <w:color w:val="auto"/>
                <w:sz w:val="24"/>
                <w:szCs w:val="24"/>
                <w:highlight w:val="none"/>
              </w:rPr>
              <w:t>，扬尘浓度随距离增加而迅速下降，影响范围一般为道路两侧各约50m内，对环境空气的影响范围相对较小。</w:t>
            </w:r>
          </w:p>
          <w:p w14:paraId="784B4C4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cs="Times New Roman"/>
                <w:color w:val="auto"/>
                <w:sz w:val="24"/>
                <w:szCs w:val="24"/>
                <w:highlight w:val="none"/>
              </w:rPr>
            </w:pPr>
            <w:r>
              <w:rPr>
                <w:rFonts w:hint="eastAsia" w:ascii="Times New Roman" w:hAnsi="Times New Roman" w:eastAsia="宋体" w:cs="宋体"/>
                <w:color w:val="auto"/>
                <w:sz w:val="24"/>
                <w:szCs w:val="24"/>
                <w:highlight w:val="none"/>
                <w:lang w:eastAsia="zh-CN"/>
              </w:rPr>
              <w:t>④</w:t>
            </w:r>
            <w:r>
              <w:rPr>
                <w:rFonts w:hint="eastAsia" w:ascii="Times New Roman" w:hAnsi="Times New Roman" w:cs="Times New Roman"/>
                <w:color w:val="auto"/>
                <w:sz w:val="24"/>
                <w:szCs w:val="24"/>
                <w:highlight w:val="none"/>
              </w:rPr>
              <w:t>堆场扬尘</w:t>
            </w:r>
          </w:p>
          <w:p w14:paraId="1C7E47B9">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hint="eastAsia" w:ascii="Times New Roman" w:hAnsi="Times New Roman"/>
                <w:color w:val="auto"/>
                <w:sz w:val="24"/>
                <w:szCs w:val="24"/>
                <w:highlight w:val="none"/>
                <w:lang w:eastAsia="zh-CN"/>
              </w:rPr>
              <w:t>堆场</w:t>
            </w:r>
            <w:r>
              <w:rPr>
                <w:rFonts w:ascii="Times New Roman" w:hAnsi="Times New Roman"/>
                <w:color w:val="auto"/>
                <w:sz w:val="24"/>
                <w:szCs w:val="24"/>
                <w:highlight w:val="none"/>
              </w:rPr>
              <w:t>表面煤尘的起尘强度受风速、</w:t>
            </w:r>
            <w:r>
              <w:rPr>
                <w:rFonts w:hint="eastAsia" w:ascii="Times New Roman" w:hAnsi="Times New Roman"/>
                <w:color w:val="auto"/>
                <w:sz w:val="24"/>
                <w:szCs w:val="24"/>
                <w:highlight w:val="none"/>
                <w:lang w:eastAsia="zh-CN"/>
              </w:rPr>
              <w:t>堆放</w:t>
            </w:r>
            <w:r>
              <w:rPr>
                <w:rFonts w:ascii="Times New Roman" w:hAnsi="Times New Roman"/>
                <w:color w:val="auto"/>
                <w:sz w:val="24"/>
                <w:szCs w:val="24"/>
                <w:highlight w:val="none"/>
              </w:rPr>
              <w:t>面积、含水量等多种因素影响，计算公式为：</w:t>
            </w:r>
          </w:p>
          <w:p w14:paraId="18ECC1F9">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i/>
                <w:color w:val="auto"/>
                <w:sz w:val="24"/>
                <w:szCs w:val="24"/>
                <w:highlight w:val="none"/>
              </w:rPr>
            </w:pPr>
            <w:r>
              <w:rPr>
                <w:rFonts w:ascii="Times New Roman" w:hAnsi="Times New Roman"/>
                <w:i/>
                <w:color w:val="auto"/>
                <w:sz w:val="24"/>
                <w:szCs w:val="24"/>
                <w:highlight w:val="none"/>
              </w:rPr>
              <w:t>Q=11.7U</w:t>
            </w:r>
            <w:r>
              <w:rPr>
                <w:rFonts w:ascii="Times New Roman" w:hAnsi="Times New Roman"/>
                <w:i/>
                <w:color w:val="auto"/>
                <w:sz w:val="24"/>
                <w:szCs w:val="24"/>
                <w:highlight w:val="none"/>
                <w:vertAlign w:val="superscript"/>
              </w:rPr>
              <w:t>2.45</w:t>
            </w:r>
            <w:r>
              <w:rPr>
                <w:rFonts w:ascii="Times New Roman" w:hAnsi="Times New Roman"/>
                <w:i/>
                <w:color w:val="auto"/>
                <w:sz w:val="24"/>
                <w:szCs w:val="24"/>
                <w:highlight w:val="none"/>
              </w:rPr>
              <w:t>S</w:t>
            </w:r>
            <w:r>
              <w:rPr>
                <w:rFonts w:ascii="Times New Roman" w:hAnsi="Times New Roman"/>
                <w:i/>
                <w:color w:val="auto"/>
                <w:sz w:val="24"/>
                <w:szCs w:val="24"/>
                <w:highlight w:val="none"/>
                <w:vertAlign w:val="superscript"/>
              </w:rPr>
              <w:t>0.345</w:t>
            </w:r>
            <w:r>
              <w:rPr>
                <w:rFonts w:ascii="Times New Roman" w:hAnsi="Times New Roman"/>
                <w:i/>
                <w:color w:val="auto"/>
                <w:sz w:val="24"/>
                <w:szCs w:val="24"/>
                <w:highlight w:val="none"/>
              </w:rPr>
              <w:t>e</w:t>
            </w:r>
            <w:r>
              <w:rPr>
                <w:rFonts w:ascii="Times New Roman" w:hAnsi="Times New Roman"/>
                <w:i/>
                <w:color w:val="auto"/>
                <w:sz w:val="24"/>
                <w:szCs w:val="24"/>
                <w:highlight w:val="none"/>
                <w:vertAlign w:val="superscript"/>
              </w:rPr>
              <w:t>-0.5w</w:t>
            </w:r>
          </w:p>
          <w:p w14:paraId="14F51645">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式中：</w:t>
            </w:r>
            <w:r>
              <w:rPr>
                <w:rFonts w:ascii="Times New Roman" w:hAnsi="Times New Roman"/>
                <w:i/>
                <w:color w:val="auto"/>
                <w:sz w:val="24"/>
                <w:szCs w:val="24"/>
                <w:highlight w:val="none"/>
              </w:rPr>
              <w:t>Q</w:t>
            </w:r>
            <w:r>
              <w:rPr>
                <w:rFonts w:ascii="Times New Roman" w:hAnsi="Times New Roman"/>
                <w:color w:val="auto"/>
                <w:sz w:val="24"/>
                <w:szCs w:val="24"/>
                <w:highlight w:val="none"/>
              </w:rPr>
              <w:t>——起尘强度，mg/s；</w:t>
            </w:r>
          </w:p>
          <w:p w14:paraId="48481763">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 xml:space="preserve">      </w:t>
            </w:r>
            <w:r>
              <w:rPr>
                <w:rFonts w:ascii="Times New Roman" w:hAnsi="Times New Roman"/>
                <w:i/>
                <w:color w:val="auto"/>
                <w:sz w:val="24"/>
                <w:szCs w:val="24"/>
                <w:highlight w:val="none"/>
              </w:rPr>
              <w:t>U</w:t>
            </w:r>
            <w:r>
              <w:rPr>
                <w:rFonts w:ascii="Times New Roman" w:hAnsi="Times New Roman"/>
                <w:color w:val="auto"/>
                <w:sz w:val="24"/>
                <w:szCs w:val="24"/>
                <w:highlight w:val="none"/>
              </w:rPr>
              <w:t>——地面风速，按4m/s计；</w:t>
            </w:r>
          </w:p>
          <w:p w14:paraId="078F200C">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 xml:space="preserve">      </w:t>
            </w:r>
            <w:r>
              <w:rPr>
                <w:rFonts w:ascii="Times New Roman" w:hAnsi="Times New Roman"/>
                <w:i/>
                <w:color w:val="auto"/>
                <w:sz w:val="24"/>
                <w:szCs w:val="24"/>
                <w:highlight w:val="none"/>
              </w:rPr>
              <w:t>S</w:t>
            </w:r>
            <w:r>
              <w:rPr>
                <w:rFonts w:ascii="Times New Roman" w:hAnsi="Times New Roman"/>
                <w:color w:val="auto"/>
                <w:sz w:val="24"/>
                <w:szCs w:val="24"/>
                <w:highlight w:val="none"/>
              </w:rPr>
              <w:t>——堆场面积，m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w:t>
            </w:r>
          </w:p>
          <w:p w14:paraId="7C6E66B9">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rPr>
            </w:pPr>
            <w:r>
              <w:rPr>
                <w:rFonts w:ascii="Times New Roman" w:hAnsi="Times New Roman"/>
                <w:color w:val="auto"/>
                <w:sz w:val="24"/>
                <w:szCs w:val="24"/>
                <w:highlight w:val="none"/>
              </w:rPr>
              <w:t xml:space="preserve">      </w:t>
            </w:r>
            <w:r>
              <w:rPr>
                <w:rFonts w:ascii="Times New Roman" w:hAnsi="Times New Roman"/>
                <w:i/>
                <w:color w:val="auto"/>
                <w:sz w:val="24"/>
                <w:szCs w:val="24"/>
                <w:highlight w:val="none"/>
              </w:rPr>
              <w:t>W</w:t>
            </w:r>
            <w:r>
              <w:rPr>
                <w:rFonts w:ascii="Times New Roman" w:hAnsi="Times New Roman"/>
                <w:color w:val="auto"/>
                <w:sz w:val="24"/>
                <w:szCs w:val="24"/>
                <w:highlight w:val="none"/>
              </w:rPr>
              <w:t>——含水量，%。</w:t>
            </w:r>
          </w:p>
          <w:p w14:paraId="447D96BE">
            <w:pPr>
              <w:pStyle w:val="73"/>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中煤堆场占地面积</w:t>
            </w:r>
            <w:r>
              <w:rPr>
                <w:rFonts w:hint="eastAsia" w:ascii="Times New Roman" w:hAnsi="Times New Roman"/>
                <w:color w:val="auto"/>
                <w:sz w:val="24"/>
                <w:szCs w:val="24"/>
                <w:highlight w:val="none"/>
                <w:lang w:val="en-US" w:eastAsia="zh-CN"/>
              </w:rPr>
              <w:t>1500</w:t>
            </w:r>
            <w:r>
              <w:rPr>
                <w:rFonts w:ascii="Times New Roman" w:hAnsi="Times New Roman"/>
                <w:color w:val="auto"/>
                <w:sz w:val="24"/>
                <w:szCs w:val="24"/>
                <w:highlight w:val="none"/>
              </w:rPr>
              <w:t>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、中煤含水率为10%，矸石堆场占地面积</w:t>
            </w:r>
            <w:r>
              <w:rPr>
                <w:rFonts w:hint="eastAsia" w:ascii="Times New Roman" w:hAnsi="Times New Roman"/>
                <w:color w:val="auto"/>
                <w:sz w:val="24"/>
                <w:szCs w:val="24"/>
                <w:highlight w:val="none"/>
                <w:lang w:val="en-US" w:eastAsia="zh-CN"/>
              </w:rPr>
              <w:t>1500</w:t>
            </w:r>
            <w:r>
              <w:rPr>
                <w:rFonts w:ascii="Times New Roman" w:hAnsi="Times New Roman"/>
                <w:color w:val="auto"/>
                <w:sz w:val="24"/>
                <w:szCs w:val="24"/>
                <w:highlight w:val="none"/>
              </w:rPr>
              <w:t>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、矸石含水率为10%，根据上述公式计算得出各堆场扬尘产生情况分别为：中煤堆场</w:t>
            </w:r>
            <w:r>
              <w:rPr>
                <w:rFonts w:hint="eastAsia" w:ascii="Times New Roman" w:hAnsi="Times New Roman"/>
                <w:color w:val="auto"/>
                <w:sz w:val="24"/>
                <w:szCs w:val="24"/>
                <w:highlight w:val="none"/>
                <w:lang w:val="en-US" w:eastAsia="zh-CN"/>
              </w:rPr>
              <w:t>29.34</w:t>
            </w:r>
            <w:r>
              <w:rPr>
                <w:rFonts w:ascii="Times New Roman" w:hAnsi="Times New Roman"/>
                <w:color w:val="auto"/>
                <w:sz w:val="24"/>
                <w:szCs w:val="24"/>
                <w:highlight w:val="none"/>
              </w:rPr>
              <w:t>mg/s、</w:t>
            </w:r>
            <w:r>
              <w:rPr>
                <w:rFonts w:hint="eastAsia" w:ascii="Times New Roman" w:hAnsi="Times New Roman"/>
                <w:color w:val="auto"/>
                <w:sz w:val="24"/>
                <w:szCs w:val="24"/>
                <w:highlight w:val="none"/>
                <w:lang w:val="en-US" w:eastAsia="zh-CN"/>
              </w:rPr>
              <w:t>0.106</w:t>
            </w:r>
            <w:r>
              <w:rPr>
                <w:rFonts w:ascii="Times New Roman" w:hAnsi="Times New Roman"/>
                <w:color w:val="auto"/>
                <w:sz w:val="24"/>
                <w:szCs w:val="24"/>
                <w:highlight w:val="none"/>
              </w:rPr>
              <w:t>kg/h、</w:t>
            </w:r>
            <w:r>
              <w:rPr>
                <w:rFonts w:hint="eastAsia" w:ascii="Times New Roman" w:hAnsi="Times New Roman"/>
                <w:color w:val="auto"/>
                <w:sz w:val="24"/>
                <w:szCs w:val="24"/>
                <w:highlight w:val="none"/>
                <w:lang w:val="en-US" w:eastAsia="zh-CN"/>
              </w:rPr>
              <w:t>0.03</w:t>
            </w:r>
            <w:r>
              <w:rPr>
                <w:rFonts w:ascii="Times New Roman" w:hAnsi="Times New Roman"/>
                <w:color w:val="auto"/>
                <w:sz w:val="24"/>
                <w:szCs w:val="24"/>
                <w:highlight w:val="none"/>
              </w:rPr>
              <w:t>t/a，矸石</w:t>
            </w:r>
            <w:r>
              <w:rPr>
                <w:rFonts w:hint="eastAsia" w:ascii="Times New Roman" w:hAnsi="Times New Roman"/>
                <w:color w:val="auto"/>
                <w:sz w:val="24"/>
                <w:szCs w:val="24"/>
                <w:highlight w:val="none"/>
                <w:lang w:val="en-US" w:eastAsia="zh-CN"/>
              </w:rPr>
              <w:t>29.34</w:t>
            </w:r>
            <w:r>
              <w:rPr>
                <w:rFonts w:ascii="Times New Roman" w:hAnsi="Times New Roman"/>
                <w:color w:val="auto"/>
                <w:sz w:val="24"/>
                <w:szCs w:val="24"/>
                <w:highlight w:val="none"/>
              </w:rPr>
              <w:t>mg/s、</w:t>
            </w:r>
            <w:r>
              <w:rPr>
                <w:rFonts w:hint="eastAsia" w:ascii="Times New Roman" w:hAnsi="Times New Roman"/>
                <w:color w:val="auto"/>
                <w:sz w:val="24"/>
                <w:szCs w:val="24"/>
                <w:highlight w:val="none"/>
                <w:lang w:val="en-US" w:eastAsia="zh-CN"/>
              </w:rPr>
              <w:t>0.106</w:t>
            </w:r>
            <w:r>
              <w:rPr>
                <w:rFonts w:ascii="Times New Roman" w:hAnsi="Times New Roman"/>
                <w:color w:val="auto"/>
                <w:sz w:val="24"/>
                <w:szCs w:val="24"/>
                <w:highlight w:val="none"/>
              </w:rPr>
              <w:t>kg/h、</w:t>
            </w:r>
            <w:r>
              <w:rPr>
                <w:rFonts w:hint="eastAsia" w:ascii="Times New Roman" w:hAnsi="Times New Roman"/>
                <w:color w:val="auto"/>
                <w:sz w:val="24"/>
                <w:szCs w:val="24"/>
                <w:highlight w:val="none"/>
                <w:lang w:val="en-US" w:eastAsia="zh-CN"/>
              </w:rPr>
              <w:t>0.03</w:t>
            </w:r>
            <w:r>
              <w:rPr>
                <w:rFonts w:ascii="Times New Roman" w:hAnsi="Times New Roman"/>
                <w:color w:val="auto"/>
                <w:sz w:val="24"/>
                <w:szCs w:val="24"/>
                <w:highlight w:val="none"/>
              </w:rPr>
              <w:t>t/a。各个堆场通过设置防风抑尘网遮盖+内部洒水等措施，可有效控制扬尘产生。根据《挡风抑尘网抑尘防风效果分析》，防风抑尘网总体扬尘效率为70.31%~92.72%，本项目取值防风抑尘网遮盖效率80%+内部洒水效率约为80%，环保措施抑尘效率保守估计达到95%，则各个堆场扬尘排放情况分别为中煤堆场</w:t>
            </w:r>
            <w:r>
              <w:rPr>
                <w:rFonts w:hint="eastAsia" w:ascii="Times New Roman" w:hAnsi="Times New Roman"/>
                <w:color w:val="auto"/>
                <w:sz w:val="24"/>
                <w:szCs w:val="24"/>
                <w:highlight w:val="none"/>
                <w:lang w:val="en-US" w:eastAsia="zh-CN"/>
              </w:rPr>
              <w:t>0.01</w:t>
            </w:r>
            <w:r>
              <w:rPr>
                <w:rFonts w:ascii="Times New Roman" w:hAnsi="Times New Roman"/>
                <w:color w:val="auto"/>
                <w:sz w:val="24"/>
                <w:szCs w:val="24"/>
                <w:highlight w:val="none"/>
              </w:rPr>
              <w:t>kg/h、</w:t>
            </w:r>
            <w:r>
              <w:rPr>
                <w:rFonts w:hint="eastAsia" w:ascii="Times New Roman" w:hAnsi="Times New Roman"/>
                <w:color w:val="auto"/>
                <w:sz w:val="24"/>
                <w:szCs w:val="24"/>
                <w:highlight w:val="none"/>
                <w:lang w:val="en-US" w:eastAsia="zh-CN"/>
              </w:rPr>
              <w:t>0.001</w:t>
            </w:r>
            <w:r>
              <w:rPr>
                <w:rFonts w:ascii="Times New Roman" w:hAnsi="Times New Roman"/>
                <w:color w:val="auto"/>
                <w:sz w:val="24"/>
                <w:szCs w:val="24"/>
                <w:highlight w:val="none"/>
              </w:rPr>
              <w:t>t/a，矸石堆场</w:t>
            </w:r>
            <w:r>
              <w:rPr>
                <w:rFonts w:hint="eastAsia" w:ascii="Times New Roman" w:hAnsi="Times New Roman"/>
                <w:color w:val="auto"/>
                <w:sz w:val="24"/>
                <w:szCs w:val="24"/>
                <w:highlight w:val="none"/>
                <w:lang w:val="en-US" w:eastAsia="zh-CN"/>
              </w:rPr>
              <w:t>0.01</w:t>
            </w:r>
            <w:r>
              <w:rPr>
                <w:rFonts w:ascii="Times New Roman" w:hAnsi="Times New Roman"/>
                <w:color w:val="auto"/>
                <w:sz w:val="24"/>
                <w:szCs w:val="24"/>
                <w:highlight w:val="none"/>
              </w:rPr>
              <w:t>kg/h、</w:t>
            </w:r>
            <w:r>
              <w:rPr>
                <w:rFonts w:hint="eastAsia" w:ascii="Times New Roman" w:hAnsi="Times New Roman"/>
                <w:color w:val="auto"/>
                <w:sz w:val="24"/>
                <w:szCs w:val="24"/>
                <w:highlight w:val="none"/>
                <w:lang w:val="en-US" w:eastAsia="zh-CN"/>
              </w:rPr>
              <w:t>0.001</w:t>
            </w:r>
            <w:r>
              <w:rPr>
                <w:rFonts w:ascii="Times New Roman" w:hAnsi="Times New Roman"/>
                <w:color w:val="auto"/>
                <w:sz w:val="24"/>
                <w:szCs w:val="24"/>
                <w:highlight w:val="none"/>
              </w:rPr>
              <w:t>t/a。</w:t>
            </w:r>
          </w:p>
          <w:p w14:paraId="4EABC032">
            <w:pPr>
              <w:pStyle w:val="73"/>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煤泥含水率为20%，含水率较高，不易起尘，因此，本项目煤泥堆场不做堆场扬尘分析。</w:t>
            </w:r>
          </w:p>
          <w:p w14:paraId="5B7AF5FA">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表4-</w:t>
            </w:r>
            <w:r>
              <w:rPr>
                <w:rFonts w:hint="eastAsia"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大气污染物</w:t>
            </w:r>
            <w:r>
              <w:rPr>
                <w:rFonts w:hint="eastAsia" w:ascii="Times New Roman" w:hAnsi="Times New Roman" w:eastAsia="宋体" w:cs="Times New Roman"/>
                <w:b/>
                <w:bCs/>
                <w:color w:val="auto"/>
                <w:sz w:val="21"/>
                <w:szCs w:val="21"/>
                <w:lang w:eastAsia="zh-CN"/>
              </w:rPr>
              <w:t>年</w:t>
            </w:r>
            <w:r>
              <w:rPr>
                <w:rFonts w:hint="default" w:ascii="Times New Roman" w:hAnsi="Times New Roman" w:eastAsia="宋体" w:cs="Times New Roman"/>
                <w:b/>
                <w:bCs/>
                <w:color w:val="auto"/>
                <w:sz w:val="21"/>
                <w:szCs w:val="21"/>
              </w:rPr>
              <w:t>排放量核算表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3"/>
              <w:gridCol w:w="779"/>
              <w:gridCol w:w="878"/>
              <w:gridCol w:w="2003"/>
              <w:gridCol w:w="1658"/>
              <w:gridCol w:w="1324"/>
              <w:gridCol w:w="899"/>
            </w:tblGrid>
            <w:tr w14:paraId="6F8645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restart"/>
                  <w:noWrap w:val="0"/>
                  <w:vAlign w:val="center"/>
                </w:tcPr>
                <w:p w14:paraId="5EE97649">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排放口编号</w:t>
                  </w:r>
                </w:p>
              </w:tc>
              <w:tc>
                <w:tcPr>
                  <w:tcW w:w="779" w:type="dxa"/>
                  <w:vMerge w:val="restart"/>
                  <w:noWrap w:val="0"/>
                  <w:vAlign w:val="center"/>
                </w:tcPr>
                <w:p w14:paraId="61D6D853">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产污环节</w:t>
                  </w:r>
                </w:p>
              </w:tc>
              <w:tc>
                <w:tcPr>
                  <w:tcW w:w="878" w:type="dxa"/>
                  <w:vMerge w:val="restart"/>
                  <w:noWrap w:val="0"/>
                  <w:vAlign w:val="center"/>
                </w:tcPr>
                <w:p w14:paraId="6CC575F4">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2003" w:type="dxa"/>
                  <w:vMerge w:val="restart"/>
                  <w:noWrap w:val="0"/>
                  <w:vAlign w:val="center"/>
                </w:tcPr>
                <w:p w14:paraId="42A8FDE7">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主要污染防治措施</w:t>
                  </w:r>
                </w:p>
              </w:tc>
              <w:tc>
                <w:tcPr>
                  <w:tcW w:w="2982" w:type="dxa"/>
                  <w:gridSpan w:val="2"/>
                  <w:noWrap w:val="0"/>
                  <w:vAlign w:val="center"/>
                </w:tcPr>
                <w:p w14:paraId="5BB9DFA9">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国家或地方污染物排放标准</w:t>
                  </w:r>
                </w:p>
              </w:tc>
              <w:tc>
                <w:tcPr>
                  <w:tcW w:w="899" w:type="dxa"/>
                  <w:vMerge w:val="restart"/>
                  <w:noWrap w:val="0"/>
                  <w:vAlign w:val="center"/>
                </w:tcPr>
                <w:p w14:paraId="4EC4BA8B">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年排放量（t/a）</w:t>
                  </w:r>
                </w:p>
              </w:tc>
            </w:tr>
            <w:tr w14:paraId="3D504F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noWrap w:val="0"/>
                  <w:vAlign w:val="center"/>
                </w:tcPr>
                <w:p w14:paraId="0CF8CD14">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p>
              </w:tc>
              <w:tc>
                <w:tcPr>
                  <w:tcW w:w="779" w:type="dxa"/>
                  <w:vMerge w:val="continue"/>
                  <w:noWrap w:val="0"/>
                  <w:vAlign w:val="center"/>
                </w:tcPr>
                <w:p w14:paraId="0CCDD085">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p>
              </w:tc>
              <w:tc>
                <w:tcPr>
                  <w:tcW w:w="878" w:type="dxa"/>
                  <w:vMerge w:val="continue"/>
                  <w:noWrap w:val="0"/>
                  <w:vAlign w:val="center"/>
                </w:tcPr>
                <w:p w14:paraId="02B33681">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p>
              </w:tc>
              <w:tc>
                <w:tcPr>
                  <w:tcW w:w="2003" w:type="dxa"/>
                  <w:vMerge w:val="continue"/>
                  <w:noWrap w:val="0"/>
                  <w:vAlign w:val="center"/>
                </w:tcPr>
                <w:p w14:paraId="542660E7">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p>
              </w:tc>
              <w:tc>
                <w:tcPr>
                  <w:tcW w:w="1658" w:type="dxa"/>
                  <w:noWrap w:val="0"/>
                  <w:vAlign w:val="center"/>
                </w:tcPr>
                <w:p w14:paraId="68BA63E8">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标准名称</w:t>
                  </w:r>
                </w:p>
              </w:tc>
              <w:tc>
                <w:tcPr>
                  <w:tcW w:w="1324" w:type="dxa"/>
                  <w:noWrap w:val="0"/>
                  <w:vAlign w:val="center"/>
                </w:tcPr>
                <w:p w14:paraId="1E99832C">
                  <w:pPr>
                    <w:pStyle w:val="80"/>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浓度限值</w:t>
                  </w:r>
                  <w:r>
                    <w:rPr>
                      <w:rFonts w:hint="eastAsia"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mg/Nm</w:t>
                  </w:r>
                  <w:r>
                    <w:rPr>
                      <w:rFonts w:hint="default" w:ascii="Times New Roman" w:hAnsi="Times New Roman" w:eastAsia="宋体" w:cs="Times New Roman"/>
                      <w:b/>
                      <w:bCs/>
                      <w:color w:val="auto"/>
                      <w:sz w:val="21"/>
                      <w:szCs w:val="21"/>
                      <w:vertAlign w:val="superscript"/>
                    </w:rPr>
                    <w:t>3</w:t>
                  </w:r>
                  <w:r>
                    <w:rPr>
                      <w:rFonts w:hint="eastAsia" w:eastAsia="宋体" w:cs="Times New Roman"/>
                      <w:b/>
                      <w:bCs/>
                      <w:color w:val="auto"/>
                      <w:sz w:val="21"/>
                      <w:szCs w:val="21"/>
                      <w:lang w:eastAsia="zh-CN"/>
                    </w:rPr>
                    <w:t>）</w:t>
                  </w:r>
                </w:p>
              </w:tc>
              <w:tc>
                <w:tcPr>
                  <w:tcW w:w="899" w:type="dxa"/>
                  <w:vMerge w:val="continue"/>
                  <w:noWrap w:val="0"/>
                  <w:vAlign w:val="center"/>
                </w:tcPr>
                <w:p w14:paraId="57EFD065">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r>
            <w:tr w14:paraId="7265A6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restart"/>
                  <w:noWrap w:val="0"/>
                  <w:vAlign w:val="center"/>
                </w:tcPr>
                <w:p w14:paraId="1E66531A">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厂区</w:t>
                  </w:r>
                </w:p>
              </w:tc>
              <w:tc>
                <w:tcPr>
                  <w:tcW w:w="779" w:type="dxa"/>
                  <w:noWrap w:val="0"/>
                  <w:vAlign w:val="center"/>
                </w:tcPr>
                <w:p w14:paraId="36566FA1">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原料卸车</w:t>
                  </w:r>
                </w:p>
              </w:tc>
              <w:tc>
                <w:tcPr>
                  <w:tcW w:w="878" w:type="dxa"/>
                  <w:vMerge w:val="restart"/>
                  <w:noWrap w:val="0"/>
                  <w:vAlign w:val="center"/>
                </w:tcPr>
                <w:p w14:paraId="07603578">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2003" w:type="dxa"/>
                  <w:noWrap w:val="0"/>
                  <w:vAlign w:val="center"/>
                </w:tcPr>
                <w:p w14:paraId="2024F3ED">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采取洒水降尘措施，且在防风抑尘网内进行，粉尘排放量约减少</w:t>
                  </w:r>
                  <w:r>
                    <w:rPr>
                      <w:rFonts w:hint="eastAsia" w:eastAsia="宋体" w:cs="Times New Roman"/>
                      <w:color w:val="auto"/>
                      <w:sz w:val="21"/>
                      <w:szCs w:val="21"/>
                      <w:lang w:val="en-US" w:eastAsia="zh-CN"/>
                    </w:rPr>
                    <w:t>86</w:t>
                  </w:r>
                  <w:r>
                    <w:rPr>
                      <w:rFonts w:hint="default" w:ascii="Times New Roman" w:hAnsi="Times New Roman" w:eastAsia="宋体" w:cs="Times New Roman"/>
                      <w:color w:val="auto"/>
                      <w:sz w:val="21"/>
                      <w:szCs w:val="21"/>
                    </w:rPr>
                    <w:t>%</w:t>
                  </w:r>
                </w:p>
              </w:tc>
              <w:tc>
                <w:tcPr>
                  <w:tcW w:w="1658" w:type="dxa"/>
                  <w:vMerge w:val="restart"/>
                  <w:noWrap w:val="0"/>
                  <w:vAlign w:val="center"/>
                </w:tcPr>
                <w:p w14:paraId="65C6F924">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《煤炭工业污染物排放标准》（GB20426-2006）</w:t>
                  </w:r>
                  <w:r>
                    <w:rPr>
                      <w:rFonts w:hint="eastAsia" w:eastAsia="宋体" w:cs="Times New Roman"/>
                      <w:color w:val="auto"/>
                      <w:sz w:val="21"/>
                      <w:szCs w:val="21"/>
                      <w:lang w:eastAsia="zh-CN"/>
                    </w:rPr>
                    <w:t>（</w:t>
                  </w:r>
                  <w:r>
                    <w:rPr>
                      <w:rFonts w:hint="default" w:ascii="Times New Roman" w:hAnsi="Times New Roman" w:eastAsia="宋体" w:cs="Times New Roman"/>
                      <w:color w:val="auto"/>
                      <w:sz w:val="21"/>
                      <w:szCs w:val="21"/>
                    </w:rPr>
                    <w:t>煤炭工业装卸场所；煤炭贮存场所、煤矸石堆放场）</w:t>
                  </w:r>
                </w:p>
              </w:tc>
              <w:tc>
                <w:tcPr>
                  <w:tcW w:w="1324" w:type="dxa"/>
                  <w:vMerge w:val="restart"/>
                  <w:noWrap w:val="0"/>
                  <w:vAlign w:val="center"/>
                </w:tcPr>
                <w:p w14:paraId="13E6EEDE">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899" w:type="dxa"/>
                  <w:vMerge w:val="restart"/>
                  <w:noWrap w:val="0"/>
                  <w:vAlign w:val="center"/>
                </w:tcPr>
                <w:p w14:paraId="12D5938B">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kern w:val="2"/>
                      <w:sz w:val="24"/>
                      <w:szCs w:val="24"/>
                      <w:lang w:val="en-US" w:eastAsia="zh-CN"/>
                    </w:rPr>
                    <w:t>0.24</w:t>
                  </w:r>
                </w:p>
              </w:tc>
            </w:tr>
            <w:tr w14:paraId="6BA684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noWrap w:val="0"/>
                  <w:vAlign w:val="center"/>
                </w:tcPr>
                <w:p w14:paraId="5250CE30">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779" w:type="dxa"/>
                  <w:tcBorders>
                    <w:top w:val="single" w:color="auto" w:sz="4" w:space="0"/>
                  </w:tcBorders>
                  <w:noWrap w:val="0"/>
                  <w:vAlign w:val="center"/>
                </w:tcPr>
                <w:p w14:paraId="2BF8EEBB">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运输</w:t>
                  </w:r>
                </w:p>
              </w:tc>
              <w:tc>
                <w:tcPr>
                  <w:tcW w:w="878" w:type="dxa"/>
                  <w:vMerge w:val="continue"/>
                  <w:noWrap w:val="0"/>
                  <w:vAlign w:val="center"/>
                </w:tcPr>
                <w:p w14:paraId="23471DAA">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2003" w:type="dxa"/>
                  <w:noWrap w:val="0"/>
                  <w:vAlign w:val="center"/>
                </w:tcPr>
                <w:p w14:paraId="2E9CB537">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对运输车辆车身加盖苫布，防止物料的洒落，运输道路进行洒水降尘措施</w:t>
                  </w:r>
                </w:p>
              </w:tc>
              <w:tc>
                <w:tcPr>
                  <w:tcW w:w="1658" w:type="dxa"/>
                  <w:vMerge w:val="continue"/>
                  <w:noWrap w:val="0"/>
                  <w:vAlign w:val="center"/>
                </w:tcPr>
                <w:p w14:paraId="7429E79D">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1324" w:type="dxa"/>
                  <w:vMerge w:val="continue"/>
                  <w:noWrap w:val="0"/>
                  <w:vAlign w:val="center"/>
                </w:tcPr>
                <w:p w14:paraId="0252BC8E">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899" w:type="dxa"/>
                  <w:vMerge w:val="continue"/>
                  <w:noWrap w:val="0"/>
                  <w:vAlign w:val="center"/>
                </w:tcPr>
                <w:p w14:paraId="5FE1456F">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rPr>
                  </w:pPr>
                </w:p>
              </w:tc>
            </w:tr>
            <w:tr w14:paraId="5A927F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673" w:type="dxa"/>
                  <w:vMerge w:val="continue"/>
                  <w:noWrap w:val="0"/>
                  <w:vAlign w:val="center"/>
                </w:tcPr>
                <w:p w14:paraId="24541C7E">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779" w:type="dxa"/>
                  <w:tcBorders>
                    <w:top w:val="single" w:color="auto" w:sz="4" w:space="0"/>
                    <w:bottom w:val="single" w:color="auto" w:sz="4" w:space="0"/>
                  </w:tcBorders>
                  <w:noWrap w:val="0"/>
                  <w:vAlign w:val="center"/>
                </w:tcPr>
                <w:p w14:paraId="5ED1060A">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原料堆场</w:t>
                  </w:r>
                </w:p>
              </w:tc>
              <w:tc>
                <w:tcPr>
                  <w:tcW w:w="878" w:type="dxa"/>
                  <w:vMerge w:val="continue"/>
                  <w:noWrap w:val="0"/>
                  <w:vAlign w:val="center"/>
                </w:tcPr>
                <w:p w14:paraId="2346BC4A">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2003" w:type="dxa"/>
                  <w:vMerge w:val="restart"/>
                  <w:noWrap w:val="0"/>
                  <w:vAlign w:val="center"/>
                </w:tcPr>
                <w:p w14:paraId="24C6B8CB">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防风抑尘网遮盖+内部洒水</w:t>
                  </w:r>
                </w:p>
              </w:tc>
              <w:tc>
                <w:tcPr>
                  <w:tcW w:w="1658" w:type="dxa"/>
                  <w:vMerge w:val="continue"/>
                  <w:noWrap w:val="0"/>
                  <w:vAlign w:val="center"/>
                </w:tcPr>
                <w:p w14:paraId="27C32F20">
                  <w:pPr>
                    <w:pStyle w:val="64"/>
                    <w:keepNext w:val="0"/>
                    <w:keepLines w:val="0"/>
                    <w:pageBreakBefore w:val="0"/>
                    <w:kinsoku/>
                    <w:wordWrap/>
                    <w:overflowPunct/>
                    <w:topLinePunct w:val="0"/>
                    <w:autoSpaceDE/>
                    <w:autoSpaceDN/>
                    <w:bidi w:val="0"/>
                    <w:adjustRightInd/>
                    <w:snapToGrid/>
                    <w:rPr>
                      <w:rFonts w:hint="default" w:ascii="Times New Roman" w:hAnsi="Times New Roman" w:eastAsia="宋体" w:cs="Times New Roman"/>
                      <w:color w:val="auto"/>
                      <w:sz w:val="21"/>
                      <w:szCs w:val="21"/>
                    </w:rPr>
                  </w:pPr>
                </w:p>
              </w:tc>
              <w:tc>
                <w:tcPr>
                  <w:tcW w:w="1324" w:type="dxa"/>
                  <w:vMerge w:val="continue"/>
                  <w:noWrap w:val="0"/>
                  <w:vAlign w:val="center"/>
                </w:tcPr>
                <w:p w14:paraId="369D63FF">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899" w:type="dxa"/>
                  <w:vMerge w:val="continue"/>
                  <w:noWrap w:val="0"/>
                  <w:vAlign w:val="center"/>
                </w:tcPr>
                <w:p w14:paraId="22BF4360">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rPr>
                  </w:pPr>
                </w:p>
              </w:tc>
            </w:tr>
            <w:tr w14:paraId="024827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673" w:type="dxa"/>
                  <w:vMerge w:val="continue"/>
                  <w:noWrap w:val="0"/>
                  <w:vAlign w:val="center"/>
                </w:tcPr>
                <w:p w14:paraId="5A730486">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779" w:type="dxa"/>
                  <w:tcBorders>
                    <w:top w:val="single" w:color="auto" w:sz="4" w:space="0"/>
                    <w:bottom w:val="single" w:color="auto" w:sz="4" w:space="0"/>
                  </w:tcBorders>
                  <w:noWrap w:val="0"/>
                  <w:vAlign w:val="center"/>
                </w:tcPr>
                <w:p w14:paraId="70CC678F">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精</w:t>
                  </w:r>
                  <w:r>
                    <w:rPr>
                      <w:rFonts w:hint="default" w:ascii="Times New Roman" w:hAnsi="Times New Roman" w:eastAsia="宋体" w:cs="Times New Roman"/>
                      <w:color w:val="auto"/>
                      <w:sz w:val="21"/>
                      <w:szCs w:val="21"/>
                    </w:rPr>
                    <w:t>煤堆场</w:t>
                  </w:r>
                </w:p>
              </w:tc>
              <w:tc>
                <w:tcPr>
                  <w:tcW w:w="878" w:type="dxa"/>
                  <w:vMerge w:val="continue"/>
                  <w:noWrap w:val="0"/>
                  <w:vAlign w:val="center"/>
                </w:tcPr>
                <w:p w14:paraId="0C1ACE74">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2003" w:type="dxa"/>
                  <w:vMerge w:val="continue"/>
                  <w:noWrap w:val="0"/>
                  <w:vAlign w:val="center"/>
                </w:tcPr>
                <w:p w14:paraId="2BF1EFD3">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1658" w:type="dxa"/>
                  <w:vMerge w:val="continue"/>
                  <w:noWrap w:val="0"/>
                  <w:vAlign w:val="center"/>
                </w:tcPr>
                <w:p w14:paraId="504BA1CE">
                  <w:pPr>
                    <w:pStyle w:val="64"/>
                    <w:keepNext w:val="0"/>
                    <w:keepLines w:val="0"/>
                    <w:pageBreakBefore w:val="0"/>
                    <w:kinsoku/>
                    <w:wordWrap/>
                    <w:overflowPunct/>
                    <w:topLinePunct w:val="0"/>
                    <w:autoSpaceDE/>
                    <w:autoSpaceDN/>
                    <w:bidi w:val="0"/>
                    <w:adjustRightInd/>
                    <w:snapToGrid/>
                    <w:rPr>
                      <w:rFonts w:hint="default" w:ascii="Times New Roman" w:hAnsi="Times New Roman" w:eastAsia="宋体" w:cs="Times New Roman"/>
                      <w:color w:val="auto"/>
                      <w:sz w:val="21"/>
                      <w:szCs w:val="21"/>
                    </w:rPr>
                  </w:pPr>
                </w:p>
              </w:tc>
              <w:tc>
                <w:tcPr>
                  <w:tcW w:w="1324" w:type="dxa"/>
                  <w:vMerge w:val="continue"/>
                  <w:noWrap w:val="0"/>
                  <w:vAlign w:val="center"/>
                </w:tcPr>
                <w:p w14:paraId="523C3A40">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899" w:type="dxa"/>
                  <w:vMerge w:val="continue"/>
                  <w:noWrap w:val="0"/>
                  <w:vAlign w:val="center"/>
                </w:tcPr>
                <w:p w14:paraId="42F5AD0A">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rPr>
                  </w:pPr>
                </w:p>
              </w:tc>
            </w:tr>
            <w:tr w14:paraId="3778DD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3" w:type="dxa"/>
                  <w:vMerge w:val="continue"/>
                  <w:noWrap w:val="0"/>
                  <w:vAlign w:val="center"/>
                </w:tcPr>
                <w:p w14:paraId="2E14C4C4">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779" w:type="dxa"/>
                  <w:tcBorders>
                    <w:top w:val="single" w:color="auto" w:sz="4" w:space="0"/>
                    <w:bottom w:val="single" w:color="auto" w:sz="4" w:space="0"/>
                  </w:tcBorders>
                  <w:noWrap w:val="0"/>
                  <w:vAlign w:val="center"/>
                </w:tcPr>
                <w:p w14:paraId="6E7E3A9F">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矸石堆场</w:t>
                  </w:r>
                </w:p>
              </w:tc>
              <w:tc>
                <w:tcPr>
                  <w:tcW w:w="878" w:type="dxa"/>
                  <w:vMerge w:val="continue"/>
                  <w:noWrap w:val="0"/>
                  <w:vAlign w:val="center"/>
                </w:tcPr>
                <w:p w14:paraId="7157A829">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2003" w:type="dxa"/>
                  <w:vMerge w:val="continue"/>
                  <w:noWrap w:val="0"/>
                  <w:vAlign w:val="center"/>
                </w:tcPr>
                <w:p w14:paraId="4A4DA405">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1658" w:type="dxa"/>
                  <w:vMerge w:val="continue"/>
                  <w:noWrap w:val="0"/>
                  <w:vAlign w:val="center"/>
                </w:tcPr>
                <w:p w14:paraId="552D1F90">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1324" w:type="dxa"/>
                  <w:vMerge w:val="continue"/>
                  <w:noWrap w:val="0"/>
                  <w:vAlign w:val="center"/>
                </w:tcPr>
                <w:p w14:paraId="4944A01D">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899" w:type="dxa"/>
                  <w:vMerge w:val="continue"/>
                  <w:noWrap w:val="0"/>
                  <w:vAlign w:val="center"/>
                </w:tcPr>
                <w:p w14:paraId="22E4D109">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sz w:val="21"/>
                      <w:szCs w:val="21"/>
                    </w:rPr>
                  </w:pPr>
                </w:p>
              </w:tc>
            </w:tr>
          </w:tbl>
          <w:p w14:paraId="6A627E91">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eastAsia" w:ascii="Times New Roman" w:hAnsi="Times New Roman"/>
                <w:b w:val="0"/>
                <w:bCs w:val="0"/>
                <w:color w:val="auto"/>
                <w:sz w:val="24"/>
                <w:szCs w:val="24"/>
                <w:highlight w:val="none"/>
              </w:rPr>
            </w:pPr>
            <w:r>
              <w:rPr>
                <w:rFonts w:hint="eastAsia" w:ascii="Times New Roman" w:hAnsi="Times New Roman"/>
                <w:b w:val="0"/>
                <w:bCs w:val="0"/>
                <w:color w:val="auto"/>
                <w:sz w:val="24"/>
                <w:szCs w:val="24"/>
                <w:highlight w:val="none"/>
                <w:lang w:val="en-US" w:eastAsia="zh-CN"/>
              </w:rPr>
              <w:t>（2）</w:t>
            </w:r>
            <w:r>
              <w:rPr>
                <w:rFonts w:hint="eastAsia" w:ascii="Times New Roman" w:hAnsi="Times New Roman"/>
                <w:b w:val="0"/>
                <w:bCs w:val="0"/>
                <w:color w:val="auto"/>
                <w:sz w:val="24"/>
                <w:szCs w:val="24"/>
                <w:highlight w:val="none"/>
              </w:rPr>
              <w:t>环保措施可行性分析</w:t>
            </w:r>
          </w:p>
          <w:p w14:paraId="40234E39">
            <w:pPr>
              <w:pStyle w:val="73"/>
              <w:keepNext w:val="0"/>
              <w:keepLines w:val="0"/>
              <w:pageBreakBefore w:val="0"/>
              <w:tabs>
                <w:tab w:val="left" w:pos="1470"/>
              </w:tabs>
              <w:kinsoku/>
              <w:wordWrap/>
              <w:overflowPunct/>
              <w:topLinePunct w:val="0"/>
              <w:autoSpaceDE/>
              <w:autoSpaceDN/>
              <w:bidi w:val="0"/>
              <w:spacing w:line="360" w:lineRule="auto"/>
              <w:ind w:left="0" w:leftChars="0"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原料卸车产生扬尘采取洒水降尘措施，且在防风抑尘网内进行</w:t>
            </w:r>
            <w:r>
              <w:rPr>
                <w:rFonts w:hint="eastAsia" w:ascii="Times New Roman" w:hAnsi="Times New Roman"/>
                <w:color w:val="auto"/>
                <w:sz w:val="24"/>
                <w:szCs w:val="24"/>
                <w:highlight w:val="none"/>
              </w:rPr>
              <w:t>；厂区内</w:t>
            </w:r>
            <w:r>
              <w:rPr>
                <w:rFonts w:ascii="Times New Roman" w:hAnsi="Times New Roman"/>
                <w:color w:val="auto"/>
                <w:sz w:val="24"/>
                <w:szCs w:val="24"/>
                <w:highlight w:val="none"/>
              </w:rPr>
              <w:t>对运输车辆车身加盖苫布，防止物料的洒落，运输道路进行洒水降尘措施</w:t>
            </w:r>
            <w:r>
              <w:rPr>
                <w:rFonts w:hint="eastAsia" w:ascii="Times New Roman" w:hAnsi="Times New Roman"/>
                <w:color w:val="auto"/>
                <w:sz w:val="24"/>
                <w:szCs w:val="24"/>
                <w:highlight w:val="none"/>
              </w:rPr>
              <w:t>；</w:t>
            </w:r>
            <w:r>
              <w:rPr>
                <w:rFonts w:ascii="Times New Roman" w:hAnsi="Times New Roman"/>
                <w:color w:val="auto"/>
                <w:sz w:val="24"/>
                <w:szCs w:val="24"/>
                <w:highlight w:val="none"/>
              </w:rPr>
              <w:t>各个堆场通过设置防风抑尘网遮盖+内部洒水等措施</w:t>
            </w:r>
            <w:r>
              <w:rPr>
                <w:rFonts w:hint="eastAsia" w:ascii="Times New Roman" w:hAnsi="Times New Roman"/>
                <w:color w:val="auto"/>
                <w:sz w:val="24"/>
                <w:szCs w:val="24"/>
                <w:highlight w:val="none"/>
              </w:rPr>
              <w:t>；</w:t>
            </w:r>
            <w:r>
              <w:rPr>
                <w:rFonts w:ascii="Times New Roman" w:hAnsi="Times New Roman"/>
                <w:color w:val="auto"/>
                <w:sz w:val="24"/>
                <w:szCs w:val="24"/>
                <w:highlight w:val="none"/>
              </w:rPr>
              <w:t>项目厂内原料输送采用皮带输送机运送方式，运输皮带均安装在封闭的通廊中</w:t>
            </w:r>
            <w:r>
              <w:rPr>
                <w:rFonts w:hint="eastAsia" w:ascii="Times New Roman" w:hAnsi="Times New Roman"/>
                <w:color w:val="auto"/>
                <w:sz w:val="24"/>
                <w:szCs w:val="24"/>
                <w:highlight w:val="none"/>
              </w:rPr>
              <w:t>，</w:t>
            </w:r>
            <w:r>
              <w:rPr>
                <w:rFonts w:ascii="Times New Roman" w:hAnsi="Times New Roman"/>
                <w:color w:val="auto"/>
                <w:sz w:val="24"/>
                <w:szCs w:val="24"/>
                <w:highlight w:val="none"/>
              </w:rPr>
              <w:t>可有效治理</w:t>
            </w:r>
            <w:r>
              <w:rPr>
                <w:rFonts w:hint="eastAsia" w:ascii="Times New Roman" w:hAnsi="Times New Roman"/>
                <w:color w:val="auto"/>
                <w:sz w:val="24"/>
                <w:szCs w:val="24"/>
                <w:highlight w:val="none"/>
              </w:rPr>
              <w:t>无组织粉尘逸散问题</w:t>
            </w:r>
            <w:r>
              <w:rPr>
                <w:rFonts w:ascii="Times New Roman" w:hAnsi="Times New Roman"/>
                <w:color w:val="auto"/>
                <w:sz w:val="24"/>
                <w:szCs w:val="24"/>
                <w:highlight w:val="none"/>
              </w:rPr>
              <w:t>，</w:t>
            </w:r>
            <w:r>
              <w:rPr>
                <w:rFonts w:ascii="Times New Roman" w:hAnsi="Times New Roman"/>
                <w:snapToGrid w:val="0"/>
                <w:color w:val="auto"/>
                <w:kern w:val="0"/>
                <w:sz w:val="24"/>
                <w:szCs w:val="24"/>
                <w:highlight w:val="none"/>
              </w:rPr>
              <w:t>无组织颗粒物排放可满足《煤炭工业污染物排放标准》（GB20426-2006）中表5中周界外浓度最高点1.0mg/m</w:t>
            </w:r>
            <w:r>
              <w:rPr>
                <w:rFonts w:ascii="Times New Roman" w:hAnsi="Times New Roman"/>
                <w:snapToGrid w:val="0"/>
                <w:color w:val="auto"/>
                <w:kern w:val="0"/>
                <w:sz w:val="24"/>
                <w:szCs w:val="24"/>
                <w:highlight w:val="none"/>
                <w:vertAlign w:val="superscript"/>
              </w:rPr>
              <w:t>3</w:t>
            </w:r>
            <w:r>
              <w:rPr>
                <w:rFonts w:ascii="Times New Roman" w:hAnsi="Times New Roman"/>
                <w:snapToGrid w:val="0"/>
                <w:color w:val="auto"/>
                <w:kern w:val="0"/>
                <w:sz w:val="24"/>
                <w:szCs w:val="24"/>
                <w:highlight w:val="none"/>
              </w:rPr>
              <w:t>的限值要求</w:t>
            </w:r>
            <w:r>
              <w:rPr>
                <w:rFonts w:hint="eastAsia" w:ascii="Times New Roman" w:hAnsi="Times New Roman"/>
                <w:snapToGrid w:val="0"/>
                <w:color w:val="auto"/>
                <w:kern w:val="0"/>
                <w:sz w:val="24"/>
                <w:szCs w:val="24"/>
                <w:highlight w:val="none"/>
              </w:rPr>
              <w:t>，本项目无组织颗粒物排放</w:t>
            </w:r>
            <w:r>
              <w:rPr>
                <w:rFonts w:ascii="Times New Roman" w:hAnsi="Times New Roman"/>
                <w:color w:val="auto"/>
                <w:sz w:val="24"/>
                <w:szCs w:val="24"/>
                <w:highlight w:val="none"/>
              </w:rPr>
              <w:t>对周围环境影响可接受。</w:t>
            </w:r>
          </w:p>
          <w:p w14:paraId="6B2D5881">
            <w:pPr>
              <w:pStyle w:val="12"/>
              <w:spacing w:before="0" w:after="0" w:line="360" w:lineRule="auto"/>
              <w:ind w:right="0" w:firstLine="480" w:firstLineChars="200"/>
              <w:rPr>
                <w:rFonts w:ascii="Times New Roman" w:hAnsi="Times New Roman"/>
                <w:color w:val="auto"/>
                <w:kern w:val="21"/>
                <w:sz w:val="24"/>
                <w:szCs w:val="24"/>
                <w:highlight w:val="none"/>
              </w:rPr>
            </w:pPr>
            <w:r>
              <w:rPr>
                <w:rFonts w:hint="eastAsia" w:ascii="Times New Roman" w:hAnsi="Times New Roman"/>
                <w:color w:val="auto"/>
                <w:kern w:val="2"/>
                <w:sz w:val="24"/>
                <w:szCs w:val="24"/>
                <w:highlight w:val="none"/>
              </w:rPr>
              <w:t>本项目污染防治可行技术对照分析</w:t>
            </w:r>
            <w:r>
              <w:rPr>
                <w:rFonts w:hint="eastAsia" w:ascii="Times New Roman" w:hAnsi="Times New Roman"/>
                <w:color w:val="auto"/>
                <w:kern w:val="21"/>
                <w:sz w:val="24"/>
                <w:szCs w:val="24"/>
                <w:highlight w:val="none"/>
              </w:rPr>
              <w:t>详</w:t>
            </w:r>
            <w:r>
              <w:rPr>
                <w:rFonts w:ascii="Times New Roman" w:hAnsi="Times New Roman"/>
                <w:color w:val="auto"/>
                <w:kern w:val="21"/>
                <w:sz w:val="24"/>
                <w:szCs w:val="24"/>
                <w:highlight w:val="none"/>
              </w:rPr>
              <w:t>见表4-</w:t>
            </w:r>
            <w:r>
              <w:rPr>
                <w:rFonts w:hint="eastAsia"/>
                <w:color w:val="auto"/>
                <w:kern w:val="21"/>
                <w:sz w:val="24"/>
                <w:szCs w:val="24"/>
                <w:highlight w:val="none"/>
                <w:lang w:val="en-US" w:eastAsia="zh-CN"/>
              </w:rPr>
              <w:t>2</w:t>
            </w:r>
            <w:r>
              <w:rPr>
                <w:rFonts w:hint="eastAsia" w:ascii="Times New Roman" w:hAnsi="Times New Roman"/>
                <w:color w:val="auto"/>
                <w:kern w:val="21"/>
                <w:sz w:val="24"/>
                <w:szCs w:val="24"/>
                <w:highlight w:val="none"/>
              </w:rPr>
              <w:t>。</w:t>
            </w:r>
          </w:p>
          <w:p w14:paraId="16E23530">
            <w:pPr>
              <w:pStyle w:val="80"/>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表4-</w:t>
            </w:r>
            <w:r>
              <w:rPr>
                <w:rFonts w:hint="eastAsia" w:eastAsia="宋体" w:cs="Times New Roman"/>
                <w:b/>
                <w:color w:val="auto"/>
                <w:kern w:val="2"/>
                <w:sz w:val="21"/>
                <w:szCs w:val="21"/>
                <w:highlight w:val="none"/>
                <w:lang w:val="en-US" w:eastAsia="zh-CN" w:bidi="ar-SA"/>
              </w:rPr>
              <w:t>2</w:t>
            </w:r>
            <w:r>
              <w:rPr>
                <w:rFonts w:hint="default" w:ascii="Times New Roman" w:hAnsi="Times New Roman" w:eastAsia="宋体" w:cs="Times New Roman"/>
                <w:b/>
                <w:color w:val="auto"/>
                <w:kern w:val="2"/>
                <w:sz w:val="21"/>
                <w:szCs w:val="21"/>
                <w:highlight w:val="none"/>
                <w:lang w:val="en-US" w:eastAsia="zh-CN" w:bidi="ar-SA"/>
              </w:rPr>
              <w:t xml:space="preserve"> </w:t>
            </w:r>
            <w:r>
              <w:rPr>
                <w:rFonts w:hint="eastAsia" w:ascii="Times New Roman" w:hAnsi="Times New Roman" w:eastAsia="宋体" w:cs="Times New Roman"/>
                <w:b/>
                <w:color w:val="auto"/>
                <w:kern w:val="2"/>
                <w:sz w:val="21"/>
                <w:szCs w:val="21"/>
                <w:highlight w:val="none"/>
                <w:lang w:val="en-US" w:eastAsia="zh-CN" w:bidi="ar-SA"/>
              </w:rPr>
              <w:t>污染防治可行技术对照分析表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56"/>
              <w:gridCol w:w="532"/>
              <w:gridCol w:w="930"/>
              <w:gridCol w:w="1842"/>
              <w:gridCol w:w="3151"/>
              <w:gridCol w:w="903"/>
            </w:tblGrid>
            <w:tr w14:paraId="3FC753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9" w:hRule="atLeast"/>
                <w:jc w:val="center"/>
              </w:trPr>
              <w:tc>
                <w:tcPr>
                  <w:tcW w:w="521" w:type="pct"/>
                  <w:vMerge w:val="restart"/>
                  <w:tcBorders>
                    <w:tl2br w:val="nil"/>
                    <w:tr2bl w:val="nil"/>
                  </w:tcBorders>
                  <w:vAlign w:val="center"/>
                </w:tcPr>
                <w:p w14:paraId="682459A1">
                  <w:pPr>
                    <w:pStyle w:val="8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产污环节</w:t>
                  </w:r>
                </w:p>
              </w:tc>
              <w:tc>
                <w:tcPr>
                  <w:tcW w:w="324" w:type="pct"/>
                  <w:vMerge w:val="restart"/>
                  <w:tcBorders>
                    <w:tl2br w:val="nil"/>
                    <w:tr2bl w:val="nil"/>
                  </w:tcBorders>
                  <w:vAlign w:val="center"/>
                </w:tcPr>
                <w:p w14:paraId="71E5E598">
                  <w:pPr>
                    <w:pStyle w:val="8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566" w:type="pct"/>
                  <w:vMerge w:val="restart"/>
                  <w:tcBorders>
                    <w:tl2br w:val="nil"/>
                    <w:tr2bl w:val="nil"/>
                  </w:tcBorders>
                  <w:vAlign w:val="center"/>
                </w:tcPr>
                <w:p w14:paraId="02DD4E82">
                  <w:pPr>
                    <w:pStyle w:val="8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w:t>
                  </w:r>
                </w:p>
                <w:p w14:paraId="7093F90F">
                  <w:pPr>
                    <w:pStyle w:val="8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形式</w:t>
                  </w:r>
                </w:p>
              </w:tc>
              <w:tc>
                <w:tcPr>
                  <w:tcW w:w="1121" w:type="pct"/>
                  <w:vMerge w:val="restart"/>
                  <w:tcBorders>
                    <w:tl2br w:val="nil"/>
                    <w:tr2bl w:val="nil"/>
                  </w:tcBorders>
                  <w:vAlign w:val="center"/>
                </w:tcPr>
                <w:p w14:paraId="5F1794FD">
                  <w:pPr>
                    <w:pStyle w:val="8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执行排放标准</w:t>
                  </w:r>
                </w:p>
              </w:tc>
              <w:tc>
                <w:tcPr>
                  <w:tcW w:w="2466" w:type="pct"/>
                  <w:gridSpan w:val="2"/>
                  <w:tcBorders>
                    <w:tl2br w:val="nil"/>
                    <w:tr2bl w:val="nil"/>
                  </w:tcBorders>
                  <w:vAlign w:val="center"/>
                </w:tcPr>
                <w:p w14:paraId="179CF585">
                  <w:pPr>
                    <w:pStyle w:val="8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污染防治措施</w:t>
                  </w:r>
                </w:p>
              </w:tc>
            </w:tr>
            <w:tr w14:paraId="2B81AA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11" w:hRule="atLeast"/>
                <w:jc w:val="center"/>
              </w:trPr>
              <w:tc>
                <w:tcPr>
                  <w:tcW w:w="521" w:type="pct"/>
                  <w:vMerge w:val="continue"/>
                  <w:tcBorders>
                    <w:tl2br w:val="nil"/>
                    <w:tr2bl w:val="nil"/>
                  </w:tcBorders>
                  <w:vAlign w:val="center"/>
                </w:tcPr>
                <w:p w14:paraId="284F15DE">
                  <w:pPr>
                    <w:pStyle w:val="80"/>
                    <w:spacing w:line="240" w:lineRule="auto"/>
                    <w:jc w:val="center"/>
                    <w:rPr>
                      <w:rFonts w:hint="default" w:ascii="Times New Roman" w:hAnsi="Times New Roman" w:eastAsia="宋体" w:cs="Times New Roman"/>
                      <w:b/>
                      <w:bCs/>
                      <w:color w:val="auto"/>
                      <w:sz w:val="21"/>
                      <w:szCs w:val="21"/>
                      <w:highlight w:val="none"/>
                    </w:rPr>
                  </w:pPr>
                </w:p>
              </w:tc>
              <w:tc>
                <w:tcPr>
                  <w:tcW w:w="324" w:type="pct"/>
                  <w:vMerge w:val="continue"/>
                  <w:tcBorders>
                    <w:tl2br w:val="nil"/>
                    <w:tr2bl w:val="nil"/>
                  </w:tcBorders>
                  <w:vAlign w:val="center"/>
                </w:tcPr>
                <w:p w14:paraId="0B60B8F9">
                  <w:pPr>
                    <w:pStyle w:val="80"/>
                    <w:spacing w:line="240" w:lineRule="auto"/>
                    <w:jc w:val="center"/>
                    <w:rPr>
                      <w:rFonts w:hint="default" w:ascii="Times New Roman" w:hAnsi="Times New Roman" w:eastAsia="宋体" w:cs="Times New Roman"/>
                      <w:b/>
                      <w:bCs/>
                      <w:color w:val="auto"/>
                      <w:sz w:val="21"/>
                      <w:szCs w:val="21"/>
                      <w:highlight w:val="none"/>
                    </w:rPr>
                  </w:pPr>
                </w:p>
              </w:tc>
              <w:tc>
                <w:tcPr>
                  <w:tcW w:w="566" w:type="pct"/>
                  <w:vMerge w:val="continue"/>
                  <w:tcBorders>
                    <w:tl2br w:val="nil"/>
                    <w:tr2bl w:val="nil"/>
                  </w:tcBorders>
                  <w:vAlign w:val="center"/>
                </w:tcPr>
                <w:p w14:paraId="7E1B6AB8">
                  <w:pPr>
                    <w:pStyle w:val="80"/>
                    <w:spacing w:line="240" w:lineRule="auto"/>
                    <w:jc w:val="center"/>
                    <w:rPr>
                      <w:rFonts w:hint="default" w:ascii="Times New Roman" w:hAnsi="Times New Roman" w:eastAsia="宋体" w:cs="Times New Roman"/>
                      <w:b/>
                      <w:bCs/>
                      <w:color w:val="auto"/>
                      <w:sz w:val="21"/>
                      <w:szCs w:val="21"/>
                      <w:highlight w:val="none"/>
                    </w:rPr>
                  </w:pPr>
                </w:p>
              </w:tc>
              <w:tc>
                <w:tcPr>
                  <w:tcW w:w="1121" w:type="pct"/>
                  <w:vMerge w:val="continue"/>
                  <w:tcBorders>
                    <w:tl2br w:val="nil"/>
                    <w:tr2bl w:val="nil"/>
                  </w:tcBorders>
                  <w:vAlign w:val="center"/>
                </w:tcPr>
                <w:p w14:paraId="633D182A">
                  <w:pPr>
                    <w:pStyle w:val="80"/>
                    <w:spacing w:line="240" w:lineRule="auto"/>
                    <w:jc w:val="center"/>
                    <w:rPr>
                      <w:rFonts w:hint="default" w:ascii="Times New Roman" w:hAnsi="Times New Roman" w:eastAsia="宋体" w:cs="Times New Roman"/>
                      <w:b/>
                      <w:bCs/>
                      <w:color w:val="auto"/>
                      <w:sz w:val="21"/>
                      <w:szCs w:val="21"/>
                      <w:highlight w:val="none"/>
                    </w:rPr>
                  </w:pPr>
                </w:p>
              </w:tc>
              <w:tc>
                <w:tcPr>
                  <w:tcW w:w="1917" w:type="pct"/>
                  <w:tcBorders>
                    <w:tl2br w:val="nil"/>
                    <w:tr2bl w:val="nil"/>
                  </w:tcBorders>
                  <w:vAlign w:val="center"/>
                </w:tcPr>
                <w:p w14:paraId="08753F3D">
                  <w:pPr>
                    <w:pStyle w:val="8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主要污染防治措施</w:t>
                  </w:r>
                </w:p>
              </w:tc>
              <w:tc>
                <w:tcPr>
                  <w:tcW w:w="549" w:type="pct"/>
                  <w:tcBorders>
                    <w:tl2br w:val="nil"/>
                    <w:tr2bl w:val="nil"/>
                  </w:tcBorders>
                  <w:vAlign w:val="center"/>
                </w:tcPr>
                <w:p w14:paraId="1365B534">
                  <w:pPr>
                    <w:pStyle w:val="8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技术可行性</w:t>
                  </w:r>
                </w:p>
              </w:tc>
            </w:tr>
            <w:tr w14:paraId="4E781A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25" w:hRule="atLeast"/>
                <w:jc w:val="center"/>
              </w:trPr>
              <w:tc>
                <w:tcPr>
                  <w:tcW w:w="521" w:type="pct"/>
                  <w:tcBorders>
                    <w:tl2br w:val="nil"/>
                    <w:tr2bl w:val="nil"/>
                  </w:tcBorders>
                  <w:vAlign w:val="center"/>
                </w:tcPr>
                <w:p w14:paraId="3C0D3878">
                  <w:pPr>
                    <w:pStyle w:val="8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原料卸车</w:t>
                  </w:r>
                </w:p>
              </w:tc>
              <w:tc>
                <w:tcPr>
                  <w:tcW w:w="324" w:type="pct"/>
                  <w:vMerge w:val="restart"/>
                  <w:tcBorders>
                    <w:tl2br w:val="nil"/>
                    <w:tr2bl w:val="nil"/>
                  </w:tcBorders>
                  <w:vAlign w:val="center"/>
                </w:tcPr>
                <w:p w14:paraId="7D31918D">
                  <w:pPr>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颗粒物</w:t>
                  </w:r>
                </w:p>
              </w:tc>
              <w:tc>
                <w:tcPr>
                  <w:tcW w:w="566" w:type="pct"/>
                  <w:vMerge w:val="restart"/>
                  <w:tcBorders>
                    <w:tl2br w:val="nil"/>
                    <w:tr2bl w:val="nil"/>
                  </w:tcBorders>
                  <w:vAlign w:val="center"/>
                </w:tcPr>
                <w:p w14:paraId="73D5E0C2">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无组织</w:t>
                  </w:r>
                </w:p>
              </w:tc>
              <w:tc>
                <w:tcPr>
                  <w:tcW w:w="1121" w:type="pct"/>
                  <w:vMerge w:val="restart"/>
                  <w:tcBorders>
                    <w:tl2br w:val="nil"/>
                    <w:tr2bl w:val="nil"/>
                  </w:tcBorders>
                  <w:vAlign w:val="center"/>
                </w:tcPr>
                <w:p w14:paraId="17548945">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《煤炭工业污染物排放标准》（GB20426-2006）中表5</w:t>
                  </w:r>
                </w:p>
              </w:tc>
              <w:tc>
                <w:tcPr>
                  <w:tcW w:w="1917" w:type="pct"/>
                  <w:tcBorders>
                    <w:tl2br w:val="nil"/>
                    <w:tr2bl w:val="nil"/>
                  </w:tcBorders>
                  <w:vAlign w:val="center"/>
                </w:tcPr>
                <w:p w14:paraId="15A68CB9">
                  <w:pPr>
                    <w:pStyle w:val="8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采取洒水降尘措施，且在防风抑尘网内进行</w:t>
                  </w:r>
                </w:p>
              </w:tc>
              <w:tc>
                <w:tcPr>
                  <w:tcW w:w="549" w:type="pct"/>
                  <w:tcBorders>
                    <w:tl2br w:val="nil"/>
                    <w:tr2bl w:val="nil"/>
                  </w:tcBorders>
                  <w:vAlign w:val="center"/>
                </w:tcPr>
                <w:p w14:paraId="4C0C0491">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可行</w:t>
                  </w:r>
                </w:p>
              </w:tc>
            </w:tr>
            <w:tr w14:paraId="453F8C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41" w:hRule="atLeast"/>
                <w:jc w:val="center"/>
              </w:trPr>
              <w:tc>
                <w:tcPr>
                  <w:tcW w:w="521" w:type="pct"/>
                  <w:tcBorders>
                    <w:tl2br w:val="nil"/>
                    <w:tr2bl w:val="nil"/>
                  </w:tcBorders>
                  <w:vAlign w:val="center"/>
                </w:tcPr>
                <w:p w14:paraId="2F739FE5">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转运环节</w:t>
                  </w:r>
                </w:p>
              </w:tc>
              <w:tc>
                <w:tcPr>
                  <w:tcW w:w="324" w:type="pct"/>
                  <w:vMerge w:val="continue"/>
                  <w:tcBorders>
                    <w:tl2br w:val="nil"/>
                    <w:tr2bl w:val="nil"/>
                  </w:tcBorders>
                  <w:vAlign w:val="center"/>
                </w:tcPr>
                <w:p w14:paraId="2DF202E6">
                  <w:pPr>
                    <w:spacing w:line="240" w:lineRule="auto"/>
                    <w:jc w:val="center"/>
                    <w:rPr>
                      <w:rFonts w:hint="default" w:ascii="Times New Roman" w:hAnsi="Times New Roman" w:eastAsia="宋体" w:cs="Times New Roman"/>
                      <w:color w:val="auto"/>
                      <w:kern w:val="0"/>
                      <w:sz w:val="21"/>
                      <w:szCs w:val="21"/>
                      <w:highlight w:val="none"/>
                      <w:lang w:bidi="ar"/>
                    </w:rPr>
                  </w:pPr>
                </w:p>
              </w:tc>
              <w:tc>
                <w:tcPr>
                  <w:tcW w:w="566" w:type="pct"/>
                  <w:vMerge w:val="continue"/>
                  <w:tcBorders>
                    <w:tl2br w:val="nil"/>
                    <w:tr2bl w:val="nil"/>
                  </w:tcBorders>
                  <w:vAlign w:val="center"/>
                </w:tcPr>
                <w:p w14:paraId="6B8A7857">
                  <w:pPr>
                    <w:spacing w:line="240" w:lineRule="auto"/>
                    <w:jc w:val="center"/>
                    <w:rPr>
                      <w:rFonts w:hint="default" w:ascii="Times New Roman" w:hAnsi="Times New Roman" w:eastAsia="宋体" w:cs="Times New Roman"/>
                      <w:color w:val="auto"/>
                      <w:sz w:val="21"/>
                      <w:szCs w:val="21"/>
                      <w:highlight w:val="none"/>
                    </w:rPr>
                  </w:pPr>
                </w:p>
              </w:tc>
              <w:tc>
                <w:tcPr>
                  <w:tcW w:w="1121" w:type="pct"/>
                  <w:vMerge w:val="continue"/>
                  <w:tcBorders>
                    <w:tl2br w:val="nil"/>
                    <w:tr2bl w:val="nil"/>
                  </w:tcBorders>
                  <w:vAlign w:val="center"/>
                </w:tcPr>
                <w:p w14:paraId="1A3ED960">
                  <w:pPr>
                    <w:spacing w:line="240" w:lineRule="auto"/>
                    <w:jc w:val="center"/>
                    <w:rPr>
                      <w:rFonts w:hint="default" w:ascii="Times New Roman" w:hAnsi="Times New Roman" w:eastAsia="宋体" w:cs="Times New Roman"/>
                      <w:color w:val="auto"/>
                      <w:sz w:val="21"/>
                      <w:szCs w:val="21"/>
                      <w:highlight w:val="none"/>
                    </w:rPr>
                  </w:pPr>
                </w:p>
              </w:tc>
              <w:tc>
                <w:tcPr>
                  <w:tcW w:w="1917" w:type="pct"/>
                  <w:tcBorders>
                    <w:tl2br w:val="nil"/>
                    <w:tr2bl w:val="nil"/>
                  </w:tcBorders>
                  <w:vAlign w:val="center"/>
                </w:tcPr>
                <w:p w14:paraId="4C331CFA">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上料口、运输皮带均安装在封闭的通廊中，通廊上方留有通风口，并在转载点采取洒水降尘措施</w:t>
                  </w:r>
                </w:p>
              </w:tc>
              <w:tc>
                <w:tcPr>
                  <w:tcW w:w="549" w:type="pct"/>
                  <w:tcBorders>
                    <w:tl2br w:val="nil"/>
                    <w:tr2bl w:val="nil"/>
                  </w:tcBorders>
                  <w:vAlign w:val="center"/>
                </w:tcPr>
                <w:p w14:paraId="57341B3D">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可行</w:t>
                  </w:r>
                </w:p>
              </w:tc>
            </w:tr>
            <w:tr w14:paraId="7F0062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15" w:hRule="atLeast"/>
                <w:jc w:val="center"/>
              </w:trPr>
              <w:tc>
                <w:tcPr>
                  <w:tcW w:w="521" w:type="pct"/>
                  <w:tcBorders>
                    <w:tl2br w:val="nil"/>
                    <w:tr2bl w:val="nil"/>
                  </w:tcBorders>
                  <w:vAlign w:val="center"/>
                </w:tcPr>
                <w:p w14:paraId="7456B2B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运输环节</w:t>
                  </w:r>
                </w:p>
              </w:tc>
              <w:tc>
                <w:tcPr>
                  <w:tcW w:w="324" w:type="pct"/>
                  <w:vMerge w:val="continue"/>
                  <w:tcBorders>
                    <w:tl2br w:val="nil"/>
                    <w:tr2bl w:val="nil"/>
                  </w:tcBorders>
                  <w:vAlign w:val="center"/>
                </w:tcPr>
                <w:p w14:paraId="15D0739B">
                  <w:pPr>
                    <w:spacing w:line="240" w:lineRule="auto"/>
                    <w:jc w:val="center"/>
                    <w:rPr>
                      <w:rFonts w:hint="default" w:ascii="Times New Roman" w:hAnsi="Times New Roman" w:eastAsia="宋体" w:cs="Times New Roman"/>
                      <w:color w:val="auto"/>
                      <w:kern w:val="0"/>
                      <w:sz w:val="21"/>
                      <w:szCs w:val="21"/>
                      <w:highlight w:val="none"/>
                      <w:lang w:bidi="ar"/>
                    </w:rPr>
                  </w:pPr>
                </w:p>
              </w:tc>
              <w:tc>
                <w:tcPr>
                  <w:tcW w:w="566" w:type="pct"/>
                  <w:vMerge w:val="continue"/>
                  <w:tcBorders>
                    <w:tl2br w:val="nil"/>
                    <w:tr2bl w:val="nil"/>
                  </w:tcBorders>
                  <w:vAlign w:val="center"/>
                </w:tcPr>
                <w:p w14:paraId="2AF25342">
                  <w:pPr>
                    <w:spacing w:line="240" w:lineRule="auto"/>
                    <w:jc w:val="center"/>
                    <w:rPr>
                      <w:rFonts w:hint="default" w:ascii="Times New Roman" w:hAnsi="Times New Roman" w:eastAsia="宋体" w:cs="Times New Roman"/>
                      <w:color w:val="auto"/>
                      <w:sz w:val="21"/>
                      <w:szCs w:val="21"/>
                      <w:highlight w:val="none"/>
                    </w:rPr>
                  </w:pPr>
                </w:p>
              </w:tc>
              <w:tc>
                <w:tcPr>
                  <w:tcW w:w="1121" w:type="pct"/>
                  <w:vMerge w:val="continue"/>
                  <w:tcBorders>
                    <w:tl2br w:val="nil"/>
                    <w:tr2bl w:val="nil"/>
                  </w:tcBorders>
                  <w:vAlign w:val="center"/>
                </w:tcPr>
                <w:p w14:paraId="3EB50CAC">
                  <w:pPr>
                    <w:spacing w:line="240" w:lineRule="auto"/>
                    <w:jc w:val="center"/>
                    <w:rPr>
                      <w:rFonts w:hint="default" w:ascii="Times New Roman" w:hAnsi="Times New Roman" w:eastAsia="宋体" w:cs="Times New Roman"/>
                      <w:color w:val="auto"/>
                      <w:sz w:val="21"/>
                      <w:szCs w:val="21"/>
                      <w:highlight w:val="none"/>
                    </w:rPr>
                  </w:pPr>
                </w:p>
              </w:tc>
              <w:tc>
                <w:tcPr>
                  <w:tcW w:w="1917" w:type="pct"/>
                  <w:tcBorders>
                    <w:tl2br w:val="nil"/>
                    <w:tr2bl w:val="nil"/>
                  </w:tcBorders>
                  <w:vAlign w:val="center"/>
                </w:tcPr>
                <w:p w14:paraId="769425B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对运输车辆车身加盖苫布，防止物料的洒落，运输道路进行洒水降尘措施</w:t>
                  </w:r>
                </w:p>
              </w:tc>
              <w:tc>
                <w:tcPr>
                  <w:tcW w:w="549" w:type="pct"/>
                  <w:tcBorders>
                    <w:tl2br w:val="nil"/>
                    <w:tr2bl w:val="nil"/>
                  </w:tcBorders>
                  <w:vAlign w:val="center"/>
                </w:tcPr>
                <w:p w14:paraId="7A68654A">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可行</w:t>
                  </w:r>
                </w:p>
              </w:tc>
            </w:tr>
            <w:tr w14:paraId="2FAE9A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75" w:hRule="atLeast"/>
                <w:jc w:val="center"/>
              </w:trPr>
              <w:tc>
                <w:tcPr>
                  <w:tcW w:w="521" w:type="pct"/>
                  <w:tcBorders>
                    <w:tl2br w:val="nil"/>
                    <w:tr2bl w:val="nil"/>
                  </w:tcBorders>
                  <w:vAlign w:val="center"/>
                </w:tcPr>
                <w:p w14:paraId="587A8C1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堆场</w:t>
                  </w:r>
                </w:p>
              </w:tc>
              <w:tc>
                <w:tcPr>
                  <w:tcW w:w="324" w:type="pct"/>
                  <w:vMerge w:val="continue"/>
                  <w:tcBorders>
                    <w:tl2br w:val="nil"/>
                    <w:tr2bl w:val="nil"/>
                  </w:tcBorders>
                  <w:vAlign w:val="center"/>
                </w:tcPr>
                <w:p w14:paraId="63D6C3DA">
                  <w:pPr>
                    <w:spacing w:line="240" w:lineRule="auto"/>
                    <w:jc w:val="center"/>
                    <w:rPr>
                      <w:rFonts w:hint="default" w:ascii="Times New Roman" w:hAnsi="Times New Roman" w:eastAsia="宋体" w:cs="Times New Roman"/>
                      <w:color w:val="auto"/>
                      <w:kern w:val="0"/>
                      <w:sz w:val="21"/>
                      <w:szCs w:val="21"/>
                      <w:highlight w:val="none"/>
                      <w:lang w:bidi="ar"/>
                    </w:rPr>
                  </w:pPr>
                </w:p>
              </w:tc>
              <w:tc>
                <w:tcPr>
                  <w:tcW w:w="566" w:type="pct"/>
                  <w:vMerge w:val="continue"/>
                  <w:tcBorders>
                    <w:tl2br w:val="nil"/>
                    <w:tr2bl w:val="nil"/>
                  </w:tcBorders>
                  <w:vAlign w:val="center"/>
                </w:tcPr>
                <w:p w14:paraId="510E69E7">
                  <w:pPr>
                    <w:spacing w:line="240" w:lineRule="auto"/>
                    <w:jc w:val="center"/>
                    <w:rPr>
                      <w:rFonts w:hint="default" w:ascii="Times New Roman" w:hAnsi="Times New Roman" w:eastAsia="宋体" w:cs="Times New Roman"/>
                      <w:color w:val="auto"/>
                      <w:sz w:val="21"/>
                      <w:szCs w:val="21"/>
                      <w:highlight w:val="none"/>
                    </w:rPr>
                  </w:pPr>
                </w:p>
              </w:tc>
              <w:tc>
                <w:tcPr>
                  <w:tcW w:w="1121" w:type="pct"/>
                  <w:vMerge w:val="continue"/>
                  <w:tcBorders>
                    <w:tl2br w:val="nil"/>
                    <w:tr2bl w:val="nil"/>
                  </w:tcBorders>
                  <w:vAlign w:val="center"/>
                </w:tcPr>
                <w:p w14:paraId="24D52408">
                  <w:pPr>
                    <w:spacing w:line="240" w:lineRule="auto"/>
                    <w:jc w:val="center"/>
                    <w:rPr>
                      <w:rFonts w:hint="default" w:ascii="Times New Roman" w:hAnsi="Times New Roman" w:eastAsia="宋体" w:cs="Times New Roman"/>
                      <w:color w:val="auto"/>
                      <w:sz w:val="21"/>
                      <w:szCs w:val="21"/>
                      <w:highlight w:val="none"/>
                    </w:rPr>
                  </w:pPr>
                </w:p>
              </w:tc>
              <w:tc>
                <w:tcPr>
                  <w:tcW w:w="1917" w:type="pct"/>
                  <w:tcBorders>
                    <w:tl2br w:val="nil"/>
                    <w:tr2bl w:val="nil"/>
                  </w:tcBorders>
                  <w:vAlign w:val="center"/>
                </w:tcPr>
                <w:p w14:paraId="0DE5FE1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防风抑尘网遮盖+内部洒水</w:t>
                  </w:r>
                </w:p>
              </w:tc>
              <w:tc>
                <w:tcPr>
                  <w:tcW w:w="549" w:type="pct"/>
                  <w:tcBorders>
                    <w:tl2br w:val="nil"/>
                    <w:tr2bl w:val="nil"/>
                  </w:tcBorders>
                  <w:vAlign w:val="center"/>
                </w:tcPr>
                <w:p w14:paraId="1BF6B0E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可行</w:t>
                  </w:r>
                </w:p>
              </w:tc>
            </w:tr>
          </w:tbl>
          <w:p w14:paraId="57BC66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rPr>
            </w:pPr>
            <w:r>
              <w:rPr>
                <w:rFonts w:ascii="Times New Roman" w:hAnsi="Times New Roman"/>
                <w:color w:val="auto"/>
                <w:sz w:val="24"/>
                <w:highlight w:val="none"/>
              </w:rPr>
              <w:t>综上所述，在采取有效的污染防治措施后，本项目运营期间废气污染物可达标排放，不会对周边环境空气产生明显的不利影响。</w:t>
            </w:r>
          </w:p>
          <w:p w14:paraId="7FAEBF42">
            <w:pPr>
              <w:keepNext w:val="0"/>
              <w:keepLines w:val="0"/>
              <w:pageBreakBefore w:val="0"/>
              <w:widowControl/>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highlight w:val="none"/>
              </w:rPr>
            </w:pPr>
            <w:r>
              <w:rPr>
                <w:rFonts w:hint="eastAsia" w:ascii="Times New Roman" w:hAnsi="Times New Roman" w:cs="Times New Roman"/>
                <w:b w:val="0"/>
                <w:bCs w:val="0"/>
                <w:color w:val="auto"/>
                <w:kern w:val="0"/>
                <w:sz w:val="24"/>
                <w:highlight w:val="none"/>
                <w:lang w:val="en-US" w:eastAsia="zh-CN"/>
              </w:rPr>
              <w:t>（3）</w:t>
            </w:r>
            <w:r>
              <w:rPr>
                <w:rFonts w:hint="default" w:ascii="Times New Roman" w:hAnsi="Times New Roman" w:eastAsia="宋体" w:cs="Times New Roman"/>
                <w:b w:val="0"/>
                <w:bCs w:val="0"/>
                <w:color w:val="auto"/>
                <w:kern w:val="0"/>
                <w:sz w:val="24"/>
                <w:highlight w:val="none"/>
              </w:rPr>
              <w:t>废气跟踪监测计划</w:t>
            </w:r>
          </w:p>
          <w:p w14:paraId="420648D0">
            <w:pPr>
              <w:keepNext w:val="0"/>
              <w:keepLines w:val="0"/>
              <w:pageBreakBefore w:val="0"/>
              <w:widowControl/>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kern w:val="0"/>
                <w:sz w:val="24"/>
                <w:highlight w:val="none"/>
              </w:rPr>
              <w:t>根据</w:t>
            </w:r>
            <w:r>
              <w:rPr>
                <w:rFonts w:hint="default" w:ascii="Times New Roman" w:hAnsi="Times New Roman" w:cs="Times New Roman"/>
                <w:color w:val="auto"/>
                <w:kern w:val="21"/>
                <w:sz w:val="24"/>
                <w:highlight w:val="none"/>
              </w:rPr>
              <w:t>《排污单位自行监测技术指南  总则》（HJ819-2017）</w:t>
            </w:r>
            <w:r>
              <w:rPr>
                <w:rFonts w:hint="default" w:ascii="Times New Roman" w:hAnsi="Times New Roman" w:eastAsia="宋体" w:cs="Times New Roman"/>
                <w:color w:val="auto"/>
                <w:kern w:val="0"/>
                <w:sz w:val="24"/>
                <w:highlight w:val="none"/>
              </w:rPr>
              <w:t>中要求进行废气进行跟踪监测，跟踪监测计划见表4-</w:t>
            </w:r>
            <w:r>
              <w:rPr>
                <w:rFonts w:hint="eastAsia" w:cs="Times New Roman"/>
                <w:color w:val="auto"/>
                <w:kern w:val="0"/>
                <w:sz w:val="24"/>
                <w:highlight w:val="none"/>
                <w:lang w:val="en-US" w:eastAsia="zh-CN"/>
              </w:rPr>
              <w:t>3</w:t>
            </w:r>
            <w:r>
              <w:rPr>
                <w:rFonts w:hint="default" w:ascii="Times New Roman" w:hAnsi="Times New Roman" w:eastAsia="宋体" w:cs="Times New Roman"/>
                <w:color w:val="auto"/>
                <w:kern w:val="0"/>
                <w:sz w:val="24"/>
                <w:highlight w:val="none"/>
              </w:rPr>
              <w:t>。</w:t>
            </w:r>
          </w:p>
          <w:p w14:paraId="5D8B537F">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 4-</w:t>
            </w:r>
            <w:r>
              <w:rPr>
                <w:rFonts w:hint="eastAsia" w:eastAsia="宋体" w:cs="Times New Roman"/>
                <w:b/>
                <w:color w:val="auto"/>
                <w:kern w:val="2"/>
                <w:sz w:val="21"/>
                <w:szCs w:val="21"/>
                <w:highlight w:val="none"/>
                <w:lang w:val="en-US" w:eastAsia="zh-CN" w:bidi="ar-SA"/>
              </w:rPr>
              <w:t>3</w:t>
            </w:r>
            <w:r>
              <w:rPr>
                <w:rFonts w:hint="default" w:ascii="Times New Roman" w:hAnsi="Times New Roman" w:eastAsia="宋体" w:cs="Times New Roman"/>
                <w:b/>
                <w:color w:val="auto"/>
                <w:kern w:val="2"/>
                <w:sz w:val="21"/>
                <w:szCs w:val="21"/>
                <w:highlight w:val="none"/>
                <w:lang w:val="en-US" w:eastAsia="zh-CN" w:bidi="ar-SA"/>
              </w:rPr>
              <w:t>环境空气跟踪监测计划</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6"/>
              <w:gridCol w:w="882"/>
              <w:gridCol w:w="1056"/>
              <w:gridCol w:w="1676"/>
              <w:gridCol w:w="1661"/>
              <w:gridCol w:w="2070"/>
            </w:tblGrid>
            <w:tr w14:paraId="3AAFA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jc w:val="center"/>
              </w:trPr>
              <w:tc>
                <w:tcPr>
                  <w:tcW w:w="527" w:type="pct"/>
                  <w:vAlign w:val="center"/>
                </w:tcPr>
                <w:p w14:paraId="5F5AA092">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rPr>
                    <w:t>类别</w:t>
                  </w:r>
                </w:p>
              </w:tc>
              <w:tc>
                <w:tcPr>
                  <w:tcW w:w="1180" w:type="pct"/>
                  <w:gridSpan w:val="2"/>
                  <w:vAlign w:val="center"/>
                </w:tcPr>
                <w:p w14:paraId="76D204DC">
                  <w:pPr>
                    <w:keepNext w:val="0"/>
                    <w:keepLines w:val="0"/>
                    <w:pageBreakBefore w:val="0"/>
                    <w:kinsoku/>
                    <w:wordWrap/>
                    <w:overflowPunct/>
                    <w:topLinePunct w:val="0"/>
                    <w:autoSpaceDE/>
                    <w:autoSpaceDN/>
                    <w:bidi w:val="0"/>
                    <w:adjustRightInd w:val="0"/>
                    <w:snapToGrid w:val="0"/>
                    <w:spacing w:line="360" w:lineRule="auto"/>
                    <w:ind w:left="0" w:leftChars="0" w:firstLine="422" w:firstLineChars="200"/>
                    <w:jc w:val="center"/>
                    <w:textAlignment w:val="auto"/>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rPr>
                    <w:t>监测位点</w:t>
                  </w:r>
                </w:p>
              </w:tc>
              <w:tc>
                <w:tcPr>
                  <w:tcW w:w="1020" w:type="pct"/>
                  <w:vAlign w:val="center"/>
                </w:tcPr>
                <w:p w14:paraId="2772B4E4">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rPr>
                    <w:t>监测频次</w:t>
                  </w:r>
                </w:p>
              </w:tc>
              <w:tc>
                <w:tcPr>
                  <w:tcW w:w="1011" w:type="pct"/>
                  <w:vAlign w:val="center"/>
                </w:tcPr>
                <w:p w14:paraId="3383D612">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rPr>
                    <w:t>监测方式</w:t>
                  </w:r>
                </w:p>
              </w:tc>
              <w:tc>
                <w:tcPr>
                  <w:tcW w:w="1260" w:type="pct"/>
                  <w:vAlign w:val="center"/>
                </w:tcPr>
                <w:p w14:paraId="082D6F75">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rPr>
                    <w:t>检测项目</w:t>
                  </w:r>
                </w:p>
              </w:tc>
            </w:tr>
            <w:tr w14:paraId="5877D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5" w:hRule="atLeast"/>
                <w:jc w:val="center"/>
              </w:trPr>
              <w:tc>
                <w:tcPr>
                  <w:tcW w:w="527" w:type="pct"/>
                  <w:vAlign w:val="center"/>
                </w:tcPr>
                <w:p w14:paraId="6C8ACF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废气</w:t>
                  </w:r>
                </w:p>
              </w:tc>
              <w:tc>
                <w:tcPr>
                  <w:tcW w:w="537" w:type="pct"/>
                  <w:vAlign w:val="center"/>
                </w:tcPr>
                <w:p w14:paraId="4C40D1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无组织</w:t>
                  </w:r>
                </w:p>
              </w:tc>
              <w:tc>
                <w:tcPr>
                  <w:tcW w:w="642" w:type="pct"/>
                  <w:vAlign w:val="center"/>
                </w:tcPr>
                <w:p w14:paraId="5E1447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厂界</w:t>
                  </w:r>
                </w:p>
              </w:tc>
              <w:tc>
                <w:tcPr>
                  <w:tcW w:w="1020" w:type="pct"/>
                  <w:vAlign w:val="center"/>
                </w:tcPr>
                <w:p w14:paraId="232398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u w:val="none"/>
                      <w:lang w:val="en-US" w:eastAsia="zh-CN"/>
                    </w:rPr>
                    <w:t>1</w:t>
                  </w:r>
                  <w:r>
                    <w:rPr>
                      <w:rFonts w:hint="default" w:ascii="Times New Roman" w:hAnsi="Times New Roman" w:eastAsia="宋体" w:cs="Times New Roman"/>
                      <w:color w:val="auto"/>
                      <w:highlight w:val="none"/>
                      <w:u w:val="none"/>
                      <w:lang w:val="en-US" w:eastAsia="zh-CN"/>
                    </w:rPr>
                    <w:t>次/</w:t>
                  </w:r>
                  <w:r>
                    <w:rPr>
                      <w:rFonts w:hint="default" w:ascii="Times New Roman" w:hAnsi="Times New Roman" w:cs="Times New Roman"/>
                      <w:color w:val="auto"/>
                      <w:highlight w:val="none"/>
                      <w:u w:val="none"/>
                      <w:lang w:val="en-US" w:eastAsia="zh-Hans"/>
                    </w:rPr>
                    <w:t>年</w:t>
                  </w:r>
                </w:p>
              </w:tc>
              <w:tc>
                <w:tcPr>
                  <w:tcW w:w="1011" w:type="pct"/>
                  <w:vAlign w:val="center"/>
                </w:tcPr>
                <w:p w14:paraId="5D44D4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手工监测</w:t>
                  </w:r>
                </w:p>
              </w:tc>
              <w:tc>
                <w:tcPr>
                  <w:tcW w:w="1260" w:type="pct"/>
                  <w:vAlign w:val="center"/>
                </w:tcPr>
                <w:p w14:paraId="4F6DAF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cs="Times New Roman"/>
                      <w:b w:val="0"/>
                      <w:bCs w:val="0"/>
                      <w:color w:val="auto"/>
                      <w:kern w:val="0"/>
                      <w:szCs w:val="21"/>
                      <w:highlight w:val="none"/>
                      <w:lang w:val="en-US" w:eastAsia="zh-CN"/>
                    </w:rPr>
                    <w:t>颗粒物</w:t>
                  </w:r>
                </w:p>
              </w:tc>
            </w:tr>
          </w:tbl>
          <w:p w14:paraId="457C61D6">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eastAsia" w:ascii="Times New Roman" w:hAnsi="Times New Roman" w:cs="Times New Roman"/>
                <w:b/>
                <w:bCs/>
                <w:color w:val="auto"/>
                <w:kern w:val="2"/>
                <w:sz w:val="24"/>
                <w:szCs w:val="24"/>
                <w:lang w:val="en-US" w:eastAsia="zh-CN" w:bidi="ar-SA"/>
              </w:rPr>
              <w:t>2</w:t>
            </w:r>
            <w:r>
              <w:rPr>
                <w:rFonts w:hint="default" w:ascii="Times New Roman" w:hAnsi="Times New Roman" w:eastAsia="宋体" w:cs="Times New Roman"/>
                <w:b/>
                <w:bCs/>
                <w:color w:val="auto"/>
                <w:kern w:val="2"/>
                <w:sz w:val="24"/>
                <w:szCs w:val="24"/>
                <w:lang w:val="en-US" w:eastAsia="zh-CN" w:bidi="ar-SA"/>
              </w:rPr>
              <w:t>、</w:t>
            </w:r>
            <w:r>
              <w:rPr>
                <w:rFonts w:hint="default" w:ascii="Times New Roman" w:hAnsi="Times New Roman" w:eastAsia="宋体" w:cs="Times New Roman"/>
                <w:b/>
                <w:bCs/>
                <w:color w:val="auto"/>
                <w:sz w:val="24"/>
                <w:szCs w:val="24"/>
                <w:highlight w:val="none"/>
                <w:lang w:eastAsia="zh-CN"/>
              </w:rPr>
              <w:t>废水</w:t>
            </w:r>
          </w:p>
          <w:p w14:paraId="163D5221">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1</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运营期废水环境影响分析及保护措施</w:t>
            </w:r>
          </w:p>
          <w:p w14:paraId="78D3AD5D">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本项目废水主要为生产废水、地面冲洗废水、初期雨水和生活污水。</w:t>
            </w:r>
          </w:p>
          <w:p w14:paraId="096ACE5E">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Calibri"/>
                <w:color w:val="auto"/>
                <w:sz w:val="24"/>
                <w:highlight w:val="none"/>
              </w:rPr>
              <w:t>①</w:t>
            </w:r>
            <w:r>
              <w:rPr>
                <w:rFonts w:hint="default" w:ascii="Times New Roman" w:hAnsi="Times New Roman" w:eastAsia="宋体" w:cs="Times New Roman"/>
                <w:color w:val="auto"/>
                <w:sz w:val="24"/>
                <w:highlight w:val="none"/>
              </w:rPr>
              <w:t>选煤废水</w:t>
            </w:r>
          </w:p>
          <w:p w14:paraId="62AAE433">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煤泥</w:t>
            </w:r>
            <w:r>
              <w:rPr>
                <w:rFonts w:hint="default" w:ascii="Times New Roman" w:hAnsi="Times New Roman" w:eastAsia="宋体" w:cs="Times New Roman"/>
                <w:color w:val="auto"/>
                <w:sz w:val="24"/>
                <w:highlight w:val="none"/>
              </w:rPr>
              <w:t>水共</w:t>
            </w:r>
            <w:r>
              <w:rPr>
                <w:rFonts w:hint="default" w:ascii="Times New Roman" w:hAnsi="Times New Roman" w:eastAsia="宋体" w:cs="Times New Roman"/>
                <w:color w:val="auto"/>
                <w:sz w:val="24"/>
                <w:highlight w:val="none"/>
                <w:lang w:val="en-US" w:eastAsia="zh-CN"/>
              </w:rPr>
              <w:t>1092000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eastAsia" w:ascii="Times New Roman" w:hAnsi="Times New Roman" w:cs="Times New Roman"/>
                <w:color w:val="auto"/>
                <w:sz w:val="24"/>
                <w:highlight w:val="none"/>
                <w:lang w:val="en-US" w:eastAsia="zh-CN"/>
              </w:rPr>
              <w:t>3309.09</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eastAsia" w:ascii="Times New Roman" w:hAnsi="Times New Roman"/>
                <w:color w:val="auto"/>
                <w:lang w:eastAsia="zh-CN"/>
              </w:rPr>
              <w:t>，</w:t>
            </w:r>
            <w:r>
              <w:rPr>
                <w:rFonts w:hint="eastAsia" w:ascii="Times New Roman" w:hAnsi="Times New Roman" w:eastAsia="宋体" w:cs="Times New Roman"/>
                <w:color w:val="auto"/>
                <w:sz w:val="24"/>
                <w:highlight w:val="none"/>
                <w:lang w:val="en-US" w:eastAsia="zh-CN"/>
              </w:rPr>
              <w:t>洗煤废水</w:t>
            </w:r>
            <w:r>
              <w:rPr>
                <w:rFonts w:hint="default" w:ascii="Times New Roman" w:hAnsi="Times New Roman" w:eastAsia="宋体" w:cs="Times New Roman"/>
                <w:color w:val="auto"/>
                <w:sz w:val="24"/>
                <w:highlight w:val="none"/>
                <w:lang w:val="en-US" w:eastAsia="zh-CN"/>
              </w:rPr>
              <w:t>循环使用，根据</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清洁生产标准-煤炭采选业</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HJ446-2008）洗煤废水闭路循环，</w:t>
            </w:r>
            <w:r>
              <w:rPr>
                <w:rFonts w:hint="default" w:ascii="Times New Roman" w:hAnsi="Times New Roman" w:eastAsia="宋体" w:cs="Times New Roman"/>
                <w:color w:val="auto"/>
                <w:sz w:val="24"/>
                <w:highlight w:val="none"/>
              </w:rPr>
              <w:t>不外排。</w:t>
            </w:r>
          </w:p>
          <w:p w14:paraId="3A826595">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eastAsia" w:ascii="Times New Roman" w:hAnsi="Times New Roman"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原煤经</w:t>
            </w:r>
            <w:r>
              <w:rPr>
                <w:rFonts w:hint="default" w:ascii="Times New Roman" w:hAnsi="Times New Roman" w:eastAsia="宋体" w:cs="Times New Roman"/>
                <w:color w:val="auto"/>
                <w:sz w:val="24"/>
                <w:highlight w:val="none"/>
                <w:lang w:eastAsia="zh-CN"/>
              </w:rPr>
              <w:t>跳汰</w:t>
            </w:r>
            <w:r>
              <w:rPr>
                <w:rFonts w:hint="default" w:ascii="Times New Roman" w:hAnsi="Times New Roman" w:eastAsia="宋体" w:cs="Times New Roman"/>
                <w:color w:val="auto"/>
                <w:sz w:val="24"/>
                <w:highlight w:val="none"/>
              </w:rPr>
              <w:t>分选后，</w:t>
            </w:r>
            <w:r>
              <w:rPr>
                <w:rFonts w:hint="eastAsia" w:ascii="Times New Roman" w:hAnsi="Times New Roman" w:cs="Times New Roman"/>
                <w:color w:val="auto"/>
                <w:sz w:val="24"/>
                <w:highlight w:val="none"/>
                <w:lang w:eastAsia="zh-CN"/>
              </w:rPr>
              <w:t>洗液通过振动筛，振动筛下水泵入沉淀池，通过浆泵输送至机械压滤机，压滤水经沉淀后流入闭路循环水池重复利用。</w:t>
            </w:r>
          </w:p>
          <w:p w14:paraId="0B47B6CD">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Calibri"/>
                <w:color w:val="auto"/>
                <w:sz w:val="24"/>
                <w:highlight w:val="none"/>
              </w:rPr>
              <w:t>②</w:t>
            </w:r>
            <w:r>
              <w:rPr>
                <w:rFonts w:hint="default" w:ascii="Times New Roman" w:hAnsi="Times New Roman" w:eastAsia="宋体" w:cs="Times New Roman"/>
                <w:color w:val="auto"/>
                <w:sz w:val="24"/>
                <w:highlight w:val="none"/>
              </w:rPr>
              <w:t>车间地面冲洗废水</w:t>
            </w:r>
          </w:p>
          <w:p w14:paraId="14C828E5">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地面冲洗废水</w:t>
            </w:r>
            <w:r>
              <w:rPr>
                <w:rFonts w:hint="eastAsia" w:ascii="Times New Roman" w:hAnsi="Times New Roman" w:cs="Times New Roman"/>
                <w:color w:val="auto"/>
                <w:sz w:val="24"/>
                <w:szCs w:val="24"/>
                <w:lang w:val="en-US" w:eastAsia="zh-CN"/>
              </w:rPr>
              <w:t>0.64</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eastAsia" w:ascii="Times New Roman" w:hAnsi="Times New Roman" w:cs="Times New Roman"/>
                <w:color w:val="auto"/>
                <w:sz w:val="24"/>
                <w:szCs w:val="24"/>
                <w:lang w:val="en-US" w:eastAsia="zh-CN"/>
              </w:rPr>
              <w:t>192</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r>
              <w:rPr>
                <w:rFonts w:hint="default" w:ascii="Times New Roman" w:hAnsi="Times New Roman" w:eastAsia="宋体" w:cs="Times New Roman"/>
                <w:color w:val="auto"/>
                <w:sz w:val="24"/>
                <w:highlight w:val="none"/>
                <w:lang w:eastAsia="zh-CN"/>
              </w:rPr>
              <w:t>，排</w:t>
            </w:r>
            <w:r>
              <w:rPr>
                <w:rFonts w:hint="default" w:ascii="Times New Roman" w:hAnsi="Times New Roman" w:eastAsia="宋体" w:cs="Times New Roman"/>
                <w:color w:val="auto"/>
                <w:sz w:val="24"/>
                <w:highlight w:val="none"/>
              </w:rPr>
              <w:t>入</w:t>
            </w:r>
            <w:r>
              <w:rPr>
                <w:rFonts w:hint="eastAsia" w:ascii="Times New Roman" w:hAnsi="Times New Roman" w:cs="Times New Roman"/>
                <w:color w:val="auto"/>
                <w:sz w:val="24"/>
                <w:highlight w:val="none"/>
                <w:lang w:eastAsia="zh-CN"/>
              </w:rPr>
              <w:t>循环水池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循环使用。</w:t>
            </w:r>
          </w:p>
          <w:p w14:paraId="68030565">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Calibri"/>
                <w:color w:val="auto"/>
                <w:sz w:val="24"/>
                <w:highlight w:val="none"/>
              </w:rPr>
              <w:t>③</w:t>
            </w:r>
            <w:r>
              <w:rPr>
                <w:rFonts w:hint="default" w:ascii="Times New Roman" w:hAnsi="Times New Roman" w:eastAsia="宋体" w:cs="Times New Roman"/>
                <w:color w:val="auto"/>
                <w:sz w:val="24"/>
                <w:highlight w:val="none"/>
              </w:rPr>
              <w:t>初期雨水</w:t>
            </w:r>
          </w:p>
          <w:p w14:paraId="1925B67D">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本项目设置一座容积为</w:t>
            </w:r>
            <w:r>
              <w:rPr>
                <w:rFonts w:hint="eastAsia" w:ascii="Times New Roman" w:hAnsi="Times New Roman" w:cs="Times New Roman"/>
                <w:color w:val="auto"/>
                <w:sz w:val="24"/>
                <w:highlight w:val="none"/>
                <w:lang w:val="en-US" w:eastAsia="zh-CN"/>
              </w:rPr>
              <w:t>240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雨水的集水池，在车间和堆场四周修建收集渠收集至集水池后回用于</w:t>
            </w:r>
            <w:r>
              <w:rPr>
                <w:rFonts w:hint="default" w:ascii="Times New Roman" w:hAnsi="Times New Roman" w:eastAsia="宋体" w:cs="Times New Roman"/>
                <w:color w:val="auto"/>
                <w:sz w:val="24"/>
                <w:highlight w:val="none"/>
                <w:lang w:val="en-US" w:eastAsia="zh-CN"/>
              </w:rPr>
              <w:t>降尘</w:t>
            </w:r>
            <w:r>
              <w:rPr>
                <w:rFonts w:hint="default" w:ascii="Times New Roman" w:hAnsi="Times New Roman" w:eastAsia="宋体" w:cs="Times New Roman"/>
                <w:color w:val="auto"/>
                <w:sz w:val="24"/>
                <w:highlight w:val="none"/>
              </w:rPr>
              <w:t>。</w:t>
            </w:r>
          </w:p>
          <w:p w14:paraId="5A724F6A">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宋体"/>
                <w:color w:val="auto"/>
                <w:sz w:val="24"/>
                <w:highlight w:val="none"/>
              </w:rPr>
              <w:t>④</w:t>
            </w:r>
            <w:r>
              <w:rPr>
                <w:rFonts w:hint="default" w:ascii="Times New Roman" w:hAnsi="Times New Roman" w:eastAsia="宋体" w:cs="Times New Roman"/>
                <w:color w:val="auto"/>
                <w:sz w:val="24"/>
                <w:highlight w:val="none"/>
              </w:rPr>
              <w:t>生活污水</w:t>
            </w:r>
          </w:p>
          <w:p w14:paraId="6ABE01A2">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olor w:val="auto"/>
                <w:sz w:val="24"/>
                <w:szCs w:val="24"/>
                <w:highlight w:val="none"/>
                <w:lang w:val="en-US" w:eastAsia="zh-CN"/>
              </w:rPr>
            </w:pPr>
            <w:r>
              <w:rPr>
                <w:rFonts w:hint="eastAsia" w:ascii="Times New Roman" w:hAnsi="Times New Roman"/>
                <w:color w:val="auto"/>
                <w:sz w:val="24"/>
                <w:szCs w:val="24"/>
                <w:highlight w:val="none"/>
                <w:lang w:eastAsia="zh-CN"/>
              </w:rPr>
              <w:t>本项目</w:t>
            </w:r>
            <w:r>
              <w:rPr>
                <w:rFonts w:ascii="Times New Roman" w:hAnsi="Times New Roman"/>
                <w:color w:val="auto"/>
                <w:sz w:val="24"/>
                <w:szCs w:val="24"/>
                <w:highlight w:val="none"/>
              </w:rPr>
              <w:t>生活用水为员工生活用水，共</w:t>
            </w:r>
            <w:r>
              <w:rPr>
                <w:rFonts w:hint="eastAsia" w:ascii="Times New Roman" w:hAnsi="Times New Roman"/>
                <w:color w:val="auto"/>
                <w:sz w:val="24"/>
                <w:szCs w:val="24"/>
                <w:highlight w:val="none"/>
              </w:rPr>
              <w:t>32</w:t>
            </w:r>
            <w:r>
              <w:rPr>
                <w:rFonts w:ascii="Times New Roman" w:hAnsi="Times New Roman"/>
                <w:color w:val="auto"/>
                <w:sz w:val="24"/>
                <w:szCs w:val="24"/>
                <w:highlight w:val="none"/>
              </w:rPr>
              <w:t>人，</w:t>
            </w:r>
            <w:r>
              <w:rPr>
                <w:rFonts w:hint="eastAsia" w:ascii="Times New Roman" w:hAnsi="Times New Roman"/>
                <w:color w:val="auto"/>
                <w:sz w:val="24"/>
                <w:szCs w:val="24"/>
                <w:highlight w:val="none"/>
                <w:lang w:eastAsia="zh-CN"/>
              </w:rPr>
              <w:t>本项目位于农村地区，根据黑龙江省地方标准</w:t>
            </w:r>
            <w:r>
              <w:rPr>
                <w:rFonts w:hint="eastAsia" w:ascii="Times New Roman" w:hAnsi="Times New Roman"/>
                <w:color w:val="auto"/>
                <w:sz w:val="24"/>
                <w:szCs w:val="24"/>
                <w:highlight w:val="none"/>
                <w:lang w:val="en-US" w:eastAsia="zh-CN"/>
              </w:rPr>
              <w:t>《用水定额》（DB23/T 727-2021）</w:t>
            </w:r>
            <w:r>
              <w:rPr>
                <w:rFonts w:hint="eastAsia" w:ascii="Times New Roman" w:hAnsi="Times New Roman"/>
                <w:color w:val="auto"/>
                <w:sz w:val="24"/>
                <w:szCs w:val="24"/>
                <w:highlight w:val="none"/>
                <w:lang w:eastAsia="zh-CN"/>
              </w:rPr>
              <w:t>，农村居民生活用水定额为</w:t>
            </w:r>
            <w:r>
              <w:rPr>
                <w:rFonts w:hint="eastAsia" w:ascii="Times New Roman" w:hAnsi="Times New Roman"/>
                <w:color w:val="auto"/>
                <w:sz w:val="24"/>
                <w:szCs w:val="24"/>
                <w:highlight w:val="none"/>
                <w:lang w:val="en-US" w:eastAsia="zh-CN"/>
              </w:rPr>
              <w:t>80L/（人、d）</w:t>
            </w:r>
            <w:r>
              <w:rPr>
                <w:rFonts w:ascii="Times New Roman" w:hAnsi="Times New Roman"/>
                <w:color w:val="auto"/>
                <w:sz w:val="24"/>
                <w:szCs w:val="24"/>
                <w:highlight w:val="none"/>
              </w:rPr>
              <w:t>，</w:t>
            </w:r>
            <w:r>
              <w:rPr>
                <w:rFonts w:hint="eastAsia" w:ascii="Times New Roman" w:hAnsi="Times New Roman"/>
                <w:color w:val="auto"/>
                <w:sz w:val="24"/>
                <w:szCs w:val="24"/>
                <w:highlight w:val="none"/>
                <w:lang w:eastAsia="zh-CN"/>
              </w:rPr>
              <w:t>本项目员工生活用水量按</w:t>
            </w:r>
            <w:r>
              <w:rPr>
                <w:rFonts w:hint="eastAsia" w:ascii="Times New Roman" w:hAnsi="Times New Roman"/>
                <w:color w:val="auto"/>
                <w:sz w:val="24"/>
                <w:szCs w:val="24"/>
                <w:highlight w:val="none"/>
                <w:lang w:val="en-US" w:eastAsia="zh-CN"/>
              </w:rPr>
              <w:t>80L/（人、d）计算</w:t>
            </w:r>
            <w:r>
              <w:rPr>
                <w:rFonts w:hint="eastAsia" w:ascii="Times New Roman" w:hAnsi="Times New Roman"/>
                <w:color w:val="auto"/>
                <w:sz w:val="24"/>
                <w:szCs w:val="24"/>
                <w:highlight w:val="none"/>
                <w:lang w:eastAsia="zh-CN"/>
              </w:rPr>
              <w:t>，则本项目</w:t>
            </w:r>
            <w:r>
              <w:rPr>
                <w:rFonts w:ascii="Times New Roman" w:hAnsi="Times New Roman"/>
                <w:color w:val="auto"/>
                <w:sz w:val="24"/>
                <w:szCs w:val="24"/>
                <w:highlight w:val="none"/>
              </w:rPr>
              <w:t>生活用水量为</w:t>
            </w:r>
            <w:r>
              <w:rPr>
                <w:rFonts w:hint="eastAsia" w:ascii="Times New Roman" w:hAnsi="Times New Roman"/>
                <w:color w:val="auto"/>
                <w:sz w:val="24"/>
                <w:szCs w:val="24"/>
                <w:highlight w:val="none"/>
                <w:lang w:val="en-US" w:eastAsia="zh-CN"/>
              </w:rPr>
              <w:t>2.56</w:t>
            </w:r>
            <w:r>
              <w:rPr>
                <w:rFonts w:ascii="Times New Roman" w:hAnsi="Times New Roman"/>
                <w:color w:val="auto"/>
                <w:sz w:val="24"/>
                <w:szCs w:val="24"/>
                <w:highlight w:val="none"/>
              </w:rPr>
              <w:t>t/d，</w:t>
            </w:r>
            <w:r>
              <w:rPr>
                <w:rFonts w:hint="eastAsia" w:ascii="Times New Roman" w:hAnsi="Times New Roman"/>
                <w:color w:val="auto"/>
                <w:sz w:val="24"/>
                <w:szCs w:val="24"/>
                <w:highlight w:val="none"/>
                <w:lang w:val="en-US" w:eastAsia="zh-CN"/>
              </w:rPr>
              <w:t>844.8</w:t>
            </w:r>
            <w:r>
              <w:rPr>
                <w:rFonts w:ascii="Times New Roman" w:hAnsi="Times New Roman"/>
                <w:color w:val="auto"/>
                <w:sz w:val="24"/>
                <w:szCs w:val="24"/>
                <w:highlight w:val="none"/>
              </w:rPr>
              <w:t>t/a。</w:t>
            </w:r>
          </w:p>
          <w:p w14:paraId="38F7C835">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员工生活污水，排放量按用水量的80 %计，约为</w:t>
            </w:r>
            <w:r>
              <w:rPr>
                <w:rFonts w:hint="eastAsia" w:ascii="Times New Roman" w:hAnsi="Times New Roman" w:cs="Times New Roman"/>
                <w:color w:val="auto"/>
                <w:sz w:val="24"/>
                <w:highlight w:val="none"/>
                <w:lang w:val="en-US" w:eastAsia="zh-CN"/>
              </w:rPr>
              <w:t>2.05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eastAsia" w:ascii="Times New Roman" w:hAnsi="Times New Roman" w:cs="Times New Roman"/>
                <w:color w:val="auto"/>
                <w:sz w:val="24"/>
                <w:highlight w:val="none"/>
                <w:lang w:val="en-US" w:eastAsia="zh-CN"/>
              </w:rPr>
              <w:t>676.5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eastAsia" w:ascii="Times New Roman" w:hAnsi="Times New Roman" w:cs="Times New Roman"/>
                <w:color w:val="auto"/>
                <w:sz w:val="24"/>
                <w:highlight w:val="none"/>
                <w:lang w:eastAsia="zh-CN"/>
              </w:rPr>
              <w:t>，</w:t>
            </w:r>
            <w:r>
              <w:rPr>
                <w:rFonts w:hint="eastAsia" w:cs="Times New Roman"/>
                <w:color w:val="auto"/>
                <w:sz w:val="24"/>
                <w:highlight w:val="none"/>
                <w:lang w:eastAsia="zh-CN"/>
              </w:rPr>
              <w:t>生活污水排入防渗旱厕，定期清掏，外运至污水处理厂</w:t>
            </w:r>
            <w:r>
              <w:rPr>
                <w:rFonts w:hint="default" w:ascii="Times New Roman" w:hAnsi="Times New Roman" w:eastAsia="宋体" w:cs="Times New Roman"/>
                <w:color w:val="auto"/>
                <w:sz w:val="24"/>
                <w:highlight w:val="none"/>
              </w:rPr>
              <w:t>。</w:t>
            </w:r>
          </w:p>
          <w:p w14:paraId="20A52657">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2、废水环境影响及措施可行性</w:t>
            </w:r>
          </w:p>
          <w:p w14:paraId="1D4F2B1F">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①选煤废水</w:t>
            </w:r>
          </w:p>
          <w:p w14:paraId="362E7480">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项目生产过程产生的煤泥水经浓缩处理后回用于选煤生产过程。本项目无工艺废水排放；生产过程中补充的新水，大部分被产品带走，无排放。</w:t>
            </w:r>
          </w:p>
          <w:p w14:paraId="27BA9953">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厂区进行分区防渗，煤泥堆场、矸石堆场、循环水池、浓缩池、</w:t>
            </w:r>
            <w:r>
              <w:rPr>
                <w:rFonts w:hint="eastAsia" w:ascii="Times New Roman" w:hAnsi="Times New Roman" w:eastAsia="宋体" w:cs="Times New Roman"/>
                <w:color w:val="auto"/>
                <w:sz w:val="24"/>
                <w:highlight w:val="none"/>
                <w:lang w:val="en-US" w:eastAsia="zh-CN"/>
              </w:rPr>
              <w:t>生产</w:t>
            </w:r>
            <w:r>
              <w:rPr>
                <w:rFonts w:hint="default" w:ascii="Times New Roman" w:hAnsi="Times New Roman" w:eastAsia="宋体" w:cs="Times New Roman"/>
                <w:color w:val="auto"/>
                <w:sz w:val="24"/>
                <w:highlight w:val="none"/>
                <w:lang w:val="en-US" w:eastAsia="zh-CN"/>
              </w:rPr>
              <w:t>车间地面均进行一般防渗处理，防渗功能应满足K值小于1.0×10</w:t>
            </w:r>
            <w:r>
              <w:rPr>
                <w:rFonts w:hint="default" w:ascii="Times New Roman" w:hAnsi="Times New Roman" w:eastAsia="宋体" w:cs="Times New Roman"/>
                <w:color w:val="auto"/>
                <w:sz w:val="24"/>
                <w:highlight w:val="none"/>
                <w:vertAlign w:val="superscript"/>
                <w:lang w:val="en-US" w:eastAsia="zh-CN"/>
              </w:rPr>
              <w:t>-7</w:t>
            </w:r>
            <w:r>
              <w:rPr>
                <w:rFonts w:hint="default" w:ascii="Times New Roman" w:hAnsi="Times New Roman" w:eastAsia="宋体" w:cs="Times New Roman"/>
                <w:color w:val="auto"/>
                <w:sz w:val="24"/>
                <w:highlight w:val="none"/>
                <w:lang w:val="en-US" w:eastAsia="zh-CN"/>
              </w:rPr>
              <w:t>cm/s要求。建构筑物底部防渗层采用铺设2mm厚的高密度聚乙烯土工膜，或等效黏土防渗层至少1.5m厚，渗透系数≤10</w:t>
            </w:r>
            <w:r>
              <w:rPr>
                <w:rFonts w:hint="default" w:ascii="Times New Roman" w:hAnsi="Times New Roman" w:eastAsia="宋体" w:cs="Times New Roman"/>
                <w:color w:val="auto"/>
                <w:sz w:val="24"/>
                <w:highlight w:val="none"/>
                <w:vertAlign w:val="superscript"/>
                <w:lang w:val="en-US" w:eastAsia="zh-CN"/>
              </w:rPr>
              <w:t>-7</w:t>
            </w:r>
            <w:r>
              <w:rPr>
                <w:rFonts w:hint="default" w:ascii="Times New Roman" w:hAnsi="Times New Roman" w:eastAsia="宋体" w:cs="Times New Roman"/>
                <w:color w:val="auto"/>
                <w:sz w:val="24"/>
                <w:highlight w:val="none"/>
                <w:lang w:val="en-US" w:eastAsia="zh-CN"/>
              </w:rPr>
              <w:t>cm/s的其它人工材料进行建设，符合《环境影响评价技术导则地下水环境》（HJ610-2016）一般防渗区要求。其他厂区地面做简单防渗，水泥硬化。</w:t>
            </w:r>
          </w:p>
          <w:p w14:paraId="70D9B3C3">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②雨水和堆场淋溶水</w:t>
            </w:r>
          </w:p>
          <w:p w14:paraId="7456A670">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本项目厂区四周设置雨水收集渠，将雨水收集</w:t>
            </w:r>
            <w:r>
              <w:rPr>
                <w:rFonts w:hint="eastAsia" w:ascii="Times New Roman" w:hAnsi="Times New Roman" w:eastAsia="宋体" w:cs="Times New Roman"/>
                <w:color w:val="auto"/>
                <w:sz w:val="24"/>
                <w:highlight w:val="none"/>
                <w:lang w:val="en-US" w:eastAsia="zh-CN"/>
              </w:rPr>
              <w:t>到雨水集水</w:t>
            </w:r>
            <w:r>
              <w:rPr>
                <w:rFonts w:hint="default" w:ascii="Times New Roman" w:hAnsi="Times New Roman" w:eastAsia="宋体" w:cs="Times New Roman"/>
                <w:color w:val="auto"/>
                <w:sz w:val="24"/>
                <w:highlight w:val="none"/>
                <w:lang w:val="en-US" w:eastAsia="zh-CN"/>
              </w:rPr>
              <w:t>池，经</w:t>
            </w:r>
            <w:r>
              <w:rPr>
                <w:rFonts w:hint="eastAsia" w:ascii="Times New Roman" w:hAnsi="Times New Roman" w:eastAsia="宋体" w:cs="Times New Roman"/>
                <w:color w:val="auto"/>
                <w:sz w:val="24"/>
                <w:highlight w:val="none"/>
                <w:lang w:val="en-US" w:eastAsia="zh-CN"/>
              </w:rPr>
              <w:t>浓缩</w:t>
            </w:r>
            <w:r>
              <w:rPr>
                <w:rFonts w:hint="default" w:ascii="Times New Roman" w:hAnsi="Times New Roman" w:eastAsia="宋体" w:cs="Times New Roman"/>
                <w:color w:val="auto"/>
                <w:sz w:val="24"/>
                <w:highlight w:val="none"/>
                <w:lang w:val="en-US" w:eastAsia="zh-CN"/>
              </w:rPr>
              <w:t>处理后汇入循环水池</w:t>
            </w:r>
            <w:r>
              <w:rPr>
                <w:rFonts w:hint="eastAsia" w:ascii="Times New Roman" w:hAnsi="Times New Roman" w:eastAsia="宋体" w:cs="Times New Roman"/>
                <w:color w:val="auto"/>
                <w:sz w:val="24"/>
                <w:highlight w:val="none"/>
                <w:lang w:val="en-US" w:eastAsia="zh-CN"/>
              </w:rPr>
              <w:t>用于</w:t>
            </w:r>
            <w:r>
              <w:rPr>
                <w:rFonts w:hint="default" w:ascii="Times New Roman" w:hAnsi="Times New Roman" w:eastAsia="宋体" w:cs="Times New Roman"/>
                <w:color w:val="auto"/>
                <w:sz w:val="24"/>
                <w:highlight w:val="none"/>
                <w:lang w:val="en-US" w:eastAsia="zh-CN"/>
              </w:rPr>
              <w:t>生产。防止雨水溢流污染周围环境。厂区雨水中污染物主要为厂区地面因沉降、洒落等粉尘，不含有毒有害物质，经收集后可以回用于洗煤系统，废水利用措施合理且可行。本项目雨水收集池容积为</w:t>
            </w:r>
            <w:r>
              <w:rPr>
                <w:rFonts w:hint="eastAsia" w:ascii="Times New Roman" w:hAnsi="Times New Roman" w:cs="Times New Roman"/>
                <w:color w:val="auto"/>
                <w:sz w:val="24"/>
                <w:highlight w:val="none"/>
                <w:lang w:val="en-US" w:eastAsia="zh-CN"/>
              </w:rPr>
              <w:t>240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，可以满足厂区内雨水容纳需求池体容积可行，</w:t>
            </w:r>
            <w:r>
              <w:rPr>
                <w:rFonts w:hint="eastAsia" w:ascii="Times New Roman" w:hAnsi="Times New Roman" w:eastAsia="宋体" w:cs="Times New Roman"/>
                <w:color w:val="auto"/>
                <w:sz w:val="24"/>
                <w:highlight w:val="none"/>
                <w:lang w:val="en-US" w:eastAsia="zh-CN"/>
              </w:rPr>
              <w:t>集水池</w:t>
            </w:r>
            <w:r>
              <w:rPr>
                <w:rFonts w:hint="default" w:ascii="Times New Roman" w:hAnsi="Times New Roman" w:eastAsia="宋体" w:cs="Times New Roman"/>
                <w:color w:val="auto"/>
                <w:sz w:val="24"/>
                <w:highlight w:val="none"/>
                <w:lang w:val="en-US" w:eastAsia="zh-CN"/>
              </w:rPr>
              <w:t>位于</w:t>
            </w:r>
            <w:r>
              <w:rPr>
                <w:rFonts w:hint="eastAsia" w:ascii="Times New Roman" w:hAnsi="Times New Roman" w:eastAsia="宋体" w:cs="Times New Roman"/>
                <w:color w:val="auto"/>
                <w:sz w:val="24"/>
                <w:highlight w:val="none"/>
                <w:lang w:val="en-US" w:eastAsia="zh-CN"/>
              </w:rPr>
              <w:t>生产车间底层</w:t>
            </w:r>
            <w:r>
              <w:rPr>
                <w:rFonts w:hint="default" w:ascii="Times New Roman" w:hAnsi="Times New Roman" w:eastAsia="宋体" w:cs="Times New Roman"/>
                <w:color w:val="auto"/>
                <w:sz w:val="24"/>
                <w:highlight w:val="none"/>
                <w:lang w:val="en-US" w:eastAsia="zh-CN"/>
              </w:rPr>
              <w:t>，地势低，能够保证厂区内雨水被全部收集。</w:t>
            </w:r>
          </w:p>
          <w:p w14:paraId="6475973F">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③事故池建设</w:t>
            </w:r>
          </w:p>
          <w:p w14:paraId="58A7B814">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本项目建成后无废水外排，正常情况下不会对地表水环境造成影响。非正常排放主要为生产设备损坏、管道泄漏、事故停车、停电等原因导致废水事故排放。根据《煤炭洗选工程设计规范》（GB50359-2016）</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选用事故煤泥水池时，其有效容积应为厂内最大一台设备有效容积的1.2~1.5倍</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本项目设置一座容积为</w:t>
            </w:r>
            <w:r>
              <w:rPr>
                <w:rFonts w:hint="eastAsia" w:ascii="Times New Roman" w:hAnsi="Times New Roman" w:cs="Times New Roman"/>
                <w:color w:val="auto"/>
                <w:sz w:val="24"/>
                <w:highlight w:val="none"/>
                <w:lang w:val="en-US" w:eastAsia="zh-CN"/>
              </w:rPr>
              <w:t>500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的事故池，如循环水池发生泄漏或煤泥水循环系统故障，可以满足事故废水容纳需求池体容积可行，确保非正常状况下事故废水不下渗、不外排。</w:t>
            </w:r>
          </w:p>
          <w:p w14:paraId="6AA6C259">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④生活污水</w:t>
            </w:r>
          </w:p>
          <w:p w14:paraId="3A5E537A">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项目废水主要为员工的生活污水，</w:t>
            </w:r>
            <w:r>
              <w:rPr>
                <w:rFonts w:hint="eastAsia" w:cs="Times New Roman"/>
                <w:color w:val="auto"/>
                <w:sz w:val="24"/>
                <w:highlight w:val="none"/>
                <w:lang w:val="en-US" w:eastAsia="zh-CN"/>
              </w:rPr>
              <w:t>生活污水排入防渗旱厕，定期清掏，外运至污水处理厂</w:t>
            </w:r>
            <w:r>
              <w:rPr>
                <w:rFonts w:hint="default" w:ascii="Times New Roman" w:hAnsi="Times New Roman" w:eastAsia="宋体" w:cs="Times New Roman"/>
                <w:color w:val="auto"/>
                <w:sz w:val="24"/>
                <w:highlight w:val="none"/>
                <w:lang w:val="en-US" w:eastAsia="zh-CN"/>
              </w:rPr>
              <w:t>。</w:t>
            </w:r>
          </w:p>
          <w:p w14:paraId="642743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16"/>
                <w:sz w:val="21"/>
                <w:szCs w:val="21"/>
              </w:rPr>
              <w:t>表</w:t>
            </w:r>
            <w:r>
              <w:rPr>
                <w:rFonts w:hint="default" w:ascii="Times New Roman" w:hAnsi="Times New Roman" w:eastAsia="宋体" w:cs="Times New Roman"/>
                <w:b/>
                <w:bCs/>
                <w:color w:val="auto"/>
                <w:spacing w:val="11"/>
                <w:sz w:val="21"/>
                <w:szCs w:val="21"/>
              </w:rPr>
              <w:t>4</w:t>
            </w:r>
            <w:r>
              <w:rPr>
                <w:rFonts w:hint="default" w:ascii="Times New Roman" w:hAnsi="Times New Roman" w:eastAsia="宋体" w:cs="Times New Roman"/>
                <w:b/>
                <w:bCs/>
                <w:color w:val="auto"/>
                <w:spacing w:val="8"/>
                <w:sz w:val="21"/>
                <w:szCs w:val="21"/>
              </w:rPr>
              <w:t>-</w:t>
            </w:r>
            <w:r>
              <w:rPr>
                <w:rFonts w:hint="eastAsia" w:cs="Times New Roman"/>
                <w:b/>
                <w:bCs/>
                <w:color w:val="auto"/>
                <w:spacing w:val="8"/>
                <w:sz w:val="21"/>
                <w:szCs w:val="21"/>
                <w:lang w:val="en-US" w:eastAsia="zh-CN"/>
              </w:rPr>
              <w:t>4</w:t>
            </w:r>
            <w:r>
              <w:rPr>
                <w:rFonts w:hint="eastAsia" w:ascii="Times New Roman" w:hAnsi="Times New Roman" w:cs="Times New Roman"/>
                <w:b/>
                <w:bCs/>
                <w:color w:val="auto"/>
                <w:spacing w:val="8"/>
                <w:sz w:val="21"/>
                <w:szCs w:val="21"/>
                <w:lang w:val="en-US" w:eastAsia="zh-CN"/>
              </w:rPr>
              <w:t xml:space="preserve"> </w:t>
            </w:r>
            <w:r>
              <w:rPr>
                <w:rFonts w:hint="default" w:ascii="Times New Roman" w:hAnsi="Times New Roman" w:eastAsia="宋体" w:cs="Times New Roman"/>
                <w:b/>
                <w:bCs/>
                <w:color w:val="auto"/>
                <w:spacing w:val="8"/>
                <w:sz w:val="21"/>
                <w:szCs w:val="21"/>
              </w:rPr>
              <w:t>废水产排污节点、污染物及污染治理设施信息表</w:t>
            </w:r>
          </w:p>
          <w:tbl>
            <w:tblPr>
              <w:tblStyle w:val="31"/>
              <w:tblW w:w="4996" w:type="pct"/>
              <w:jc w:val="center"/>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353"/>
              <w:gridCol w:w="711"/>
              <w:gridCol w:w="1036"/>
              <w:gridCol w:w="898"/>
              <w:gridCol w:w="866"/>
              <w:gridCol w:w="585"/>
              <w:gridCol w:w="430"/>
              <w:gridCol w:w="585"/>
              <w:gridCol w:w="468"/>
              <w:gridCol w:w="499"/>
              <w:gridCol w:w="1013"/>
              <w:gridCol w:w="763"/>
            </w:tblGrid>
            <w:tr w14:paraId="61DFA5E0">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15" w:type="pct"/>
                  <w:vMerge w:val="restart"/>
                  <w:tcBorders>
                    <w:tl2br w:val="nil"/>
                    <w:tr2bl w:val="nil"/>
                  </w:tcBorders>
                  <w:noWrap w:val="0"/>
                  <w:vAlign w:val="center"/>
                </w:tcPr>
                <w:p w14:paraId="0C00DB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产污环节名称</w:t>
                  </w:r>
                </w:p>
              </w:tc>
              <w:tc>
                <w:tcPr>
                  <w:tcW w:w="433" w:type="pct"/>
                  <w:vMerge w:val="restart"/>
                  <w:tcBorders>
                    <w:tl2br w:val="nil"/>
                    <w:tr2bl w:val="nil"/>
                  </w:tcBorders>
                  <w:noWrap w:val="0"/>
                  <w:vAlign w:val="center"/>
                </w:tcPr>
                <w:p w14:paraId="50577E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类别</w:t>
                  </w:r>
                </w:p>
              </w:tc>
              <w:tc>
                <w:tcPr>
                  <w:tcW w:w="631" w:type="pct"/>
                  <w:vMerge w:val="restart"/>
                  <w:tcBorders>
                    <w:tl2br w:val="nil"/>
                    <w:tr2bl w:val="nil"/>
                  </w:tcBorders>
                  <w:noWrap w:val="0"/>
                  <w:vAlign w:val="center"/>
                </w:tcPr>
                <w:p w14:paraId="6CED3A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污染物种类</w:t>
                  </w:r>
                </w:p>
              </w:tc>
              <w:tc>
                <w:tcPr>
                  <w:tcW w:w="1074" w:type="pct"/>
                  <w:gridSpan w:val="2"/>
                  <w:tcBorders>
                    <w:tl2br w:val="nil"/>
                    <w:tr2bl w:val="nil"/>
                  </w:tcBorders>
                  <w:noWrap w:val="0"/>
                  <w:vAlign w:val="center"/>
                </w:tcPr>
                <w:p w14:paraId="2424DD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产生</w:t>
                  </w:r>
                </w:p>
              </w:tc>
              <w:tc>
                <w:tcPr>
                  <w:tcW w:w="356" w:type="pct"/>
                  <w:vMerge w:val="restart"/>
                  <w:tcBorders>
                    <w:tl2br w:val="nil"/>
                    <w:tr2bl w:val="nil"/>
                  </w:tcBorders>
                  <w:noWrap w:val="0"/>
                  <w:vAlign w:val="center"/>
                </w:tcPr>
                <w:p w14:paraId="7E60A1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排放形式</w:t>
                  </w:r>
                </w:p>
              </w:tc>
              <w:tc>
                <w:tcPr>
                  <w:tcW w:w="1207" w:type="pct"/>
                  <w:gridSpan w:val="4"/>
                  <w:tcBorders>
                    <w:tl2br w:val="nil"/>
                    <w:tr2bl w:val="nil"/>
                  </w:tcBorders>
                  <w:noWrap w:val="0"/>
                  <w:vAlign w:val="center"/>
                </w:tcPr>
                <w:p w14:paraId="66472C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治理措施</w:t>
                  </w:r>
                </w:p>
              </w:tc>
              <w:tc>
                <w:tcPr>
                  <w:tcW w:w="1081" w:type="pct"/>
                  <w:gridSpan w:val="2"/>
                  <w:tcBorders>
                    <w:tl2br w:val="nil"/>
                    <w:tr2bl w:val="nil"/>
                  </w:tcBorders>
                  <w:noWrap w:val="0"/>
                  <w:vAlign w:val="center"/>
                </w:tcPr>
                <w:p w14:paraId="228F75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排放</w:t>
                  </w:r>
                </w:p>
              </w:tc>
            </w:tr>
            <w:tr w14:paraId="1186766E">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15" w:type="pct"/>
                  <w:vMerge w:val="continue"/>
                  <w:tcBorders>
                    <w:tl2br w:val="nil"/>
                    <w:tr2bl w:val="nil"/>
                  </w:tcBorders>
                  <w:noWrap w:val="0"/>
                  <w:vAlign w:val="center"/>
                </w:tcPr>
                <w:p w14:paraId="3A9B0D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p>
              </w:tc>
              <w:tc>
                <w:tcPr>
                  <w:tcW w:w="433" w:type="pct"/>
                  <w:vMerge w:val="continue"/>
                  <w:tcBorders>
                    <w:tl2br w:val="nil"/>
                    <w:tr2bl w:val="nil"/>
                  </w:tcBorders>
                  <w:noWrap w:val="0"/>
                  <w:vAlign w:val="center"/>
                </w:tcPr>
                <w:p w14:paraId="163DD9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p>
              </w:tc>
              <w:tc>
                <w:tcPr>
                  <w:tcW w:w="631" w:type="pct"/>
                  <w:vMerge w:val="continue"/>
                  <w:tcBorders>
                    <w:tl2br w:val="nil"/>
                    <w:tr2bl w:val="nil"/>
                  </w:tcBorders>
                  <w:noWrap w:val="0"/>
                  <w:vAlign w:val="center"/>
                </w:tcPr>
                <w:p w14:paraId="27B9D4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p>
              </w:tc>
              <w:tc>
                <w:tcPr>
                  <w:tcW w:w="547" w:type="pct"/>
                  <w:tcBorders>
                    <w:tl2br w:val="nil"/>
                    <w:tr2bl w:val="nil"/>
                  </w:tcBorders>
                  <w:noWrap w:val="0"/>
                  <w:vAlign w:val="center"/>
                </w:tcPr>
                <w:p w14:paraId="33B13E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pacing w:val="5"/>
                      <w:sz w:val="21"/>
                      <w:szCs w:val="21"/>
                      <w:lang w:eastAsia="zh-CN"/>
                    </w:rPr>
                  </w:pPr>
                  <w:r>
                    <w:rPr>
                      <w:rFonts w:hint="default" w:ascii="Times New Roman" w:hAnsi="Times New Roman" w:eastAsia="宋体" w:cs="Times New Roman"/>
                      <w:b/>
                      <w:bCs/>
                      <w:color w:val="auto"/>
                      <w:spacing w:val="5"/>
                      <w:sz w:val="21"/>
                      <w:szCs w:val="21"/>
                    </w:rPr>
                    <w:t>浓度</w:t>
                  </w:r>
                  <w:r>
                    <w:rPr>
                      <w:rFonts w:hint="eastAsia" w:ascii="Times New Roman" w:hAnsi="Times New Roman" w:cs="Times New Roman"/>
                      <w:b/>
                      <w:bCs/>
                      <w:color w:val="auto"/>
                      <w:spacing w:val="5"/>
                      <w:sz w:val="21"/>
                      <w:szCs w:val="21"/>
                      <w:lang w:eastAsia="zh-CN"/>
                    </w:rPr>
                    <w:t>（</w:t>
                  </w:r>
                  <w:r>
                    <w:rPr>
                      <w:rFonts w:hint="default" w:ascii="Times New Roman" w:hAnsi="Times New Roman" w:eastAsia="宋体" w:cs="Times New Roman"/>
                      <w:b/>
                      <w:bCs/>
                      <w:color w:val="auto"/>
                      <w:spacing w:val="5"/>
                      <w:sz w:val="21"/>
                      <w:szCs w:val="21"/>
                    </w:rPr>
                    <w:t>mg/</w:t>
                  </w:r>
                  <w:r>
                    <w:rPr>
                      <w:rFonts w:hint="eastAsia" w:ascii="Times New Roman" w:hAnsi="Times New Roman" w:cs="Times New Roman"/>
                      <w:b/>
                      <w:bCs/>
                      <w:color w:val="auto"/>
                      <w:spacing w:val="5"/>
                      <w:sz w:val="21"/>
                      <w:szCs w:val="21"/>
                      <w:lang w:val="en-US" w:eastAsia="zh-CN"/>
                    </w:rPr>
                    <w:t>L</w:t>
                  </w:r>
                  <w:r>
                    <w:rPr>
                      <w:rFonts w:hint="eastAsia" w:ascii="Times New Roman" w:hAnsi="Times New Roman" w:cs="Times New Roman"/>
                      <w:b/>
                      <w:bCs/>
                      <w:color w:val="auto"/>
                      <w:spacing w:val="5"/>
                      <w:sz w:val="21"/>
                      <w:szCs w:val="21"/>
                      <w:lang w:eastAsia="zh-CN"/>
                    </w:rPr>
                    <w:t>）</w:t>
                  </w:r>
                </w:p>
              </w:tc>
              <w:tc>
                <w:tcPr>
                  <w:tcW w:w="527" w:type="pct"/>
                  <w:tcBorders>
                    <w:tl2br w:val="nil"/>
                    <w:tr2bl w:val="nil"/>
                  </w:tcBorders>
                  <w:noWrap w:val="0"/>
                  <w:vAlign w:val="center"/>
                </w:tcPr>
                <w:p w14:paraId="1832A9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产生量</w:t>
                  </w:r>
                </w:p>
                <w:p w14:paraId="6753DD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pacing w:val="5"/>
                      <w:sz w:val="21"/>
                      <w:szCs w:val="21"/>
                      <w:lang w:eastAsia="zh-CN"/>
                    </w:rPr>
                  </w:pPr>
                  <w:r>
                    <w:rPr>
                      <w:rFonts w:hint="eastAsia" w:ascii="Times New Roman" w:hAnsi="Times New Roman" w:cs="Times New Roman"/>
                      <w:b/>
                      <w:bCs/>
                      <w:color w:val="auto"/>
                      <w:spacing w:val="5"/>
                      <w:sz w:val="21"/>
                      <w:szCs w:val="21"/>
                      <w:lang w:eastAsia="zh-CN"/>
                    </w:rPr>
                    <w:t>（</w:t>
                  </w:r>
                  <w:r>
                    <w:rPr>
                      <w:rFonts w:hint="default" w:ascii="Times New Roman" w:hAnsi="Times New Roman" w:eastAsia="宋体" w:cs="Times New Roman"/>
                      <w:b/>
                      <w:bCs/>
                      <w:color w:val="auto"/>
                      <w:spacing w:val="5"/>
                      <w:sz w:val="21"/>
                      <w:szCs w:val="21"/>
                    </w:rPr>
                    <w:t>t/a</w:t>
                  </w:r>
                  <w:r>
                    <w:rPr>
                      <w:rFonts w:hint="eastAsia" w:ascii="Times New Roman" w:hAnsi="Times New Roman" w:cs="Times New Roman"/>
                      <w:b/>
                      <w:bCs/>
                      <w:color w:val="auto"/>
                      <w:spacing w:val="5"/>
                      <w:sz w:val="21"/>
                      <w:szCs w:val="21"/>
                      <w:lang w:eastAsia="zh-CN"/>
                    </w:rPr>
                    <w:t>）</w:t>
                  </w:r>
                </w:p>
              </w:tc>
              <w:tc>
                <w:tcPr>
                  <w:tcW w:w="356" w:type="pct"/>
                  <w:vMerge w:val="continue"/>
                  <w:tcBorders>
                    <w:tl2br w:val="nil"/>
                    <w:tr2bl w:val="nil"/>
                  </w:tcBorders>
                  <w:noWrap w:val="0"/>
                  <w:vAlign w:val="center"/>
                </w:tcPr>
                <w:p w14:paraId="5F4D2E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p>
              </w:tc>
              <w:tc>
                <w:tcPr>
                  <w:tcW w:w="262" w:type="pct"/>
                  <w:tcBorders>
                    <w:tl2br w:val="nil"/>
                    <w:tr2bl w:val="nil"/>
                  </w:tcBorders>
                  <w:noWrap w:val="0"/>
                  <w:vAlign w:val="center"/>
                </w:tcPr>
                <w:p w14:paraId="430CE3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处理能力</w:t>
                  </w:r>
                </w:p>
              </w:tc>
              <w:tc>
                <w:tcPr>
                  <w:tcW w:w="356" w:type="pct"/>
                  <w:tcBorders>
                    <w:tl2br w:val="nil"/>
                    <w:tr2bl w:val="nil"/>
                  </w:tcBorders>
                  <w:noWrap w:val="0"/>
                  <w:vAlign w:val="center"/>
                </w:tcPr>
                <w:p w14:paraId="48252A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治理工艺</w:t>
                  </w:r>
                </w:p>
              </w:tc>
              <w:tc>
                <w:tcPr>
                  <w:tcW w:w="285" w:type="pct"/>
                  <w:tcBorders>
                    <w:tl2br w:val="nil"/>
                    <w:tr2bl w:val="nil"/>
                  </w:tcBorders>
                  <w:noWrap w:val="0"/>
                  <w:vAlign w:val="center"/>
                </w:tcPr>
                <w:p w14:paraId="68FD99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治理效率%</w:t>
                  </w:r>
                </w:p>
              </w:tc>
              <w:tc>
                <w:tcPr>
                  <w:tcW w:w="302" w:type="pct"/>
                  <w:tcBorders>
                    <w:tl2br w:val="nil"/>
                    <w:tr2bl w:val="nil"/>
                  </w:tcBorders>
                  <w:noWrap w:val="0"/>
                  <w:vAlign w:val="center"/>
                </w:tcPr>
                <w:p w14:paraId="79DA55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是否为可行性技术</w:t>
                  </w:r>
                </w:p>
              </w:tc>
              <w:tc>
                <w:tcPr>
                  <w:tcW w:w="617" w:type="pct"/>
                  <w:tcBorders>
                    <w:tl2br w:val="nil"/>
                    <w:tr2bl w:val="nil"/>
                  </w:tcBorders>
                  <w:noWrap w:val="0"/>
                  <w:vAlign w:val="center"/>
                </w:tcPr>
                <w:p w14:paraId="02CC47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pacing w:val="5"/>
                      <w:sz w:val="21"/>
                      <w:szCs w:val="21"/>
                      <w:lang w:eastAsia="zh-CN"/>
                    </w:rPr>
                  </w:pPr>
                  <w:r>
                    <w:rPr>
                      <w:rFonts w:hint="default" w:ascii="Times New Roman" w:hAnsi="Times New Roman" w:eastAsia="宋体" w:cs="Times New Roman"/>
                      <w:b/>
                      <w:bCs/>
                      <w:color w:val="auto"/>
                      <w:spacing w:val="5"/>
                      <w:sz w:val="21"/>
                      <w:szCs w:val="21"/>
                    </w:rPr>
                    <w:t>浓度</w:t>
                  </w:r>
                  <w:r>
                    <w:rPr>
                      <w:rFonts w:hint="eastAsia" w:ascii="Times New Roman" w:hAnsi="Times New Roman" w:cs="Times New Roman"/>
                      <w:b/>
                      <w:bCs/>
                      <w:color w:val="auto"/>
                      <w:spacing w:val="5"/>
                      <w:sz w:val="21"/>
                      <w:szCs w:val="21"/>
                      <w:lang w:eastAsia="zh-CN"/>
                    </w:rPr>
                    <w:t>（</w:t>
                  </w:r>
                  <w:r>
                    <w:rPr>
                      <w:rFonts w:hint="default" w:ascii="Times New Roman" w:hAnsi="Times New Roman" w:eastAsia="宋体" w:cs="Times New Roman"/>
                      <w:b/>
                      <w:bCs/>
                      <w:color w:val="auto"/>
                      <w:spacing w:val="5"/>
                      <w:sz w:val="21"/>
                      <w:szCs w:val="21"/>
                    </w:rPr>
                    <w:t>mg/m</w:t>
                  </w:r>
                  <w:r>
                    <w:rPr>
                      <w:rFonts w:hint="default" w:ascii="Times New Roman" w:hAnsi="Times New Roman" w:eastAsia="宋体" w:cs="Times New Roman"/>
                      <w:b/>
                      <w:bCs/>
                      <w:color w:val="auto"/>
                      <w:spacing w:val="5"/>
                      <w:sz w:val="21"/>
                      <w:szCs w:val="21"/>
                      <w:vertAlign w:val="superscript"/>
                    </w:rPr>
                    <w:t>3</w:t>
                  </w:r>
                  <w:r>
                    <w:rPr>
                      <w:rFonts w:hint="eastAsia" w:ascii="Times New Roman" w:hAnsi="Times New Roman" w:cs="Times New Roman"/>
                      <w:b/>
                      <w:bCs/>
                      <w:color w:val="auto"/>
                      <w:spacing w:val="5"/>
                      <w:sz w:val="21"/>
                      <w:szCs w:val="21"/>
                      <w:lang w:eastAsia="zh-CN"/>
                    </w:rPr>
                    <w:t>）</w:t>
                  </w:r>
                </w:p>
              </w:tc>
              <w:tc>
                <w:tcPr>
                  <w:tcW w:w="463" w:type="pct"/>
                  <w:tcBorders>
                    <w:tl2br w:val="nil"/>
                    <w:tr2bl w:val="nil"/>
                  </w:tcBorders>
                  <w:noWrap w:val="0"/>
                  <w:vAlign w:val="center"/>
                </w:tcPr>
                <w:p w14:paraId="3FDA7C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pacing w:val="5"/>
                      <w:sz w:val="21"/>
                      <w:szCs w:val="21"/>
                      <w:lang w:eastAsia="zh-CN"/>
                    </w:rPr>
                  </w:pPr>
                  <w:r>
                    <w:rPr>
                      <w:rFonts w:hint="default" w:ascii="Times New Roman" w:hAnsi="Times New Roman" w:eastAsia="宋体" w:cs="Times New Roman"/>
                      <w:b/>
                      <w:bCs/>
                      <w:color w:val="auto"/>
                      <w:spacing w:val="5"/>
                      <w:sz w:val="21"/>
                      <w:szCs w:val="21"/>
                    </w:rPr>
                    <w:t>排放量</w:t>
                  </w:r>
                  <w:r>
                    <w:rPr>
                      <w:rFonts w:hint="eastAsia" w:ascii="Times New Roman" w:hAnsi="Times New Roman" w:cs="Times New Roman"/>
                      <w:b/>
                      <w:bCs/>
                      <w:color w:val="auto"/>
                      <w:spacing w:val="5"/>
                      <w:sz w:val="21"/>
                      <w:szCs w:val="21"/>
                      <w:lang w:eastAsia="zh-CN"/>
                    </w:rPr>
                    <w:t>（</w:t>
                  </w:r>
                  <w:r>
                    <w:rPr>
                      <w:rFonts w:hint="default" w:ascii="Times New Roman" w:hAnsi="Times New Roman" w:eastAsia="宋体" w:cs="Times New Roman"/>
                      <w:b/>
                      <w:bCs/>
                      <w:color w:val="auto"/>
                      <w:spacing w:val="5"/>
                      <w:sz w:val="21"/>
                      <w:szCs w:val="21"/>
                    </w:rPr>
                    <w:t>t/a</w:t>
                  </w:r>
                  <w:r>
                    <w:rPr>
                      <w:rFonts w:hint="eastAsia" w:ascii="Times New Roman" w:hAnsi="Times New Roman" w:cs="Times New Roman"/>
                      <w:b/>
                      <w:bCs/>
                      <w:color w:val="auto"/>
                      <w:spacing w:val="5"/>
                      <w:sz w:val="21"/>
                      <w:szCs w:val="21"/>
                      <w:lang w:eastAsia="zh-CN"/>
                    </w:rPr>
                    <w:t>）</w:t>
                  </w:r>
                </w:p>
              </w:tc>
            </w:tr>
            <w:tr w14:paraId="1FB45EB9">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15" w:type="pct"/>
                  <w:tcBorders>
                    <w:tl2br w:val="nil"/>
                    <w:tr2bl w:val="nil"/>
                  </w:tcBorders>
                  <w:noWrap w:val="0"/>
                  <w:vAlign w:val="center"/>
                </w:tcPr>
                <w:p w14:paraId="61C6C7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选煤车间</w:t>
                  </w:r>
                </w:p>
              </w:tc>
              <w:tc>
                <w:tcPr>
                  <w:tcW w:w="433" w:type="pct"/>
                  <w:tcBorders>
                    <w:tl2br w:val="nil"/>
                    <w:tr2bl w:val="nil"/>
                  </w:tcBorders>
                  <w:noWrap w:val="0"/>
                  <w:vAlign w:val="center"/>
                </w:tcPr>
                <w:p w14:paraId="29AAF3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pacing w:val="5"/>
                      <w:sz w:val="21"/>
                      <w:szCs w:val="21"/>
                      <w:lang w:eastAsia="zh-CN"/>
                    </w:rPr>
                  </w:pPr>
                  <w:r>
                    <w:rPr>
                      <w:rFonts w:hint="default" w:ascii="Times New Roman" w:hAnsi="Times New Roman" w:eastAsia="宋体" w:cs="Times New Roman"/>
                      <w:color w:val="auto"/>
                      <w:spacing w:val="5"/>
                      <w:sz w:val="21"/>
                      <w:szCs w:val="21"/>
                    </w:rPr>
                    <w:t>选煤</w:t>
                  </w:r>
                  <w:r>
                    <w:rPr>
                      <w:rFonts w:hint="eastAsia" w:ascii="Times New Roman" w:hAnsi="Times New Roman" w:cs="Times New Roman"/>
                      <w:color w:val="auto"/>
                      <w:spacing w:val="5"/>
                      <w:sz w:val="21"/>
                      <w:szCs w:val="21"/>
                      <w:lang w:eastAsia="zh-CN"/>
                    </w:rPr>
                    <w:t>废水</w:t>
                  </w:r>
                </w:p>
              </w:tc>
              <w:tc>
                <w:tcPr>
                  <w:tcW w:w="631" w:type="pct"/>
                  <w:tcBorders>
                    <w:tl2br w:val="nil"/>
                    <w:tr2bl w:val="nil"/>
                  </w:tcBorders>
                  <w:noWrap w:val="0"/>
                  <w:vAlign w:val="center"/>
                </w:tcPr>
                <w:p w14:paraId="5F257B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SS</w:t>
                  </w:r>
                </w:p>
              </w:tc>
              <w:tc>
                <w:tcPr>
                  <w:tcW w:w="547" w:type="pct"/>
                  <w:tcBorders>
                    <w:tl2br w:val="nil"/>
                    <w:tr2bl w:val="nil"/>
                  </w:tcBorders>
                  <w:noWrap w:val="0"/>
                  <w:vAlign w:val="center"/>
                </w:tcPr>
                <w:p w14:paraId="2F7436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w:t>
                  </w:r>
                </w:p>
              </w:tc>
              <w:tc>
                <w:tcPr>
                  <w:tcW w:w="527" w:type="pct"/>
                  <w:tcBorders>
                    <w:tl2br w:val="nil"/>
                    <w:tr2bl w:val="nil"/>
                  </w:tcBorders>
                  <w:noWrap w:val="0"/>
                  <w:vAlign w:val="center"/>
                </w:tcPr>
                <w:p w14:paraId="70E75B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1092000</w:t>
                  </w:r>
                </w:p>
              </w:tc>
              <w:tc>
                <w:tcPr>
                  <w:tcW w:w="356" w:type="pct"/>
                  <w:tcBorders>
                    <w:tl2br w:val="nil"/>
                    <w:tr2bl w:val="nil"/>
                  </w:tcBorders>
                  <w:noWrap w:val="0"/>
                  <w:vAlign w:val="center"/>
                </w:tcPr>
                <w:p w14:paraId="05A58F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循环回用</w:t>
                  </w:r>
                </w:p>
              </w:tc>
              <w:tc>
                <w:tcPr>
                  <w:tcW w:w="262" w:type="pct"/>
                  <w:tcBorders>
                    <w:tl2br w:val="nil"/>
                    <w:tr2bl w:val="nil"/>
                  </w:tcBorders>
                  <w:noWrap w:val="0"/>
                  <w:vAlign w:val="center"/>
                </w:tcPr>
                <w:p w14:paraId="105591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w:t>
                  </w:r>
                </w:p>
              </w:tc>
              <w:tc>
                <w:tcPr>
                  <w:tcW w:w="356" w:type="pct"/>
                  <w:tcBorders>
                    <w:tl2br w:val="nil"/>
                    <w:tr2bl w:val="nil"/>
                  </w:tcBorders>
                  <w:noWrap w:val="0"/>
                  <w:vAlign w:val="center"/>
                </w:tcPr>
                <w:p w14:paraId="52A165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循环水池</w:t>
                  </w:r>
                </w:p>
              </w:tc>
              <w:tc>
                <w:tcPr>
                  <w:tcW w:w="285" w:type="pct"/>
                  <w:tcBorders>
                    <w:tl2br w:val="nil"/>
                    <w:tr2bl w:val="nil"/>
                  </w:tcBorders>
                  <w:noWrap w:val="0"/>
                  <w:vAlign w:val="center"/>
                </w:tcPr>
                <w:p w14:paraId="316501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100</w:t>
                  </w:r>
                </w:p>
              </w:tc>
              <w:tc>
                <w:tcPr>
                  <w:tcW w:w="302" w:type="pct"/>
                  <w:tcBorders>
                    <w:tl2br w:val="nil"/>
                    <w:tr2bl w:val="nil"/>
                  </w:tcBorders>
                  <w:noWrap w:val="0"/>
                  <w:vAlign w:val="center"/>
                </w:tcPr>
                <w:p w14:paraId="501CAB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是</w:t>
                  </w:r>
                </w:p>
              </w:tc>
              <w:tc>
                <w:tcPr>
                  <w:tcW w:w="617" w:type="pct"/>
                  <w:tcBorders>
                    <w:tl2br w:val="nil"/>
                    <w:tr2bl w:val="nil"/>
                  </w:tcBorders>
                  <w:noWrap w:val="0"/>
                  <w:vAlign w:val="center"/>
                </w:tcPr>
                <w:p w14:paraId="04E87F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w:t>
                  </w:r>
                </w:p>
              </w:tc>
              <w:tc>
                <w:tcPr>
                  <w:tcW w:w="463" w:type="pct"/>
                  <w:tcBorders>
                    <w:tl2br w:val="nil"/>
                    <w:tr2bl w:val="nil"/>
                  </w:tcBorders>
                  <w:noWrap w:val="0"/>
                  <w:vAlign w:val="center"/>
                </w:tcPr>
                <w:p w14:paraId="27A2C0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0</w:t>
                  </w:r>
                </w:p>
              </w:tc>
            </w:tr>
            <w:tr w14:paraId="4D95C070">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15" w:type="pct"/>
                  <w:tcBorders>
                    <w:tl2br w:val="nil"/>
                    <w:tr2bl w:val="nil"/>
                  </w:tcBorders>
                  <w:noWrap w:val="0"/>
                  <w:vAlign w:val="center"/>
                </w:tcPr>
                <w:p w14:paraId="33521E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厂区</w:t>
                  </w:r>
                </w:p>
              </w:tc>
              <w:tc>
                <w:tcPr>
                  <w:tcW w:w="433" w:type="pct"/>
                  <w:tcBorders>
                    <w:tl2br w:val="nil"/>
                    <w:tr2bl w:val="nil"/>
                  </w:tcBorders>
                  <w:noWrap w:val="0"/>
                  <w:vAlign w:val="center"/>
                </w:tcPr>
                <w:p w14:paraId="2198C7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pacing w:val="5"/>
                      <w:sz w:val="21"/>
                      <w:szCs w:val="21"/>
                      <w:lang w:eastAsia="zh-CN"/>
                    </w:rPr>
                  </w:pPr>
                  <w:r>
                    <w:rPr>
                      <w:rFonts w:hint="eastAsia" w:ascii="Times New Roman" w:hAnsi="Times New Roman" w:cs="Times New Roman"/>
                      <w:color w:val="auto"/>
                      <w:spacing w:val="5"/>
                      <w:sz w:val="21"/>
                      <w:szCs w:val="21"/>
                      <w:lang w:eastAsia="zh-CN"/>
                    </w:rPr>
                    <w:t>地面冲洗水</w:t>
                  </w:r>
                </w:p>
              </w:tc>
              <w:tc>
                <w:tcPr>
                  <w:tcW w:w="631" w:type="pct"/>
                  <w:tcBorders>
                    <w:tl2br w:val="nil"/>
                    <w:tr2bl w:val="nil"/>
                  </w:tcBorders>
                  <w:noWrap w:val="0"/>
                  <w:vAlign w:val="center"/>
                </w:tcPr>
                <w:p w14:paraId="1B5671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SS</w:t>
                  </w:r>
                </w:p>
              </w:tc>
              <w:tc>
                <w:tcPr>
                  <w:tcW w:w="547" w:type="pct"/>
                  <w:tcBorders>
                    <w:tl2br w:val="nil"/>
                    <w:tr2bl w:val="nil"/>
                  </w:tcBorders>
                  <w:noWrap w:val="0"/>
                  <w:vAlign w:val="center"/>
                </w:tcPr>
                <w:p w14:paraId="227B50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w:t>
                  </w:r>
                </w:p>
              </w:tc>
              <w:tc>
                <w:tcPr>
                  <w:tcW w:w="527" w:type="pct"/>
                  <w:tcBorders>
                    <w:tl2br w:val="nil"/>
                    <w:tr2bl w:val="nil"/>
                  </w:tcBorders>
                  <w:noWrap w:val="0"/>
                  <w:vAlign w:val="center"/>
                </w:tcPr>
                <w:p w14:paraId="050C6C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192</w:t>
                  </w:r>
                </w:p>
              </w:tc>
              <w:tc>
                <w:tcPr>
                  <w:tcW w:w="356" w:type="pct"/>
                  <w:tcBorders>
                    <w:tl2br w:val="nil"/>
                    <w:tr2bl w:val="nil"/>
                  </w:tcBorders>
                  <w:noWrap w:val="0"/>
                  <w:vAlign w:val="center"/>
                </w:tcPr>
                <w:p w14:paraId="66FFF1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收集回用</w:t>
                  </w:r>
                </w:p>
              </w:tc>
              <w:tc>
                <w:tcPr>
                  <w:tcW w:w="262" w:type="pct"/>
                  <w:tcBorders>
                    <w:tl2br w:val="nil"/>
                    <w:tr2bl w:val="nil"/>
                  </w:tcBorders>
                  <w:noWrap w:val="0"/>
                  <w:vAlign w:val="center"/>
                </w:tcPr>
                <w:p w14:paraId="631C1C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w:t>
                  </w:r>
                </w:p>
              </w:tc>
              <w:tc>
                <w:tcPr>
                  <w:tcW w:w="356" w:type="pct"/>
                  <w:tcBorders>
                    <w:tl2br w:val="nil"/>
                    <w:tr2bl w:val="nil"/>
                  </w:tcBorders>
                  <w:noWrap w:val="0"/>
                  <w:vAlign w:val="center"/>
                </w:tcPr>
                <w:p w14:paraId="0151F1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pacing w:val="5"/>
                      <w:sz w:val="21"/>
                      <w:szCs w:val="21"/>
                      <w:lang w:eastAsia="zh-CN"/>
                    </w:rPr>
                  </w:pPr>
                  <w:r>
                    <w:rPr>
                      <w:rFonts w:hint="eastAsia" w:ascii="Times New Roman" w:hAnsi="Times New Roman" w:cs="Times New Roman"/>
                      <w:color w:val="auto"/>
                      <w:spacing w:val="5"/>
                      <w:sz w:val="21"/>
                      <w:szCs w:val="21"/>
                      <w:lang w:eastAsia="zh-CN"/>
                    </w:rPr>
                    <w:t>循环水池</w:t>
                  </w:r>
                </w:p>
              </w:tc>
              <w:tc>
                <w:tcPr>
                  <w:tcW w:w="285" w:type="pct"/>
                  <w:tcBorders>
                    <w:tl2br w:val="nil"/>
                    <w:tr2bl w:val="nil"/>
                  </w:tcBorders>
                  <w:noWrap w:val="0"/>
                  <w:vAlign w:val="center"/>
                </w:tcPr>
                <w:p w14:paraId="7F761C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100</w:t>
                  </w:r>
                </w:p>
              </w:tc>
              <w:tc>
                <w:tcPr>
                  <w:tcW w:w="302" w:type="pct"/>
                  <w:tcBorders>
                    <w:tl2br w:val="nil"/>
                    <w:tr2bl w:val="nil"/>
                  </w:tcBorders>
                  <w:noWrap w:val="0"/>
                  <w:vAlign w:val="center"/>
                </w:tcPr>
                <w:p w14:paraId="4E092D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是</w:t>
                  </w:r>
                </w:p>
              </w:tc>
              <w:tc>
                <w:tcPr>
                  <w:tcW w:w="617" w:type="pct"/>
                  <w:tcBorders>
                    <w:tl2br w:val="nil"/>
                    <w:tr2bl w:val="nil"/>
                  </w:tcBorders>
                  <w:noWrap w:val="0"/>
                  <w:vAlign w:val="center"/>
                </w:tcPr>
                <w:p w14:paraId="4A7579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w:t>
                  </w:r>
                </w:p>
              </w:tc>
              <w:tc>
                <w:tcPr>
                  <w:tcW w:w="463" w:type="pct"/>
                  <w:tcBorders>
                    <w:tl2br w:val="nil"/>
                    <w:tr2bl w:val="nil"/>
                  </w:tcBorders>
                  <w:noWrap w:val="0"/>
                  <w:vAlign w:val="center"/>
                </w:tcPr>
                <w:p w14:paraId="0D7A51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0</w:t>
                  </w:r>
                </w:p>
              </w:tc>
            </w:tr>
            <w:tr w14:paraId="4E1212B4">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jc w:val="center"/>
              </w:trPr>
              <w:tc>
                <w:tcPr>
                  <w:tcW w:w="215" w:type="pct"/>
                  <w:tcBorders>
                    <w:tl2br w:val="nil"/>
                    <w:tr2bl w:val="nil"/>
                  </w:tcBorders>
                  <w:noWrap w:val="0"/>
                  <w:vAlign w:val="center"/>
                </w:tcPr>
                <w:p w14:paraId="2C5113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pacing w:val="5"/>
                      <w:sz w:val="21"/>
                      <w:szCs w:val="21"/>
                      <w:lang w:eastAsia="zh-CN"/>
                    </w:rPr>
                  </w:pPr>
                  <w:r>
                    <w:rPr>
                      <w:rFonts w:hint="eastAsia" w:ascii="Times New Roman" w:hAnsi="Times New Roman" w:cs="Times New Roman"/>
                      <w:color w:val="auto"/>
                      <w:spacing w:val="5"/>
                      <w:sz w:val="21"/>
                      <w:szCs w:val="21"/>
                      <w:lang w:eastAsia="zh-CN"/>
                    </w:rPr>
                    <w:t>员工生活</w:t>
                  </w:r>
                </w:p>
              </w:tc>
              <w:tc>
                <w:tcPr>
                  <w:tcW w:w="433" w:type="pct"/>
                  <w:tcBorders>
                    <w:tl2br w:val="nil"/>
                    <w:tr2bl w:val="nil"/>
                  </w:tcBorders>
                  <w:noWrap w:val="0"/>
                  <w:vAlign w:val="center"/>
                </w:tcPr>
                <w:p w14:paraId="702A83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pacing w:val="5"/>
                      <w:sz w:val="21"/>
                      <w:szCs w:val="21"/>
                      <w:lang w:eastAsia="zh-CN"/>
                    </w:rPr>
                  </w:pPr>
                  <w:r>
                    <w:rPr>
                      <w:rFonts w:hint="eastAsia" w:ascii="Times New Roman" w:hAnsi="Times New Roman" w:cs="Times New Roman"/>
                      <w:color w:val="auto"/>
                      <w:spacing w:val="5"/>
                      <w:sz w:val="21"/>
                      <w:szCs w:val="21"/>
                      <w:lang w:eastAsia="zh-CN"/>
                    </w:rPr>
                    <w:t>生活污水</w:t>
                  </w:r>
                </w:p>
              </w:tc>
              <w:tc>
                <w:tcPr>
                  <w:tcW w:w="631" w:type="pct"/>
                  <w:tcBorders>
                    <w:tl2br w:val="nil"/>
                    <w:tr2bl w:val="nil"/>
                  </w:tcBorders>
                  <w:noWrap w:val="0"/>
                  <w:vAlign w:val="center"/>
                </w:tcPr>
                <w:p w14:paraId="0C81C0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COD</w:t>
                  </w:r>
                </w:p>
                <w:p w14:paraId="4DDDD4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BOD</w:t>
                  </w:r>
                  <w:r>
                    <w:rPr>
                      <w:rFonts w:hint="eastAsia" w:ascii="Times New Roman" w:hAnsi="Times New Roman" w:cs="Times New Roman"/>
                      <w:color w:val="auto"/>
                      <w:spacing w:val="5"/>
                      <w:sz w:val="21"/>
                      <w:szCs w:val="21"/>
                      <w:vertAlign w:val="subscript"/>
                      <w:lang w:val="en-US" w:eastAsia="zh-CN"/>
                    </w:rPr>
                    <w:t>5</w:t>
                  </w:r>
                </w:p>
                <w:p w14:paraId="75664C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SS</w:t>
                  </w:r>
                </w:p>
                <w:p w14:paraId="2518D6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氨氮</w:t>
                  </w:r>
                </w:p>
                <w:p w14:paraId="146EE1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动植物油</w:t>
                  </w:r>
                </w:p>
              </w:tc>
              <w:tc>
                <w:tcPr>
                  <w:tcW w:w="547" w:type="pct"/>
                  <w:tcBorders>
                    <w:tl2br w:val="nil"/>
                    <w:tr2bl w:val="nil"/>
                  </w:tcBorders>
                  <w:noWrap w:val="0"/>
                  <w:vAlign w:val="center"/>
                </w:tcPr>
                <w:p w14:paraId="57884C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w:t>
                  </w:r>
                </w:p>
              </w:tc>
              <w:tc>
                <w:tcPr>
                  <w:tcW w:w="527" w:type="pct"/>
                  <w:tcBorders>
                    <w:tl2br w:val="nil"/>
                    <w:tr2bl w:val="nil"/>
                  </w:tcBorders>
                  <w:noWrap w:val="0"/>
                  <w:vAlign w:val="center"/>
                </w:tcPr>
                <w:p w14:paraId="08693E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844.8</w:t>
                  </w:r>
                </w:p>
              </w:tc>
              <w:tc>
                <w:tcPr>
                  <w:tcW w:w="356" w:type="pct"/>
                  <w:tcBorders>
                    <w:tl2br w:val="nil"/>
                    <w:tr2bl w:val="nil"/>
                  </w:tcBorders>
                  <w:noWrap w:val="0"/>
                  <w:vAlign w:val="center"/>
                </w:tcPr>
                <w:p w14:paraId="0E9EA1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pacing w:val="5"/>
                      <w:sz w:val="21"/>
                      <w:szCs w:val="21"/>
                      <w:lang w:eastAsia="zh-CN"/>
                    </w:rPr>
                  </w:pPr>
                  <w:r>
                    <w:rPr>
                      <w:rFonts w:hint="eastAsia" w:ascii="Times New Roman" w:hAnsi="Times New Roman" w:cs="Times New Roman"/>
                      <w:color w:val="auto"/>
                      <w:spacing w:val="5"/>
                      <w:sz w:val="21"/>
                      <w:szCs w:val="21"/>
                      <w:lang w:eastAsia="zh-CN"/>
                    </w:rPr>
                    <w:t>外运清掏</w:t>
                  </w:r>
                </w:p>
              </w:tc>
              <w:tc>
                <w:tcPr>
                  <w:tcW w:w="262" w:type="pct"/>
                  <w:tcBorders>
                    <w:tl2br w:val="nil"/>
                    <w:tr2bl w:val="nil"/>
                  </w:tcBorders>
                  <w:noWrap w:val="0"/>
                  <w:vAlign w:val="center"/>
                </w:tcPr>
                <w:p w14:paraId="61F5F7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w:t>
                  </w:r>
                </w:p>
              </w:tc>
              <w:tc>
                <w:tcPr>
                  <w:tcW w:w="356" w:type="pct"/>
                  <w:tcBorders>
                    <w:tl2br w:val="nil"/>
                    <w:tr2bl w:val="nil"/>
                  </w:tcBorders>
                  <w:noWrap w:val="0"/>
                  <w:vAlign w:val="center"/>
                </w:tcPr>
                <w:p w14:paraId="1B455C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pacing w:val="5"/>
                      <w:sz w:val="21"/>
                      <w:szCs w:val="21"/>
                      <w:lang w:eastAsia="zh-CN"/>
                    </w:rPr>
                  </w:pPr>
                  <w:r>
                    <w:rPr>
                      <w:rFonts w:hint="default" w:ascii="Times New Roman" w:hAnsi="Times New Roman" w:eastAsia="宋体" w:cs="Times New Roman"/>
                      <w:color w:val="auto"/>
                      <w:spacing w:val="5"/>
                      <w:sz w:val="21"/>
                      <w:szCs w:val="21"/>
                    </w:rPr>
                    <w:t>排入防渗旱厕，定期清掏，外运还田</w:t>
                  </w:r>
                </w:p>
              </w:tc>
              <w:tc>
                <w:tcPr>
                  <w:tcW w:w="285" w:type="pct"/>
                  <w:tcBorders>
                    <w:tl2br w:val="nil"/>
                    <w:tr2bl w:val="nil"/>
                  </w:tcBorders>
                  <w:noWrap w:val="0"/>
                  <w:vAlign w:val="center"/>
                </w:tcPr>
                <w:p w14:paraId="0C2CE6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100</w:t>
                  </w:r>
                </w:p>
              </w:tc>
              <w:tc>
                <w:tcPr>
                  <w:tcW w:w="302" w:type="pct"/>
                  <w:tcBorders>
                    <w:tl2br w:val="nil"/>
                    <w:tr2bl w:val="nil"/>
                  </w:tcBorders>
                  <w:noWrap w:val="0"/>
                  <w:vAlign w:val="center"/>
                </w:tcPr>
                <w:p w14:paraId="1C9D32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是</w:t>
                  </w:r>
                </w:p>
              </w:tc>
              <w:tc>
                <w:tcPr>
                  <w:tcW w:w="617" w:type="pct"/>
                  <w:tcBorders>
                    <w:tl2br w:val="nil"/>
                    <w:tr2bl w:val="nil"/>
                  </w:tcBorders>
                  <w:noWrap w:val="0"/>
                  <w:vAlign w:val="center"/>
                </w:tcPr>
                <w:p w14:paraId="2ECDCF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w:t>
                  </w:r>
                </w:p>
              </w:tc>
              <w:tc>
                <w:tcPr>
                  <w:tcW w:w="463" w:type="pct"/>
                  <w:tcBorders>
                    <w:tl2br w:val="nil"/>
                    <w:tr2bl w:val="nil"/>
                  </w:tcBorders>
                  <w:noWrap w:val="0"/>
                  <w:vAlign w:val="center"/>
                </w:tcPr>
                <w:p w14:paraId="355495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0</w:t>
                  </w:r>
                </w:p>
              </w:tc>
            </w:tr>
          </w:tbl>
          <w:p w14:paraId="49DEA82F">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kern w:val="2"/>
                <w:sz w:val="24"/>
                <w:szCs w:val="24"/>
                <w:lang w:val="en-US" w:eastAsia="zh-CN" w:bidi="ar-SA"/>
              </w:rPr>
              <w:t>3、</w:t>
            </w:r>
            <w:r>
              <w:rPr>
                <w:rFonts w:hint="default" w:ascii="Times New Roman" w:hAnsi="Times New Roman" w:eastAsia="宋体" w:cs="Times New Roman"/>
                <w:b/>
                <w:bCs/>
                <w:color w:val="auto"/>
                <w:sz w:val="24"/>
                <w:szCs w:val="24"/>
                <w:highlight w:val="none"/>
                <w:lang w:eastAsia="zh-CN"/>
              </w:rPr>
              <w:t>噪声</w:t>
            </w:r>
          </w:p>
          <w:p w14:paraId="2CDCF438">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w:t>
            </w:r>
            <w:r>
              <w:rPr>
                <w:rFonts w:hint="eastAsia" w:ascii="Times New Roman" w:hAnsi="Times New Roman" w:cs="Times New Roman"/>
                <w:color w:val="auto"/>
                <w:sz w:val="24"/>
                <w:highlight w:val="none"/>
                <w:lang w:eastAsia="zh-CN"/>
              </w:rPr>
              <w:t>）噪声源强核算</w:t>
            </w:r>
          </w:p>
          <w:p w14:paraId="6D7F8C98">
            <w:pPr>
              <w:keepNext w:val="0"/>
              <w:keepLines w:val="0"/>
              <w:pageBreakBefore w:val="0"/>
              <w:kinsoku/>
              <w:wordWrap/>
              <w:overflowPunct/>
              <w:topLinePunct w:val="0"/>
              <w:autoSpaceDE/>
              <w:autoSpaceDN/>
              <w:bidi w:val="0"/>
              <w:spacing w:line="360" w:lineRule="auto"/>
              <w:ind w:left="0" w:leftChars="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本项目主要为洗选车间设备噪声，声源噪声级在65</w:t>
            </w:r>
            <w:r>
              <w:rPr>
                <w:rFonts w:hint="eastAsia" w:ascii="Times New Roman" w:hAnsi="Times New Roman" w:cs="Times New Roman"/>
                <w:color w:val="auto"/>
                <w:sz w:val="24"/>
                <w:highlight w:val="none"/>
                <w:lang w:val="en-US" w:eastAsia="zh-CN"/>
              </w:rPr>
              <w:t>-80</w:t>
            </w:r>
            <w:r>
              <w:rPr>
                <w:rFonts w:hint="default" w:ascii="Times New Roman" w:hAnsi="Times New Roman" w:eastAsia="宋体" w:cs="Times New Roman"/>
                <w:color w:val="auto"/>
                <w:sz w:val="24"/>
                <w:highlight w:val="none"/>
              </w:rPr>
              <w:t>dB（A）之间。经设备基础减震、安装隔声罩和洗选车间墙体隔声后，车间外噪声设备的噪声值降至35-60dB（A）。噪声源主要为高频筛、水泵、压滤机、空气压缩机等。</w:t>
            </w:r>
          </w:p>
          <w:p w14:paraId="0C3482CC">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表4-</w:t>
            </w:r>
            <w:r>
              <w:rPr>
                <w:rFonts w:hint="eastAsia" w:eastAsia="宋体" w:cs="Times New Roman"/>
                <w:b/>
                <w:color w:val="auto"/>
                <w:kern w:val="2"/>
                <w:sz w:val="21"/>
                <w:szCs w:val="21"/>
                <w:highlight w:val="none"/>
                <w:lang w:val="en-US" w:eastAsia="zh-CN" w:bidi="ar-SA"/>
              </w:rPr>
              <w:t>5</w:t>
            </w:r>
            <w:r>
              <w:rPr>
                <w:rFonts w:hint="eastAsia" w:ascii="Times New Roman" w:hAnsi="Times New Roman" w:eastAsia="宋体" w:cs="Times New Roman"/>
                <w:b/>
                <w:color w:val="auto"/>
                <w:kern w:val="2"/>
                <w:sz w:val="21"/>
                <w:szCs w:val="21"/>
                <w:highlight w:val="none"/>
                <w:lang w:val="en-US" w:eastAsia="zh-CN" w:bidi="ar-SA"/>
              </w:rPr>
              <w:t xml:space="preserve"> </w:t>
            </w:r>
            <w:r>
              <w:rPr>
                <w:rFonts w:hint="default" w:ascii="Times New Roman" w:hAnsi="Times New Roman" w:eastAsia="宋体" w:cs="Times New Roman"/>
                <w:b/>
                <w:color w:val="auto"/>
                <w:kern w:val="2"/>
                <w:sz w:val="21"/>
                <w:szCs w:val="21"/>
                <w:highlight w:val="none"/>
                <w:lang w:val="en-US" w:eastAsia="zh-CN" w:bidi="ar-SA"/>
              </w:rPr>
              <w:t>本项目噪声污染源源强核算结果及相关参数一览表</w:t>
            </w:r>
          </w:p>
          <w:tbl>
            <w:tblPr>
              <w:tblStyle w:val="31"/>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86"/>
              <w:gridCol w:w="1456"/>
              <w:gridCol w:w="874"/>
              <w:gridCol w:w="839"/>
              <w:gridCol w:w="939"/>
              <w:gridCol w:w="1023"/>
              <w:gridCol w:w="2590"/>
            </w:tblGrid>
            <w:tr w14:paraId="1280A7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96" w:type="pct"/>
                  <w:tcBorders>
                    <w:tl2br w:val="nil"/>
                    <w:tr2bl w:val="nil"/>
                  </w:tcBorders>
                  <w:noWrap w:val="0"/>
                  <w:vAlign w:val="center"/>
                </w:tcPr>
                <w:p w14:paraId="0205F568">
                  <w:pPr>
                    <w:pStyle w:val="111"/>
                    <w:spacing w:line="240" w:lineRule="auto"/>
                    <w:ind w:firstLine="0" w:firstLineChars="0"/>
                    <w:jc w:val="center"/>
                    <w:rPr>
                      <w:rFonts w:ascii="Times New Roman" w:hAnsi="Times New Roman"/>
                      <w:b/>
                      <w:bCs w:val="0"/>
                      <w:color w:val="auto"/>
                      <w:sz w:val="21"/>
                      <w:szCs w:val="21"/>
                      <w:lang w:val="en-US"/>
                    </w:rPr>
                  </w:pPr>
                  <w:r>
                    <w:rPr>
                      <w:rFonts w:hint="eastAsia" w:ascii="Times New Roman" w:hAnsi="Times New Roman"/>
                      <w:b/>
                      <w:bCs w:val="0"/>
                      <w:color w:val="auto"/>
                      <w:sz w:val="21"/>
                      <w:szCs w:val="21"/>
                      <w:lang w:val="en-US"/>
                    </w:rPr>
                    <w:t>序号</w:t>
                  </w:r>
                </w:p>
              </w:tc>
              <w:tc>
                <w:tcPr>
                  <w:tcW w:w="887" w:type="pct"/>
                  <w:tcBorders>
                    <w:tl2br w:val="nil"/>
                    <w:tr2bl w:val="nil"/>
                  </w:tcBorders>
                  <w:noWrap w:val="0"/>
                  <w:vAlign w:val="center"/>
                </w:tcPr>
                <w:p w14:paraId="550E3597">
                  <w:pPr>
                    <w:pStyle w:val="111"/>
                    <w:spacing w:line="240" w:lineRule="auto"/>
                    <w:ind w:firstLine="0" w:firstLineChars="0"/>
                    <w:jc w:val="center"/>
                    <w:rPr>
                      <w:rFonts w:hint="eastAsia" w:ascii="Times New Roman" w:hAnsi="Times New Roman"/>
                      <w:b/>
                      <w:bCs w:val="0"/>
                      <w:color w:val="auto"/>
                      <w:sz w:val="21"/>
                      <w:szCs w:val="21"/>
                      <w:lang w:val="en-US"/>
                    </w:rPr>
                  </w:pPr>
                  <w:r>
                    <w:rPr>
                      <w:rFonts w:hint="eastAsia" w:ascii="Times New Roman" w:hAnsi="Times New Roman"/>
                      <w:b/>
                      <w:bCs w:val="0"/>
                      <w:color w:val="auto"/>
                      <w:sz w:val="21"/>
                      <w:szCs w:val="21"/>
                      <w:lang w:val="en-US"/>
                    </w:rPr>
                    <w:t>名称</w:t>
                  </w:r>
                </w:p>
              </w:tc>
              <w:tc>
                <w:tcPr>
                  <w:tcW w:w="532" w:type="pct"/>
                  <w:tcBorders>
                    <w:tl2br w:val="nil"/>
                    <w:tr2bl w:val="nil"/>
                  </w:tcBorders>
                  <w:noWrap w:val="0"/>
                  <w:vAlign w:val="center"/>
                </w:tcPr>
                <w:p w14:paraId="2037A258">
                  <w:pPr>
                    <w:pStyle w:val="111"/>
                    <w:spacing w:line="240" w:lineRule="auto"/>
                    <w:ind w:firstLine="0" w:firstLineChars="0"/>
                    <w:jc w:val="center"/>
                    <w:rPr>
                      <w:rFonts w:hint="eastAsia" w:ascii="Times New Roman" w:hAnsi="Times New Roman"/>
                      <w:b/>
                      <w:bCs w:val="0"/>
                      <w:color w:val="auto"/>
                      <w:sz w:val="21"/>
                      <w:szCs w:val="21"/>
                      <w:lang w:val="en-US"/>
                    </w:rPr>
                  </w:pPr>
                  <w:r>
                    <w:rPr>
                      <w:rFonts w:hint="eastAsia" w:ascii="Times New Roman" w:hAnsi="Times New Roman"/>
                      <w:b/>
                      <w:bCs w:val="0"/>
                      <w:color w:val="auto"/>
                      <w:sz w:val="21"/>
                      <w:szCs w:val="21"/>
                      <w:lang w:val="en-US"/>
                    </w:rPr>
                    <w:t>声源类型</w:t>
                  </w:r>
                </w:p>
              </w:tc>
              <w:tc>
                <w:tcPr>
                  <w:tcW w:w="511" w:type="pct"/>
                  <w:tcBorders>
                    <w:tl2br w:val="nil"/>
                    <w:tr2bl w:val="nil"/>
                  </w:tcBorders>
                  <w:noWrap w:val="0"/>
                  <w:vAlign w:val="center"/>
                </w:tcPr>
                <w:p w14:paraId="1B08C39F">
                  <w:pPr>
                    <w:pStyle w:val="111"/>
                    <w:spacing w:line="240" w:lineRule="auto"/>
                    <w:ind w:firstLine="0" w:firstLineChars="0"/>
                    <w:jc w:val="center"/>
                    <w:rPr>
                      <w:rFonts w:hint="eastAsia" w:ascii="Times New Roman" w:hAnsi="Times New Roman"/>
                      <w:b/>
                      <w:bCs w:val="0"/>
                      <w:color w:val="auto"/>
                      <w:sz w:val="21"/>
                      <w:szCs w:val="21"/>
                      <w:lang w:val="en-US"/>
                    </w:rPr>
                  </w:pPr>
                  <w:r>
                    <w:rPr>
                      <w:rFonts w:hint="eastAsia" w:ascii="Times New Roman" w:hAnsi="Times New Roman"/>
                      <w:b/>
                      <w:bCs w:val="0"/>
                      <w:color w:val="auto"/>
                      <w:sz w:val="21"/>
                      <w:szCs w:val="21"/>
                      <w:lang w:val="en-US"/>
                    </w:rPr>
                    <w:t>持续时间h/d</w:t>
                  </w:r>
                </w:p>
              </w:tc>
              <w:tc>
                <w:tcPr>
                  <w:tcW w:w="572" w:type="pct"/>
                  <w:tcBorders>
                    <w:tl2br w:val="nil"/>
                    <w:tr2bl w:val="nil"/>
                  </w:tcBorders>
                  <w:noWrap w:val="0"/>
                  <w:vAlign w:val="center"/>
                </w:tcPr>
                <w:p w14:paraId="71FE6DBA">
                  <w:pPr>
                    <w:pStyle w:val="111"/>
                    <w:spacing w:line="240" w:lineRule="auto"/>
                    <w:ind w:firstLine="0" w:firstLineChars="0"/>
                    <w:jc w:val="center"/>
                    <w:rPr>
                      <w:rFonts w:ascii="Times New Roman" w:hAnsi="Times New Roman"/>
                      <w:b/>
                      <w:bCs w:val="0"/>
                      <w:color w:val="auto"/>
                      <w:sz w:val="21"/>
                      <w:szCs w:val="21"/>
                      <w:lang w:val="en-US"/>
                    </w:rPr>
                  </w:pPr>
                  <w:r>
                    <w:rPr>
                      <w:rFonts w:hint="eastAsia" w:ascii="Times New Roman" w:hAnsi="Times New Roman"/>
                      <w:b/>
                      <w:bCs w:val="0"/>
                      <w:color w:val="auto"/>
                      <w:sz w:val="21"/>
                      <w:szCs w:val="21"/>
                      <w:lang w:val="en-US"/>
                    </w:rPr>
                    <w:t>噪声源强</w:t>
                  </w:r>
                  <w:r>
                    <w:rPr>
                      <w:rFonts w:ascii="Times New Roman" w:hAnsi="Times New Roman"/>
                      <w:b/>
                      <w:bCs w:val="0"/>
                      <w:color w:val="auto"/>
                      <w:sz w:val="21"/>
                      <w:szCs w:val="21"/>
                      <w:lang w:val="en-US"/>
                    </w:rPr>
                    <w:t>dB</w:t>
                  </w:r>
                  <w:r>
                    <w:rPr>
                      <w:rFonts w:hint="eastAsia" w:ascii="Times New Roman" w:hAnsi="Times New Roman"/>
                      <w:b/>
                      <w:bCs w:val="0"/>
                      <w:color w:val="auto"/>
                      <w:sz w:val="21"/>
                      <w:szCs w:val="21"/>
                      <w:lang w:val="en-US" w:eastAsia="zh-CN"/>
                    </w:rPr>
                    <w:t>（</w:t>
                  </w:r>
                  <w:r>
                    <w:rPr>
                      <w:rFonts w:ascii="Times New Roman" w:hAnsi="Times New Roman"/>
                      <w:b/>
                      <w:bCs w:val="0"/>
                      <w:color w:val="auto"/>
                      <w:sz w:val="21"/>
                      <w:szCs w:val="21"/>
                      <w:lang w:val="en-US"/>
                    </w:rPr>
                    <w:t>A</w:t>
                  </w:r>
                  <w:r>
                    <w:rPr>
                      <w:rFonts w:hint="eastAsia" w:ascii="Times New Roman" w:hAnsi="Times New Roman"/>
                      <w:b/>
                      <w:bCs w:val="0"/>
                      <w:color w:val="auto"/>
                      <w:sz w:val="21"/>
                      <w:szCs w:val="21"/>
                      <w:lang w:val="en-US" w:eastAsia="zh-CN"/>
                    </w:rPr>
                    <w:t>）</w:t>
                  </w:r>
                  <w:r>
                    <w:rPr>
                      <w:rFonts w:ascii="Times New Roman" w:hAnsi="Times New Roman"/>
                      <w:b/>
                      <w:bCs w:val="0"/>
                      <w:color w:val="auto"/>
                      <w:sz w:val="21"/>
                      <w:szCs w:val="21"/>
                      <w:lang w:val="en-US"/>
                    </w:rPr>
                    <w:t>/</w:t>
                  </w:r>
                  <w:r>
                    <w:rPr>
                      <w:rFonts w:hint="eastAsia" w:ascii="Times New Roman" w:hAnsi="Times New Roman"/>
                      <w:b/>
                      <w:bCs w:val="0"/>
                      <w:color w:val="auto"/>
                      <w:sz w:val="21"/>
                      <w:szCs w:val="21"/>
                      <w:lang w:val="en-US"/>
                    </w:rPr>
                    <w:t>单台</w:t>
                  </w:r>
                </w:p>
              </w:tc>
              <w:tc>
                <w:tcPr>
                  <w:tcW w:w="623" w:type="pct"/>
                  <w:tcBorders>
                    <w:tl2br w:val="nil"/>
                    <w:tr2bl w:val="nil"/>
                  </w:tcBorders>
                  <w:noWrap w:val="0"/>
                  <w:vAlign w:val="center"/>
                </w:tcPr>
                <w:p w14:paraId="0B120327">
                  <w:pPr>
                    <w:pStyle w:val="111"/>
                    <w:spacing w:line="240" w:lineRule="auto"/>
                    <w:ind w:firstLine="0" w:firstLineChars="0"/>
                    <w:jc w:val="center"/>
                    <w:rPr>
                      <w:rFonts w:hint="eastAsia" w:ascii="Times New Roman" w:hAnsi="Times New Roman"/>
                      <w:b/>
                      <w:bCs w:val="0"/>
                      <w:color w:val="auto"/>
                      <w:sz w:val="21"/>
                      <w:szCs w:val="21"/>
                      <w:lang w:val="en-US"/>
                    </w:rPr>
                  </w:pPr>
                  <w:r>
                    <w:rPr>
                      <w:rFonts w:hint="eastAsia" w:ascii="Times New Roman" w:hAnsi="Times New Roman"/>
                      <w:b/>
                      <w:bCs w:val="0"/>
                      <w:color w:val="auto"/>
                      <w:sz w:val="21"/>
                      <w:szCs w:val="21"/>
                      <w:lang w:val="en-US"/>
                    </w:rPr>
                    <w:t>位置</w:t>
                  </w:r>
                </w:p>
              </w:tc>
              <w:tc>
                <w:tcPr>
                  <w:tcW w:w="1577" w:type="pct"/>
                  <w:tcBorders>
                    <w:tl2br w:val="nil"/>
                    <w:tr2bl w:val="nil"/>
                  </w:tcBorders>
                  <w:noWrap w:val="0"/>
                  <w:vAlign w:val="center"/>
                </w:tcPr>
                <w:p w14:paraId="0847480F">
                  <w:pPr>
                    <w:pStyle w:val="111"/>
                    <w:spacing w:line="240" w:lineRule="auto"/>
                    <w:ind w:firstLine="0" w:firstLineChars="0"/>
                    <w:jc w:val="center"/>
                    <w:rPr>
                      <w:rFonts w:ascii="Times New Roman" w:hAnsi="Times New Roman"/>
                      <w:b/>
                      <w:bCs w:val="0"/>
                      <w:color w:val="auto"/>
                      <w:sz w:val="21"/>
                      <w:szCs w:val="21"/>
                      <w:lang w:val="en-US"/>
                    </w:rPr>
                  </w:pPr>
                  <w:r>
                    <w:rPr>
                      <w:rFonts w:hint="eastAsia" w:ascii="Times New Roman" w:hAnsi="Times New Roman"/>
                      <w:b/>
                      <w:bCs w:val="0"/>
                      <w:color w:val="auto"/>
                      <w:sz w:val="21"/>
                      <w:szCs w:val="21"/>
                      <w:lang w:val="en-US"/>
                    </w:rPr>
                    <w:t>治理措施</w:t>
                  </w:r>
                </w:p>
              </w:tc>
            </w:tr>
            <w:tr w14:paraId="5C9D31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96" w:type="pct"/>
                  <w:tcBorders>
                    <w:tl2br w:val="nil"/>
                    <w:tr2bl w:val="nil"/>
                  </w:tcBorders>
                  <w:noWrap w:val="0"/>
                  <w:vAlign w:val="center"/>
                </w:tcPr>
                <w:p w14:paraId="7B6484AA">
                  <w:pPr>
                    <w:pStyle w:val="112"/>
                    <w:rPr>
                      <w:rFonts w:ascii="Times New Roman" w:hAnsi="Times New Roman"/>
                      <w:color w:val="auto"/>
                      <w:sz w:val="21"/>
                      <w:szCs w:val="21"/>
                    </w:rPr>
                  </w:pPr>
                  <w:r>
                    <w:rPr>
                      <w:rFonts w:hint="eastAsia" w:ascii="Times New Roman" w:hAnsi="Times New Roman"/>
                      <w:color w:val="auto"/>
                      <w:sz w:val="21"/>
                      <w:szCs w:val="21"/>
                    </w:rPr>
                    <w:t>1</w:t>
                  </w:r>
                </w:p>
              </w:tc>
              <w:tc>
                <w:tcPr>
                  <w:tcW w:w="887" w:type="pct"/>
                  <w:tcBorders>
                    <w:tl2br w:val="nil"/>
                    <w:tr2bl w:val="nil"/>
                  </w:tcBorders>
                  <w:noWrap w:val="0"/>
                  <w:vAlign w:val="center"/>
                </w:tcPr>
                <w:p w14:paraId="6082F3FC">
                  <w:pPr>
                    <w:pStyle w:val="63"/>
                    <w:adjustRightInd w:val="0"/>
                    <w:snapToGrid w:val="0"/>
                    <w:spacing w:line="240" w:lineRule="auto"/>
                    <w:ind w:firstLine="0" w:firstLineChars="0"/>
                    <w:rPr>
                      <w:rFonts w:hint="default" w:ascii="Times New Roman" w:hAnsi="Times New Roman" w:eastAsia="宋体"/>
                      <w:color w:val="auto"/>
                      <w:sz w:val="21"/>
                      <w:szCs w:val="21"/>
                      <w:lang w:val="en-US" w:eastAsia="zh-CN"/>
                    </w:rPr>
                  </w:pPr>
                  <w:r>
                    <w:rPr>
                      <w:rFonts w:hint="eastAsia" w:ascii="Times New Roman" w:hAnsi="Times New Roman" w:cs="Times New Roman"/>
                      <w:b w:val="0"/>
                      <w:bCs/>
                      <w:color w:val="auto"/>
                      <w:sz w:val="21"/>
                      <w:szCs w:val="21"/>
                      <w:highlight w:val="none"/>
                      <w:lang w:eastAsia="zh-CN"/>
                    </w:rPr>
                    <w:t>跳汰机</w:t>
                  </w:r>
                </w:p>
              </w:tc>
              <w:tc>
                <w:tcPr>
                  <w:tcW w:w="532" w:type="pct"/>
                  <w:vMerge w:val="restart"/>
                  <w:tcBorders>
                    <w:tl2br w:val="nil"/>
                    <w:tr2bl w:val="nil"/>
                  </w:tcBorders>
                  <w:noWrap w:val="0"/>
                  <w:vAlign w:val="center"/>
                </w:tcPr>
                <w:p w14:paraId="0929780B">
                  <w:pPr>
                    <w:jc w:val="center"/>
                    <w:textAlignment w:val="center"/>
                    <w:rPr>
                      <w:rFonts w:hint="eastAsia" w:ascii="Times New Roman" w:hAnsi="Times New Roman"/>
                      <w:color w:val="auto"/>
                      <w:sz w:val="21"/>
                      <w:szCs w:val="21"/>
                      <w:lang w:eastAsia="zh-CN"/>
                    </w:rPr>
                  </w:pPr>
                  <w:r>
                    <w:rPr>
                      <w:rFonts w:hint="eastAsia" w:ascii="Times New Roman" w:hAnsi="Times New Roman"/>
                      <w:color w:val="auto"/>
                      <w:sz w:val="21"/>
                      <w:szCs w:val="21"/>
                      <w:lang w:eastAsia="zh-CN"/>
                    </w:rPr>
                    <w:t>频发</w:t>
                  </w:r>
                </w:p>
              </w:tc>
              <w:tc>
                <w:tcPr>
                  <w:tcW w:w="511" w:type="pct"/>
                  <w:vMerge w:val="restart"/>
                  <w:tcBorders>
                    <w:tl2br w:val="nil"/>
                    <w:tr2bl w:val="nil"/>
                  </w:tcBorders>
                  <w:noWrap w:val="0"/>
                  <w:vAlign w:val="center"/>
                </w:tcPr>
                <w:p w14:paraId="07C6577C">
                  <w:pPr>
                    <w:jc w:val="center"/>
                    <w:textAlignment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3300</w:t>
                  </w:r>
                </w:p>
              </w:tc>
              <w:tc>
                <w:tcPr>
                  <w:tcW w:w="572" w:type="pct"/>
                  <w:tcBorders>
                    <w:tl2br w:val="nil"/>
                    <w:tr2bl w:val="nil"/>
                  </w:tcBorders>
                  <w:noWrap w:val="0"/>
                  <w:vAlign w:val="center"/>
                </w:tcPr>
                <w:p w14:paraId="08AAC093">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jc w:val="center"/>
                    <w:textAlignment w:val="center"/>
                    <w:rPr>
                      <w:rFonts w:hint="default" w:ascii="Times New Roman" w:hAnsi="Times New Roman" w:eastAsia="宋体"/>
                      <w:bCs/>
                      <w:color w:val="auto"/>
                      <w:kern w:val="0"/>
                      <w:sz w:val="21"/>
                      <w:szCs w:val="21"/>
                      <w:lang w:val="en-US" w:eastAsia="zh-CN"/>
                    </w:rPr>
                  </w:pPr>
                  <w:r>
                    <w:rPr>
                      <w:rFonts w:hint="eastAsia" w:ascii="Times New Roman" w:hAnsi="Times New Roman" w:cs="Times New Roman"/>
                      <w:color w:val="auto"/>
                      <w:sz w:val="21"/>
                      <w:szCs w:val="21"/>
                      <w:lang w:val="en-US" w:eastAsia="zh-CN"/>
                    </w:rPr>
                    <w:t>80</w:t>
                  </w:r>
                </w:p>
              </w:tc>
              <w:tc>
                <w:tcPr>
                  <w:tcW w:w="623" w:type="pct"/>
                  <w:vMerge w:val="restart"/>
                  <w:tcBorders>
                    <w:tl2br w:val="nil"/>
                    <w:tr2bl w:val="nil"/>
                  </w:tcBorders>
                  <w:noWrap w:val="0"/>
                  <w:vAlign w:val="center"/>
                </w:tcPr>
                <w:p w14:paraId="44A945DC">
                  <w:pPr>
                    <w:jc w:val="center"/>
                    <w:textAlignment w:val="center"/>
                    <w:rPr>
                      <w:rFonts w:ascii="Times New Roman" w:hAnsi="Times New Roman"/>
                      <w:color w:val="auto"/>
                      <w:sz w:val="21"/>
                      <w:szCs w:val="21"/>
                    </w:rPr>
                  </w:pPr>
                  <w:r>
                    <w:rPr>
                      <w:rFonts w:hint="eastAsia" w:ascii="Times New Roman" w:hAnsi="Times New Roman"/>
                      <w:color w:val="auto"/>
                      <w:sz w:val="21"/>
                      <w:szCs w:val="21"/>
                    </w:rPr>
                    <w:t>厂房内</w:t>
                  </w:r>
                </w:p>
              </w:tc>
              <w:tc>
                <w:tcPr>
                  <w:tcW w:w="1577" w:type="pct"/>
                  <w:vMerge w:val="restart"/>
                  <w:tcBorders>
                    <w:tl2br w:val="nil"/>
                    <w:tr2bl w:val="nil"/>
                  </w:tcBorders>
                  <w:noWrap w:val="0"/>
                  <w:vAlign w:val="center"/>
                </w:tcPr>
                <w:p w14:paraId="2FCF7452">
                  <w:pPr>
                    <w:pStyle w:val="111"/>
                    <w:spacing w:line="240" w:lineRule="auto"/>
                    <w:ind w:firstLine="0" w:firstLineChars="0"/>
                    <w:jc w:val="both"/>
                    <w:rPr>
                      <w:rFonts w:ascii="Times New Roman" w:hAnsi="Times New Roman"/>
                      <w:color w:val="auto"/>
                      <w:sz w:val="21"/>
                      <w:szCs w:val="21"/>
                      <w:lang w:val="en-US"/>
                    </w:rPr>
                  </w:pPr>
                  <w:r>
                    <w:rPr>
                      <w:rFonts w:hint="eastAsia" w:ascii="Times New Roman" w:hAnsi="Times New Roman"/>
                      <w:color w:val="auto"/>
                      <w:sz w:val="21"/>
                      <w:szCs w:val="21"/>
                      <w:lang w:val="en-US"/>
                    </w:rPr>
                    <w:t>位于厂房内，</w:t>
                  </w:r>
                  <w:r>
                    <w:rPr>
                      <w:rFonts w:hint="default" w:ascii="Times New Roman" w:hAnsi="Times New Roman" w:eastAsia="宋体" w:cs="Times New Roman"/>
                      <w:b w:val="0"/>
                      <w:bCs/>
                      <w:color w:val="auto"/>
                      <w:sz w:val="21"/>
                      <w:szCs w:val="21"/>
                      <w:highlight w:val="none"/>
                    </w:rPr>
                    <w:t>选用低噪声的设备，并将厂房主体进行半封闭，墙体采用隔音材料，设备安装时设计加减振垫</w:t>
                  </w:r>
                </w:p>
              </w:tc>
            </w:tr>
            <w:tr w14:paraId="144259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96" w:type="pct"/>
                  <w:tcBorders>
                    <w:tl2br w:val="nil"/>
                    <w:tr2bl w:val="nil"/>
                  </w:tcBorders>
                  <w:noWrap w:val="0"/>
                  <w:vAlign w:val="center"/>
                </w:tcPr>
                <w:p w14:paraId="176D9545">
                  <w:pPr>
                    <w:pStyle w:val="112"/>
                    <w:rPr>
                      <w:rFonts w:ascii="Times New Roman" w:hAnsi="Times New Roman"/>
                      <w:color w:val="auto"/>
                      <w:sz w:val="21"/>
                      <w:szCs w:val="21"/>
                    </w:rPr>
                  </w:pPr>
                  <w:r>
                    <w:rPr>
                      <w:rFonts w:hint="eastAsia" w:ascii="Times New Roman" w:hAnsi="Times New Roman"/>
                      <w:color w:val="auto"/>
                      <w:sz w:val="21"/>
                      <w:szCs w:val="21"/>
                    </w:rPr>
                    <w:t>2</w:t>
                  </w:r>
                </w:p>
              </w:tc>
              <w:tc>
                <w:tcPr>
                  <w:tcW w:w="887" w:type="pct"/>
                  <w:tcBorders>
                    <w:tl2br w:val="nil"/>
                    <w:tr2bl w:val="nil"/>
                  </w:tcBorders>
                  <w:noWrap w:val="0"/>
                  <w:vAlign w:val="center"/>
                </w:tcPr>
                <w:p w14:paraId="5BD15A6C">
                  <w:pPr>
                    <w:pStyle w:val="63"/>
                    <w:adjustRightInd w:val="0"/>
                    <w:snapToGrid w:val="0"/>
                    <w:spacing w:line="240" w:lineRule="auto"/>
                    <w:ind w:firstLine="0" w:firstLineChars="0"/>
                    <w:rPr>
                      <w:rFonts w:hint="default" w:ascii="Times New Roman" w:hAnsi="Times New Roman" w:eastAsia="宋体"/>
                      <w:color w:val="auto"/>
                      <w:sz w:val="21"/>
                      <w:szCs w:val="21"/>
                      <w:lang w:val="en-US" w:eastAsia="zh-CN"/>
                    </w:rPr>
                  </w:pPr>
                  <w:r>
                    <w:rPr>
                      <w:rFonts w:hint="eastAsia" w:ascii="Times New Roman" w:hAnsi="Times New Roman" w:cs="Times New Roman"/>
                      <w:b w:val="0"/>
                      <w:bCs/>
                      <w:color w:val="auto"/>
                      <w:sz w:val="21"/>
                      <w:szCs w:val="21"/>
                      <w:highlight w:val="none"/>
                      <w:lang w:eastAsia="zh-CN"/>
                    </w:rPr>
                    <w:t>水泵</w:t>
                  </w:r>
                </w:p>
              </w:tc>
              <w:tc>
                <w:tcPr>
                  <w:tcW w:w="532" w:type="pct"/>
                  <w:vMerge w:val="continue"/>
                  <w:tcBorders>
                    <w:tl2br w:val="nil"/>
                    <w:tr2bl w:val="nil"/>
                  </w:tcBorders>
                  <w:noWrap w:val="0"/>
                  <w:vAlign w:val="center"/>
                </w:tcPr>
                <w:p w14:paraId="0EA13F29">
                  <w:pPr>
                    <w:jc w:val="center"/>
                    <w:textAlignment w:val="center"/>
                    <w:rPr>
                      <w:rFonts w:hint="eastAsia" w:ascii="Times New Roman" w:hAnsi="Times New Roman"/>
                      <w:color w:val="auto"/>
                      <w:sz w:val="21"/>
                      <w:szCs w:val="21"/>
                    </w:rPr>
                  </w:pPr>
                </w:p>
              </w:tc>
              <w:tc>
                <w:tcPr>
                  <w:tcW w:w="511" w:type="pct"/>
                  <w:vMerge w:val="continue"/>
                  <w:tcBorders>
                    <w:tl2br w:val="nil"/>
                    <w:tr2bl w:val="nil"/>
                  </w:tcBorders>
                  <w:noWrap w:val="0"/>
                  <w:vAlign w:val="center"/>
                </w:tcPr>
                <w:p w14:paraId="7BD26939">
                  <w:pPr>
                    <w:jc w:val="center"/>
                    <w:textAlignment w:val="center"/>
                    <w:rPr>
                      <w:rFonts w:hint="default" w:ascii="Times New Roman" w:hAnsi="Times New Roman" w:eastAsia="宋体"/>
                      <w:color w:val="auto"/>
                      <w:sz w:val="21"/>
                      <w:szCs w:val="21"/>
                      <w:lang w:val="en-US" w:eastAsia="zh-CN"/>
                    </w:rPr>
                  </w:pPr>
                </w:p>
              </w:tc>
              <w:tc>
                <w:tcPr>
                  <w:tcW w:w="572" w:type="pct"/>
                  <w:tcBorders>
                    <w:tl2br w:val="nil"/>
                    <w:tr2bl w:val="nil"/>
                  </w:tcBorders>
                  <w:noWrap w:val="0"/>
                  <w:vAlign w:val="center"/>
                </w:tcPr>
                <w:p w14:paraId="7F21E7DA">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jc w:val="center"/>
                    <w:textAlignment w:val="center"/>
                    <w:rPr>
                      <w:rFonts w:hint="default" w:ascii="Times New Roman" w:hAnsi="Times New Roman" w:eastAsia="宋体"/>
                      <w:bCs/>
                      <w:color w:val="auto"/>
                      <w:kern w:val="0"/>
                      <w:sz w:val="21"/>
                      <w:szCs w:val="21"/>
                      <w:lang w:val="en-US" w:eastAsia="zh-CN"/>
                    </w:rPr>
                  </w:pPr>
                  <w:r>
                    <w:rPr>
                      <w:rFonts w:hint="eastAsia" w:ascii="Times New Roman" w:hAnsi="Times New Roman" w:cs="Times New Roman"/>
                      <w:color w:val="auto"/>
                      <w:sz w:val="21"/>
                      <w:szCs w:val="21"/>
                      <w:lang w:val="en-US" w:eastAsia="zh-CN"/>
                    </w:rPr>
                    <w:t>80</w:t>
                  </w:r>
                </w:p>
              </w:tc>
              <w:tc>
                <w:tcPr>
                  <w:tcW w:w="623" w:type="pct"/>
                  <w:vMerge w:val="continue"/>
                  <w:tcBorders>
                    <w:tl2br w:val="nil"/>
                    <w:tr2bl w:val="nil"/>
                  </w:tcBorders>
                  <w:noWrap w:val="0"/>
                  <w:vAlign w:val="center"/>
                </w:tcPr>
                <w:p w14:paraId="033572A6">
                  <w:pPr>
                    <w:jc w:val="center"/>
                    <w:textAlignment w:val="center"/>
                    <w:rPr>
                      <w:rFonts w:ascii="Times New Roman" w:hAnsi="Times New Roman"/>
                      <w:color w:val="auto"/>
                      <w:sz w:val="21"/>
                      <w:szCs w:val="21"/>
                    </w:rPr>
                  </w:pPr>
                </w:p>
              </w:tc>
              <w:tc>
                <w:tcPr>
                  <w:tcW w:w="1577" w:type="pct"/>
                  <w:vMerge w:val="continue"/>
                  <w:tcBorders>
                    <w:tl2br w:val="nil"/>
                    <w:tr2bl w:val="nil"/>
                  </w:tcBorders>
                  <w:noWrap w:val="0"/>
                  <w:vAlign w:val="center"/>
                </w:tcPr>
                <w:p w14:paraId="401BE38C">
                  <w:pPr>
                    <w:pStyle w:val="111"/>
                    <w:spacing w:line="240" w:lineRule="auto"/>
                    <w:ind w:firstLine="0" w:firstLineChars="0"/>
                    <w:jc w:val="center"/>
                    <w:rPr>
                      <w:rFonts w:hint="eastAsia" w:ascii="Times New Roman" w:hAnsi="Times New Roman"/>
                      <w:color w:val="auto"/>
                      <w:sz w:val="21"/>
                      <w:szCs w:val="21"/>
                      <w:lang w:val="en-US"/>
                    </w:rPr>
                  </w:pPr>
                </w:p>
              </w:tc>
            </w:tr>
            <w:tr w14:paraId="72EDD1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96" w:type="pct"/>
                  <w:tcBorders>
                    <w:tl2br w:val="nil"/>
                    <w:tr2bl w:val="nil"/>
                  </w:tcBorders>
                  <w:noWrap w:val="0"/>
                  <w:vAlign w:val="center"/>
                </w:tcPr>
                <w:p w14:paraId="2D7B54E0">
                  <w:pPr>
                    <w:pStyle w:val="112"/>
                    <w:rPr>
                      <w:rFonts w:hint="eastAsia" w:ascii="Times New Roman" w:hAnsi="Times New Roman"/>
                      <w:color w:val="auto"/>
                      <w:sz w:val="21"/>
                      <w:szCs w:val="21"/>
                    </w:rPr>
                  </w:pPr>
                  <w:r>
                    <w:rPr>
                      <w:rFonts w:hint="eastAsia" w:ascii="Times New Roman" w:hAnsi="Times New Roman"/>
                      <w:color w:val="auto"/>
                      <w:sz w:val="21"/>
                      <w:szCs w:val="21"/>
                    </w:rPr>
                    <w:t>3</w:t>
                  </w:r>
                </w:p>
              </w:tc>
              <w:tc>
                <w:tcPr>
                  <w:tcW w:w="887" w:type="pct"/>
                  <w:tcBorders>
                    <w:tl2br w:val="nil"/>
                    <w:tr2bl w:val="nil"/>
                  </w:tcBorders>
                  <w:noWrap w:val="0"/>
                  <w:vAlign w:val="center"/>
                </w:tcPr>
                <w:p w14:paraId="6D525871">
                  <w:pPr>
                    <w:pStyle w:val="63"/>
                    <w:adjustRightInd w:val="0"/>
                    <w:snapToGrid w:val="0"/>
                    <w:spacing w:line="240" w:lineRule="auto"/>
                    <w:ind w:firstLine="0" w:firstLineChars="0"/>
                    <w:rPr>
                      <w:rFonts w:hint="default" w:ascii="Times New Roman" w:hAnsi="Times New Roman" w:eastAsia="宋体"/>
                      <w:color w:val="auto"/>
                      <w:sz w:val="21"/>
                      <w:szCs w:val="21"/>
                      <w:lang w:val="en-US" w:eastAsia="zh-CN"/>
                    </w:rPr>
                  </w:pPr>
                  <w:r>
                    <w:rPr>
                      <w:rFonts w:hint="eastAsia" w:ascii="Times New Roman" w:hAnsi="Times New Roman" w:cs="Times New Roman"/>
                      <w:b w:val="0"/>
                      <w:bCs/>
                      <w:color w:val="auto"/>
                      <w:sz w:val="21"/>
                      <w:szCs w:val="21"/>
                      <w:highlight w:val="none"/>
                      <w:lang w:eastAsia="zh-CN"/>
                    </w:rPr>
                    <w:t>压缩机</w:t>
                  </w:r>
                </w:p>
              </w:tc>
              <w:tc>
                <w:tcPr>
                  <w:tcW w:w="532" w:type="pct"/>
                  <w:vMerge w:val="continue"/>
                  <w:tcBorders>
                    <w:tl2br w:val="nil"/>
                    <w:tr2bl w:val="nil"/>
                  </w:tcBorders>
                  <w:noWrap w:val="0"/>
                  <w:vAlign w:val="center"/>
                </w:tcPr>
                <w:p w14:paraId="280393A1">
                  <w:pPr>
                    <w:jc w:val="center"/>
                    <w:textAlignment w:val="center"/>
                    <w:rPr>
                      <w:rFonts w:hint="eastAsia" w:ascii="Times New Roman" w:hAnsi="Times New Roman"/>
                      <w:color w:val="auto"/>
                      <w:sz w:val="21"/>
                      <w:szCs w:val="21"/>
                    </w:rPr>
                  </w:pPr>
                </w:p>
              </w:tc>
              <w:tc>
                <w:tcPr>
                  <w:tcW w:w="511" w:type="pct"/>
                  <w:vMerge w:val="continue"/>
                  <w:tcBorders>
                    <w:tl2br w:val="nil"/>
                    <w:tr2bl w:val="nil"/>
                  </w:tcBorders>
                  <w:noWrap w:val="0"/>
                  <w:vAlign w:val="center"/>
                </w:tcPr>
                <w:p w14:paraId="373C4DB4">
                  <w:pPr>
                    <w:jc w:val="center"/>
                    <w:textAlignment w:val="center"/>
                    <w:rPr>
                      <w:rFonts w:hint="default" w:ascii="Times New Roman" w:hAnsi="Times New Roman" w:eastAsia="宋体"/>
                      <w:color w:val="auto"/>
                      <w:sz w:val="21"/>
                      <w:szCs w:val="21"/>
                      <w:lang w:val="en-US" w:eastAsia="zh-CN"/>
                    </w:rPr>
                  </w:pPr>
                </w:p>
              </w:tc>
              <w:tc>
                <w:tcPr>
                  <w:tcW w:w="572" w:type="pct"/>
                  <w:tcBorders>
                    <w:tl2br w:val="nil"/>
                    <w:tr2bl w:val="nil"/>
                  </w:tcBorders>
                  <w:noWrap w:val="0"/>
                  <w:vAlign w:val="center"/>
                </w:tcPr>
                <w:p w14:paraId="5E86B66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jc w:val="center"/>
                    <w:textAlignment w:val="center"/>
                    <w:rPr>
                      <w:rFonts w:hint="default" w:ascii="Times New Roman" w:hAnsi="Times New Roman" w:eastAsia="宋体"/>
                      <w:bCs/>
                      <w:color w:val="auto"/>
                      <w:kern w:val="0"/>
                      <w:sz w:val="21"/>
                      <w:szCs w:val="21"/>
                      <w:lang w:val="en-US" w:eastAsia="zh-CN"/>
                    </w:rPr>
                  </w:pPr>
                  <w:r>
                    <w:rPr>
                      <w:rFonts w:hint="eastAsia" w:ascii="Times New Roman" w:hAnsi="Times New Roman" w:cs="Times New Roman"/>
                      <w:color w:val="auto"/>
                      <w:sz w:val="21"/>
                      <w:szCs w:val="21"/>
                      <w:lang w:val="en-US" w:eastAsia="zh-CN"/>
                    </w:rPr>
                    <w:t>80</w:t>
                  </w:r>
                </w:p>
              </w:tc>
              <w:tc>
                <w:tcPr>
                  <w:tcW w:w="623" w:type="pct"/>
                  <w:vMerge w:val="continue"/>
                  <w:tcBorders>
                    <w:tl2br w:val="nil"/>
                    <w:tr2bl w:val="nil"/>
                  </w:tcBorders>
                  <w:noWrap w:val="0"/>
                  <w:vAlign w:val="center"/>
                </w:tcPr>
                <w:p w14:paraId="50301E71">
                  <w:pPr>
                    <w:jc w:val="center"/>
                    <w:textAlignment w:val="center"/>
                    <w:rPr>
                      <w:rFonts w:ascii="Times New Roman" w:hAnsi="Times New Roman"/>
                      <w:color w:val="auto"/>
                      <w:sz w:val="21"/>
                      <w:szCs w:val="21"/>
                    </w:rPr>
                  </w:pPr>
                </w:p>
              </w:tc>
              <w:tc>
                <w:tcPr>
                  <w:tcW w:w="1577" w:type="pct"/>
                  <w:vMerge w:val="continue"/>
                  <w:tcBorders>
                    <w:tl2br w:val="nil"/>
                    <w:tr2bl w:val="nil"/>
                  </w:tcBorders>
                  <w:noWrap w:val="0"/>
                  <w:vAlign w:val="center"/>
                </w:tcPr>
                <w:p w14:paraId="08CEF20B">
                  <w:pPr>
                    <w:pStyle w:val="111"/>
                    <w:spacing w:line="240" w:lineRule="auto"/>
                    <w:ind w:firstLine="0" w:firstLineChars="0"/>
                    <w:jc w:val="center"/>
                    <w:rPr>
                      <w:rFonts w:hint="eastAsia" w:ascii="Times New Roman" w:hAnsi="Times New Roman"/>
                      <w:color w:val="auto"/>
                      <w:sz w:val="21"/>
                      <w:szCs w:val="21"/>
                      <w:lang w:val="en-US"/>
                    </w:rPr>
                  </w:pPr>
                </w:p>
              </w:tc>
            </w:tr>
            <w:tr w14:paraId="714A7F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96" w:type="pct"/>
                  <w:tcBorders>
                    <w:tl2br w:val="nil"/>
                    <w:tr2bl w:val="nil"/>
                  </w:tcBorders>
                  <w:noWrap w:val="0"/>
                  <w:vAlign w:val="center"/>
                </w:tcPr>
                <w:p w14:paraId="59DD3759">
                  <w:pPr>
                    <w:pStyle w:val="112"/>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4</w:t>
                  </w:r>
                </w:p>
              </w:tc>
              <w:tc>
                <w:tcPr>
                  <w:tcW w:w="887" w:type="pct"/>
                  <w:tcBorders>
                    <w:tl2br w:val="nil"/>
                    <w:tr2bl w:val="nil"/>
                  </w:tcBorders>
                  <w:noWrap w:val="0"/>
                  <w:vAlign w:val="center"/>
                </w:tcPr>
                <w:p w14:paraId="51C64E52">
                  <w:pPr>
                    <w:pStyle w:val="63"/>
                    <w:adjustRightInd w:val="0"/>
                    <w:snapToGrid w:val="0"/>
                    <w:spacing w:line="240" w:lineRule="auto"/>
                    <w:ind w:firstLine="0" w:firstLineChars="0"/>
                    <w:rPr>
                      <w:rFonts w:hint="eastAsia" w:ascii="Times New Roman" w:hAnsi="Times New Roman"/>
                      <w:color w:val="auto"/>
                      <w:kern w:val="2"/>
                      <w:sz w:val="21"/>
                      <w:szCs w:val="21"/>
                      <w:lang w:val="en-US" w:eastAsia="zh-CN" w:bidi="ar-SA"/>
                    </w:rPr>
                  </w:pPr>
                  <w:r>
                    <w:rPr>
                      <w:rFonts w:hint="eastAsia" w:ascii="Times New Roman" w:hAnsi="Times New Roman" w:cs="Times New Roman"/>
                      <w:b w:val="0"/>
                      <w:bCs/>
                      <w:color w:val="auto"/>
                      <w:sz w:val="21"/>
                      <w:szCs w:val="21"/>
                      <w:highlight w:val="none"/>
                      <w:lang w:eastAsia="zh-CN"/>
                    </w:rPr>
                    <w:t>空气压缩机</w:t>
                  </w:r>
                </w:p>
              </w:tc>
              <w:tc>
                <w:tcPr>
                  <w:tcW w:w="532" w:type="pct"/>
                  <w:vMerge w:val="continue"/>
                  <w:tcBorders>
                    <w:tl2br w:val="nil"/>
                    <w:tr2bl w:val="nil"/>
                  </w:tcBorders>
                  <w:noWrap w:val="0"/>
                  <w:vAlign w:val="center"/>
                </w:tcPr>
                <w:p w14:paraId="10CC0438">
                  <w:pPr>
                    <w:jc w:val="center"/>
                    <w:textAlignment w:val="center"/>
                    <w:rPr>
                      <w:rFonts w:hint="eastAsia" w:ascii="Times New Roman" w:hAnsi="Times New Roman"/>
                      <w:color w:val="auto"/>
                      <w:kern w:val="2"/>
                      <w:sz w:val="21"/>
                      <w:szCs w:val="21"/>
                      <w:lang w:val="en-US" w:eastAsia="zh-CN" w:bidi="ar-SA"/>
                    </w:rPr>
                  </w:pPr>
                </w:p>
              </w:tc>
              <w:tc>
                <w:tcPr>
                  <w:tcW w:w="511" w:type="pct"/>
                  <w:vMerge w:val="continue"/>
                  <w:tcBorders>
                    <w:tl2br w:val="nil"/>
                    <w:tr2bl w:val="nil"/>
                  </w:tcBorders>
                  <w:noWrap w:val="0"/>
                  <w:vAlign w:val="center"/>
                </w:tcPr>
                <w:p w14:paraId="464D8E1C">
                  <w:pPr>
                    <w:jc w:val="center"/>
                    <w:textAlignment w:val="center"/>
                    <w:rPr>
                      <w:rFonts w:hint="default" w:ascii="Times New Roman" w:hAnsi="Times New Roman" w:eastAsia="宋体"/>
                      <w:color w:val="auto"/>
                      <w:kern w:val="2"/>
                      <w:sz w:val="21"/>
                      <w:szCs w:val="21"/>
                      <w:lang w:val="en-US" w:eastAsia="zh-CN" w:bidi="ar-SA"/>
                    </w:rPr>
                  </w:pPr>
                </w:p>
              </w:tc>
              <w:tc>
                <w:tcPr>
                  <w:tcW w:w="572" w:type="pct"/>
                  <w:tcBorders>
                    <w:tl2br w:val="nil"/>
                    <w:tr2bl w:val="nil"/>
                  </w:tcBorders>
                  <w:noWrap w:val="0"/>
                  <w:vAlign w:val="center"/>
                </w:tcPr>
                <w:p w14:paraId="44B4CAA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jc w:val="center"/>
                    <w:textAlignment w:val="center"/>
                    <w:rPr>
                      <w:rFonts w:hint="default" w:ascii="Times New Roman" w:hAnsi="Times New Roman" w:eastAsia="宋体"/>
                      <w:bCs/>
                      <w:color w:val="auto"/>
                      <w:kern w:val="0"/>
                      <w:sz w:val="21"/>
                      <w:szCs w:val="21"/>
                      <w:lang w:val="en-US" w:eastAsia="zh-CN" w:bidi="ar-SA"/>
                    </w:rPr>
                  </w:pPr>
                  <w:r>
                    <w:rPr>
                      <w:rFonts w:hint="eastAsia" w:ascii="Times New Roman" w:hAnsi="Times New Roman" w:cs="Times New Roman"/>
                      <w:color w:val="auto"/>
                      <w:sz w:val="21"/>
                      <w:szCs w:val="21"/>
                      <w:lang w:val="en-US" w:eastAsia="zh-CN"/>
                    </w:rPr>
                    <w:t>75</w:t>
                  </w:r>
                </w:p>
              </w:tc>
              <w:tc>
                <w:tcPr>
                  <w:tcW w:w="623" w:type="pct"/>
                  <w:vMerge w:val="continue"/>
                  <w:tcBorders>
                    <w:tl2br w:val="nil"/>
                    <w:tr2bl w:val="nil"/>
                  </w:tcBorders>
                  <w:noWrap w:val="0"/>
                  <w:vAlign w:val="center"/>
                </w:tcPr>
                <w:p w14:paraId="025959BF">
                  <w:pPr>
                    <w:jc w:val="center"/>
                    <w:textAlignment w:val="center"/>
                    <w:rPr>
                      <w:rFonts w:ascii="Times New Roman" w:hAnsi="Times New Roman"/>
                      <w:color w:val="auto"/>
                      <w:sz w:val="21"/>
                      <w:szCs w:val="21"/>
                    </w:rPr>
                  </w:pPr>
                </w:p>
              </w:tc>
              <w:tc>
                <w:tcPr>
                  <w:tcW w:w="1577" w:type="pct"/>
                  <w:vMerge w:val="continue"/>
                  <w:tcBorders>
                    <w:tl2br w:val="nil"/>
                    <w:tr2bl w:val="nil"/>
                  </w:tcBorders>
                  <w:noWrap w:val="0"/>
                  <w:vAlign w:val="center"/>
                </w:tcPr>
                <w:p w14:paraId="14DC8DC6">
                  <w:pPr>
                    <w:pStyle w:val="111"/>
                    <w:spacing w:line="240" w:lineRule="auto"/>
                    <w:ind w:firstLine="0" w:firstLineChars="0"/>
                    <w:jc w:val="both"/>
                    <w:rPr>
                      <w:rFonts w:hint="eastAsia" w:ascii="Times New Roman" w:hAnsi="Times New Roman" w:cs="宋体"/>
                      <w:bCs/>
                      <w:snapToGrid w:val="0"/>
                      <w:color w:val="auto"/>
                      <w:kern w:val="0"/>
                      <w:sz w:val="21"/>
                      <w:szCs w:val="21"/>
                      <w:lang w:val="en-US" w:eastAsia="zh-CN" w:bidi="ar-SA"/>
                    </w:rPr>
                  </w:pPr>
                </w:p>
              </w:tc>
            </w:tr>
          </w:tbl>
          <w:p w14:paraId="7076A5BF">
            <w:pPr>
              <w:pStyle w:val="85"/>
              <w:tabs>
                <w:tab w:val="left" w:pos="5805"/>
              </w:tabs>
              <w:spacing w:line="360" w:lineRule="auto"/>
              <w:ind w:firstLine="480"/>
              <w:rPr>
                <w:rFonts w:hint="default" w:ascii="Times New Roman" w:hAnsi="Times New Roman" w:cs="Times New Roman"/>
                <w:color w:val="auto"/>
                <w:spacing w:val="0"/>
                <w:kern w:val="21"/>
                <w:highlight w:val="none"/>
              </w:rPr>
            </w:pPr>
            <w:r>
              <w:rPr>
                <w:rFonts w:hint="default" w:ascii="Times New Roman" w:hAnsi="Times New Roman" w:cs="Times New Roman"/>
                <w:color w:val="auto"/>
                <w:spacing w:val="0"/>
                <w:kern w:val="21"/>
                <w:highlight w:val="none"/>
              </w:rPr>
              <w:t>主要依据发生设备的噪声类比调查结果及参考资料的数据。噪声通过建筑外墙的平均衰减量是考虑了室内发声源所发出的噪声主要频率在透过墙体、门、窗时的不同衰减，再考虑了对相似类比调查结果而定的。噪声在室外空间的传播衰减只考虑噪声随距离的衰减。</w:t>
            </w:r>
          </w:p>
          <w:p w14:paraId="2282570C">
            <w:pPr>
              <w:pStyle w:val="72"/>
              <w:keepNext w:val="0"/>
              <w:keepLines w:val="0"/>
              <w:pageBreakBefore w:val="0"/>
              <w:widowControl w:val="0"/>
              <w:kinsoku/>
              <w:wordWrap/>
              <w:overflowPunct/>
              <w:topLinePunct w:val="0"/>
              <w:autoSpaceDE/>
              <w:autoSpaceDN/>
              <w:bidi w:val="0"/>
              <w:adjustRightInd/>
              <w:snapToGrid/>
              <w:spacing w:before="0" w:beforeLines="0" w:after="0" w:afterLines="0" w:line="360" w:lineRule="auto"/>
              <w:ind w:firstLine="480"/>
              <w:textAlignment w:val="auto"/>
              <w:rPr>
                <w:rFonts w:ascii="Times New Roman" w:hAnsi="Times New Roman"/>
                <w:color w:val="auto"/>
                <w:highlight w:val="none"/>
              </w:rPr>
            </w:pPr>
            <w:r>
              <w:rPr>
                <w:rFonts w:ascii="Times New Roman" w:hAnsi="Times New Roman"/>
                <w:color w:val="auto"/>
                <w:highlight w:val="none"/>
              </w:rPr>
              <w:t>根据拟建项目设备声源特征和声学环境的特点，视设备声源为点源，声场为半自由声场，依据HJ2.4-</w:t>
            </w:r>
            <w:r>
              <w:rPr>
                <w:rFonts w:hint="eastAsia" w:ascii="Times New Roman" w:hAnsi="Times New Roman"/>
                <w:color w:val="auto"/>
                <w:highlight w:val="none"/>
                <w:lang w:val="en-US" w:eastAsia="zh-CN"/>
              </w:rPr>
              <w:t>2021</w:t>
            </w:r>
            <w:r>
              <w:rPr>
                <w:rFonts w:ascii="Times New Roman" w:hAnsi="Times New Roman"/>
                <w:color w:val="auto"/>
                <w:highlight w:val="none"/>
              </w:rPr>
              <w:t>《环境影响评价技术导则</w:t>
            </w:r>
            <w:r>
              <w:rPr>
                <w:rFonts w:hint="eastAsia" w:ascii="Times New Roman" w:hAnsi="Times New Roman"/>
                <w:color w:val="auto"/>
                <w:highlight w:val="none"/>
              </w:rPr>
              <w:t xml:space="preserve"> </w:t>
            </w:r>
            <w:r>
              <w:rPr>
                <w:rFonts w:ascii="Times New Roman" w:hAnsi="Times New Roman"/>
                <w:color w:val="auto"/>
                <w:highlight w:val="none"/>
              </w:rPr>
              <w:t>声环境》，选用</w:t>
            </w:r>
            <w:r>
              <w:rPr>
                <w:rFonts w:ascii="Times New Roman" w:hAnsi="Times New Roman"/>
                <w:color w:val="auto"/>
                <w:sz w:val="24"/>
                <w:highlight w:val="none"/>
              </w:rPr>
              <w:t>点声源衰减</w:t>
            </w:r>
            <w:r>
              <w:rPr>
                <w:rFonts w:ascii="Times New Roman" w:hAnsi="Times New Roman"/>
                <w:color w:val="auto"/>
                <w:highlight w:val="none"/>
              </w:rPr>
              <w:t>预测模式预测厂界噪声，具体见</w:t>
            </w:r>
            <w:r>
              <w:rPr>
                <w:rFonts w:hint="eastAsia" w:ascii="Times New Roman" w:hAnsi="Times New Roman"/>
                <w:color w:val="auto"/>
                <w:highlight w:val="none"/>
              </w:rPr>
              <w:t>下</w:t>
            </w:r>
            <w:r>
              <w:rPr>
                <w:rFonts w:ascii="Times New Roman" w:hAnsi="Times New Roman"/>
                <w:color w:val="auto"/>
                <w:highlight w:val="none"/>
              </w:rPr>
              <w:t>表。</w:t>
            </w:r>
          </w:p>
          <w:p w14:paraId="08F3A762">
            <w:pPr>
              <w:spacing w:line="500" w:lineRule="exact"/>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 噪声衰减模式：</w:t>
            </w:r>
          </w:p>
          <w:p w14:paraId="518139AB">
            <w:pPr>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jc w:val="center"/>
              <w:textAlignment w:val="auto"/>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drawing>
                <wp:inline distT="0" distB="0" distL="114300" distR="114300">
                  <wp:extent cx="2014220" cy="279400"/>
                  <wp:effectExtent l="0" t="0" r="5080" b="635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23"/>
                          <a:stretch>
                            <a:fillRect/>
                          </a:stretch>
                        </pic:blipFill>
                        <pic:spPr>
                          <a:xfrm>
                            <a:off x="0" y="0"/>
                            <a:ext cx="2014220" cy="279400"/>
                          </a:xfrm>
                          <a:prstGeom prst="rect">
                            <a:avLst/>
                          </a:prstGeom>
                          <a:noFill/>
                          <a:ln>
                            <a:noFill/>
                          </a:ln>
                        </pic:spPr>
                      </pic:pic>
                    </a:graphicData>
                  </a:graphic>
                </wp:inline>
              </w:drawing>
            </w:r>
          </w:p>
          <w:p w14:paraId="006A85ED">
            <w:pPr>
              <w:spacing w:line="500" w:lineRule="exact"/>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式中：Lp——距声源r米处的施工噪声预测值，dB</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w:t>
            </w:r>
          </w:p>
          <w:p w14:paraId="2DEC34B5">
            <w:pPr>
              <w:spacing w:line="500" w:lineRule="exact"/>
              <w:ind w:firstLine="1200" w:firstLineChars="5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Lpo——距声源ro米处的参考声级，dB</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w:t>
            </w:r>
          </w:p>
          <w:p w14:paraId="40160426">
            <w:pPr>
              <w:spacing w:line="500" w:lineRule="exact"/>
              <w:ind w:firstLine="1200" w:firstLineChars="5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ro——Lpo噪声的测点距离</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5m或1m</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，m</w:t>
            </w:r>
          </w:p>
          <w:p w14:paraId="00C35C51">
            <w:pPr>
              <w:spacing w:line="500" w:lineRule="exact"/>
              <w:ind w:firstLine="1200" w:firstLineChars="5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△L——采取各种措施后的噪声衰减量，dB</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w:t>
            </w:r>
          </w:p>
          <w:p w14:paraId="6251AAC3">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室内点声源：</w:t>
            </w:r>
          </w:p>
          <w:p w14:paraId="798B54E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对于室内声源，可按下式计算：</w:t>
            </w:r>
          </w:p>
          <w:p w14:paraId="1988FAFC">
            <w:pPr>
              <w:widowControl/>
              <w:adjustRightInd w:val="0"/>
              <w:snapToGrid w:val="0"/>
              <w:spacing w:line="360" w:lineRule="auto"/>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position w:val="-30"/>
                <w:sz w:val="24"/>
                <w:szCs w:val="24"/>
                <w:highlight w:val="none"/>
              </w:rPr>
              <w:drawing>
                <wp:inline distT="0" distB="0" distL="114300" distR="114300">
                  <wp:extent cx="2438400" cy="409575"/>
                  <wp:effectExtent l="0" t="0" r="0" b="889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24"/>
                          <a:stretch>
                            <a:fillRect/>
                          </a:stretch>
                        </pic:blipFill>
                        <pic:spPr>
                          <a:xfrm>
                            <a:off x="0" y="0"/>
                            <a:ext cx="2438400" cy="409575"/>
                          </a:xfrm>
                          <a:prstGeom prst="rect">
                            <a:avLst/>
                          </a:prstGeom>
                          <a:noFill/>
                          <a:ln>
                            <a:noFill/>
                          </a:ln>
                        </pic:spPr>
                      </pic:pic>
                    </a:graphicData>
                  </a:graphic>
                </wp:inline>
              </w:drawing>
            </w:r>
          </w:p>
          <w:p w14:paraId="6C332E8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式中：LP</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r</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——预测点的声压级（dB</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A</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14:paraId="7F31030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LP</w:t>
            </w:r>
            <w:r>
              <w:rPr>
                <w:rFonts w:hint="default" w:ascii="Times New Roman" w:hAnsi="Times New Roman" w:eastAsia="宋体" w:cs="Times New Roman"/>
                <w:color w:val="auto"/>
                <w:sz w:val="24"/>
                <w:szCs w:val="24"/>
                <w:highlight w:val="none"/>
                <w:vertAlign w:val="subscript"/>
              </w:rPr>
              <w:t>0</w:t>
            </w:r>
            <w:r>
              <w:rPr>
                <w:rFonts w:hint="default" w:ascii="Times New Roman" w:hAnsi="Times New Roman" w:eastAsia="宋体" w:cs="Times New Roman"/>
                <w:color w:val="auto"/>
                <w:sz w:val="24"/>
                <w:szCs w:val="24"/>
                <w:highlight w:val="none"/>
              </w:rPr>
              <w:t>——点声源在r</w:t>
            </w:r>
            <w:r>
              <w:rPr>
                <w:rFonts w:hint="default" w:ascii="Times New Roman" w:hAnsi="Times New Roman" w:eastAsia="宋体" w:cs="Times New Roman"/>
                <w:color w:val="auto"/>
                <w:sz w:val="24"/>
                <w:szCs w:val="24"/>
                <w:highlight w:val="none"/>
                <w:vertAlign w:val="subscript"/>
              </w:rPr>
              <w:t>0</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距离处测定的声压级（dB</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A</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14:paraId="2589458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TL——各种因素引起的声衰减量（如声屏障、遮挡物、空气吸收、地面吸收等引起的声衰减），已考虑隔声量，此处</w:t>
            </w:r>
            <w:r>
              <w:rPr>
                <w:rFonts w:hint="default" w:ascii="Times New Roman" w:hAnsi="Times New Roman" w:eastAsia="宋体" w:cs="Times New Roman"/>
                <w:color w:val="auto"/>
                <w:sz w:val="24"/>
                <w:szCs w:val="24"/>
                <w:highlight w:val="none"/>
              </w:rPr>
              <w:drawing>
                <wp:inline distT="0" distB="0" distL="114300" distR="114300">
                  <wp:extent cx="223520" cy="159385"/>
                  <wp:effectExtent l="0" t="0" r="0" b="1397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25"/>
                          <a:stretch>
                            <a:fillRect/>
                          </a:stretch>
                        </pic:blipFill>
                        <pic:spPr>
                          <a:xfrm>
                            <a:off x="0" y="0"/>
                            <a:ext cx="223520" cy="159385"/>
                          </a:xfrm>
                          <a:prstGeom prst="rect">
                            <a:avLst/>
                          </a:prstGeom>
                          <a:noFill/>
                          <a:ln>
                            <a:noFill/>
                          </a:ln>
                        </pic:spPr>
                      </pic:pic>
                    </a:graphicData>
                  </a:graphic>
                </wp:inline>
              </w:drawing>
            </w:r>
            <w:r>
              <w:rPr>
                <w:rFonts w:hint="default" w:ascii="Times New Roman" w:hAnsi="Times New Roman" w:eastAsia="宋体" w:cs="Times New Roman"/>
                <w:color w:val="auto"/>
                <w:sz w:val="24"/>
                <w:szCs w:val="24"/>
                <w:highlight w:val="none"/>
              </w:rPr>
              <w:t>取0</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dB</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A）；</w:t>
            </w:r>
          </w:p>
          <w:p w14:paraId="681C2EA6">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α——吸声系数；对一般机械装置，取0.15。</w:t>
            </w:r>
          </w:p>
          <w:p w14:paraId="7309DF8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3 \* GB3 \* MERGEFORMAT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③</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对预测点多源声影响及背景噪声的</w:t>
            </w:r>
            <w:r>
              <w:rPr>
                <w:rFonts w:hint="eastAsia" w:ascii="Times New Roman" w:hAnsi="Times New Roman" w:cs="Times New Roman"/>
                <w:color w:val="auto"/>
                <w:sz w:val="24"/>
                <w:szCs w:val="24"/>
                <w:highlight w:val="none"/>
                <w:lang w:eastAsia="zh-CN"/>
              </w:rPr>
              <w:t>叠加</w:t>
            </w:r>
            <w:r>
              <w:rPr>
                <w:rFonts w:hint="default" w:ascii="Times New Roman" w:hAnsi="Times New Roman" w:eastAsia="宋体" w:cs="Times New Roman"/>
                <w:color w:val="auto"/>
                <w:sz w:val="24"/>
                <w:szCs w:val="24"/>
                <w:highlight w:val="none"/>
              </w:rPr>
              <w:t>：</w:t>
            </w:r>
          </w:p>
          <w:p w14:paraId="05366B92">
            <w:pPr>
              <w:widowControl/>
              <w:adjustRightInd w:val="0"/>
              <w:snapToGrid w:val="0"/>
              <w:spacing w:line="360" w:lineRule="auto"/>
              <w:ind w:firstLine="480" w:firstLineChars="20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drawing>
                <wp:inline distT="0" distB="0" distL="114300" distR="114300">
                  <wp:extent cx="1848485" cy="523875"/>
                  <wp:effectExtent l="0" t="0" r="18415" b="8255"/>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26"/>
                          <a:stretch>
                            <a:fillRect/>
                          </a:stretch>
                        </pic:blipFill>
                        <pic:spPr>
                          <a:xfrm>
                            <a:off x="0" y="0"/>
                            <a:ext cx="1848485" cy="523875"/>
                          </a:xfrm>
                          <a:prstGeom prst="rect">
                            <a:avLst/>
                          </a:prstGeom>
                          <a:noFill/>
                          <a:ln>
                            <a:noFill/>
                          </a:ln>
                        </pic:spPr>
                      </pic:pic>
                    </a:graphicData>
                  </a:graphic>
                </wp:inline>
              </w:drawing>
            </w:r>
          </w:p>
          <w:p w14:paraId="6BBD260B">
            <w:pPr>
              <w:spacing w:line="500" w:lineRule="exact"/>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b. 多源叠加模式：</w:t>
            </w:r>
          </w:p>
          <w:p w14:paraId="103018F2">
            <w:pPr>
              <w:spacing w:line="500" w:lineRule="exact"/>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在预测过程中，根据实际情况把各具体复杂的噪声源简化为点声源进行计算，再将其计算结果与本底进行能量叠加，得到该处噪声预测值</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对于任何一个预测点，其总噪声效应是多个叠加声级</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即各声源分别在该点的贡献值 L2 和本底噪声值</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的能量总和，其计算式如下：</w:t>
            </w:r>
          </w:p>
          <w:p w14:paraId="55134B53">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default" w:ascii="Times New Roman" w:hAnsi="Times New Roman" w:eastAsia="宋体" w:cs="Times New Roman"/>
                <w:color w:val="auto"/>
                <w:sz w:val="24"/>
                <w:szCs w:val="24"/>
                <w:highlight w:val="none"/>
              </w:rPr>
            </w:pPr>
            <w:r>
              <w:rPr>
                <w:rFonts w:ascii="Times New Roman" w:hAnsi="Times New Roman" w:eastAsia="宋体"/>
                <w:color w:val="auto"/>
                <w:sz w:val="24"/>
                <w:szCs w:val="24"/>
                <w:highlight w:val="none"/>
              </w:rPr>
              <w:drawing>
                <wp:inline distT="0" distB="0" distL="114300" distR="114300">
                  <wp:extent cx="1631950" cy="438785"/>
                  <wp:effectExtent l="0" t="0" r="6350" b="18415"/>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27"/>
                          <a:stretch>
                            <a:fillRect/>
                          </a:stretch>
                        </pic:blipFill>
                        <pic:spPr>
                          <a:xfrm>
                            <a:off x="0" y="0"/>
                            <a:ext cx="1631950" cy="438785"/>
                          </a:xfrm>
                          <a:prstGeom prst="rect">
                            <a:avLst/>
                          </a:prstGeom>
                          <a:noFill/>
                          <a:ln>
                            <a:noFill/>
                          </a:ln>
                        </pic:spPr>
                      </pic:pic>
                    </a:graphicData>
                  </a:graphic>
                </wp:inline>
              </w:drawing>
            </w:r>
          </w:p>
          <w:p w14:paraId="51D95F2E">
            <w:pPr>
              <w:spacing w:line="500" w:lineRule="exact"/>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式中：L—— 某点噪声总叠加值， dB</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w:t>
            </w:r>
          </w:p>
          <w:p w14:paraId="5B35DCF6">
            <w:pPr>
              <w:spacing w:line="500" w:lineRule="exact"/>
              <w:ind w:firstLine="1200" w:firstLineChars="5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Li—— 第 i 个声源的噪声值， dB</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w:t>
            </w:r>
          </w:p>
          <w:p w14:paraId="658AD323">
            <w:pPr>
              <w:spacing w:line="500" w:lineRule="exact"/>
              <w:ind w:firstLine="1200" w:firstLineChars="5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n—— 声源个数</w:t>
            </w:r>
          </w:p>
          <w:p w14:paraId="50B492E3">
            <w:pPr>
              <w:widowControl/>
              <w:ind w:firstLine="480" w:firstLineChars="200"/>
              <w:jc w:val="left"/>
              <w:rPr>
                <w:rFonts w:ascii="Times New Roman" w:hAnsi="Times New Roman" w:eastAsia="宋体"/>
                <w:color w:val="auto"/>
                <w:sz w:val="24"/>
                <w:szCs w:val="24"/>
                <w:highlight w:val="none"/>
              </w:rPr>
            </w:pPr>
            <w:r>
              <w:rPr>
                <w:rFonts w:hint="eastAsia" w:ascii="Times New Roman" w:hAnsi="Times New Roman" w:eastAsia="宋体" w:cs="Times New Roman"/>
                <w:color w:val="auto"/>
                <w:sz w:val="24"/>
                <w:szCs w:val="24"/>
                <w:highlight w:val="none"/>
                <w:lang w:val="en-US" w:eastAsia="zh-CN"/>
              </w:rPr>
              <w:t>C.总</w:t>
            </w:r>
            <w:r>
              <w:rPr>
                <w:rFonts w:hint="eastAsia" w:ascii="Times New Roman" w:hAnsi="Times New Roman" w:eastAsia="宋体" w:cs="宋体"/>
                <w:color w:val="auto"/>
                <w:kern w:val="0"/>
                <w:sz w:val="24"/>
                <w:szCs w:val="24"/>
                <w:highlight w:val="none"/>
                <w:lang w:bidi="ar"/>
              </w:rPr>
              <w:t xml:space="preserve">声压级 </w:t>
            </w:r>
          </w:p>
          <w:p w14:paraId="3CD4FDA6">
            <w:pPr>
              <w:widowControl/>
              <w:jc w:val="center"/>
              <w:rPr>
                <w:rFonts w:hint="eastAsia" w:ascii="Times New Roman" w:hAnsi="Times New Roman" w:eastAsia="宋体" w:cs="宋体"/>
                <w:color w:val="auto"/>
                <w:kern w:val="0"/>
                <w:sz w:val="24"/>
                <w:szCs w:val="24"/>
                <w:highlight w:val="none"/>
                <w:lang w:bidi="ar"/>
              </w:rPr>
            </w:pPr>
            <w:r>
              <w:rPr>
                <w:rFonts w:hint="eastAsia" w:ascii="Times New Roman" w:hAnsi="Times New Roman" w:eastAsia="宋体" w:cs="宋体"/>
                <w:color w:val="auto"/>
                <w:kern w:val="0"/>
                <w:position w:val="-32"/>
                <w:sz w:val="24"/>
                <w:szCs w:val="24"/>
                <w:highlight w:val="none"/>
                <w:lang w:bidi="ar"/>
              </w:rPr>
              <w:object>
                <v:shape id="_x0000_i1028" o:spt="75" type="#_x0000_t75" style="height:38pt;width:247pt;" o:ole="t" filled="f" o:preferrelative="t" stroked="f" coordsize="21600,21600">
                  <v:path/>
                  <v:fill on="f" focussize="0,0"/>
                  <v:stroke on="f"/>
                  <v:imagedata r:id="rId29" embosscolor="#FFFFFF" o:title=""/>
                  <o:lock v:ext="edit" grouping="f" rotation="f" text="f" aspectratio="t"/>
                  <w10:wrap type="none"/>
                  <w10:anchorlock/>
                </v:shape>
                <o:OLEObject Type="Embed" ProgID="Equation.KSEE3" ShapeID="_x0000_i1028" DrawAspect="Content" ObjectID="_1468075729" r:id="rId28">
                  <o:LockedField>false</o:LockedField>
                </o:OLEObject>
              </w:object>
            </w:r>
          </w:p>
          <w:p w14:paraId="6153FD0B">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olor w:val="auto"/>
                <w:sz w:val="24"/>
                <w:szCs w:val="24"/>
                <w:highlight w:val="none"/>
              </w:rPr>
            </w:pPr>
            <w:r>
              <w:rPr>
                <w:rFonts w:hint="eastAsia" w:ascii="Times New Roman" w:hAnsi="Times New Roman" w:eastAsia="宋体" w:cs="宋体"/>
                <w:color w:val="auto"/>
                <w:kern w:val="0"/>
                <w:sz w:val="24"/>
                <w:szCs w:val="24"/>
                <w:highlight w:val="none"/>
                <w:lang w:bidi="ar"/>
              </w:rPr>
              <w:t>式中</w:t>
            </w:r>
            <w:r>
              <w:rPr>
                <w:rFonts w:hint="eastAsia" w:ascii="Times New Roman" w:hAnsi="Times New Roman" w:eastAsia="宋体"/>
                <w:color w:val="auto"/>
                <w:kern w:val="0"/>
                <w:sz w:val="24"/>
                <w:szCs w:val="24"/>
                <w:highlight w:val="none"/>
                <w:lang w:eastAsia="zh-CN" w:bidi="ar"/>
              </w:rPr>
              <w:t>：</w:t>
            </w:r>
            <w:r>
              <w:rPr>
                <w:rFonts w:ascii="Times New Roman" w:hAnsi="Times New Roman" w:eastAsia="宋体"/>
                <w:color w:val="auto"/>
                <w:kern w:val="0"/>
                <w:sz w:val="24"/>
                <w:szCs w:val="24"/>
                <w:highlight w:val="none"/>
                <w:lang w:bidi="ar"/>
              </w:rPr>
              <w:t xml:space="preserve"> </w:t>
            </w:r>
            <w:r>
              <w:rPr>
                <w:rFonts w:hint="eastAsia" w:ascii="Times New Roman" w:hAnsi="Times New Roman" w:eastAsia="宋体"/>
                <w:color w:val="auto"/>
                <w:kern w:val="0"/>
                <w:sz w:val="24"/>
                <w:szCs w:val="24"/>
                <w:highlight w:val="none"/>
                <w:lang w:bidi="ar"/>
              </w:rPr>
              <w:t xml:space="preserve"> </w:t>
            </w:r>
            <w:r>
              <w:rPr>
                <w:rFonts w:ascii="Times New Roman" w:hAnsi="Times New Roman" w:eastAsia="宋体"/>
                <w:color w:val="auto"/>
                <w:kern w:val="0"/>
                <w:sz w:val="24"/>
                <w:szCs w:val="24"/>
                <w:highlight w:val="none"/>
                <w:lang w:bidi="ar"/>
              </w:rPr>
              <w:t xml:space="preserve">T </w:t>
            </w:r>
            <w:r>
              <w:rPr>
                <w:rFonts w:hint="eastAsia" w:ascii="Times New Roman" w:hAnsi="Times New Roman" w:eastAsia="宋体" w:cs="宋体"/>
                <w:color w:val="auto"/>
                <w:kern w:val="0"/>
                <w:sz w:val="24"/>
                <w:szCs w:val="24"/>
                <w:highlight w:val="none"/>
                <w:lang w:bidi="ar"/>
              </w:rPr>
              <w:t xml:space="preserve">为计算等效声级的时间； </w:t>
            </w:r>
          </w:p>
          <w:p w14:paraId="4B1A260A">
            <w:pPr>
              <w:keepNext w:val="0"/>
              <w:keepLines w:val="0"/>
              <w:pageBreakBefore w:val="0"/>
              <w:widowControl/>
              <w:kinsoku/>
              <w:wordWrap/>
              <w:overflowPunct/>
              <w:topLinePunct w:val="0"/>
              <w:autoSpaceDE/>
              <w:autoSpaceDN/>
              <w:bidi w:val="0"/>
              <w:adjustRightInd/>
              <w:snapToGrid/>
              <w:spacing w:line="360" w:lineRule="auto"/>
              <w:ind w:firstLine="1200" w:firstLineChars="500"/>
              <w:jc w:val="left"/>
              <w:textAlignment w:val="auto"/>
              <w:rPr>
                <w:rFonts w:ascii="Times New Roman" w:hAnsi="Times New Roman" w:eastAsia="宋体"/>
                <w:color w:val="auto"/>
                <w:sz w:val="24"/>
                <w:szCs w:val="24"/>
                <w:highlight w:val="none"/>
              </w:rPr>
            </w:pPr>
            <w:r>
              <w:rPr>
                <w:rFonts w:ascii="Times New Roman" w:hAnsi="Times New Roman" w:eastAsia="宋体"/>
                <w:color w:val="auto"/>
                <w:kern w:val="0"/>
                <w:sz w:val="24"/>
                <w:szCs w:val="24"/>
                <w:highlight w:val="none"/>
                <w:lang w:bidi="ar"/>
              </w:rPr>
              <w:t xml:space="preserve">M </w:t>
            </w:r>
            <w:r>
              <w:rPr>
                <w:rFonts w:hint="eastAsia" w:ascii="Times New Roman" w:hAnsi="Times New Roman" w:eastAsia="宋体" w:cs="宋体"/>
                <w:color w:val="auto"/>
                <w:kern w:val="0"/>
                <w:sz w:val="24"/>
                <w:szCs w:val="24"/>
                <w:highlight w:val="none"/>
                <w:lang w:bidi="ar"/>
              </w:rPr>
              <w:t>为室外声源个数；</w:t>
            </w:r>
            <w:r>
              <w:rPr>
                <w:rFonts w:ascii="Times New Roman" w:hAnsi="Times New Roman" w:eastAsia="宋体"/>
                <w:color w:val="auto"/>
                <w:kern w:val="0"/>
                <w:sz w:val="24"/>
                <w:szCs w:val="24"/>
                <w:highlight w:val="none"/>
                <w:lang w:bidi="ar"/>
              </w:rPr>
              <w:t xml:space="preserve">N </w:t>
            </w:r>
            <w:r>
              <w:rPr>
                <w:rFonts w:hint="eastAsia" w:ascii="Times New Roman" w:hAnsi="Times New Roman" w:eastAsia="宋体" w:cs="宋体"/>
                <w:color w:val="auto"/>
                <w:kern w:val="0"/>
                <w:sz w:val="24"/>
                <w:szCs w:val="24"/>
                <w:highlight w:val="none"/>
                <w:lang w:bidi="ar"/>
              </w:rPr>
              <w:t xml:space="preserve">为室内声源个数； </w:t>
            </w:r>
          </w:p>
          <w:p w14:paraId="55DA3620">
            <w:pPr>
              <w:keepNext w:val="0"/>
              <w:keepLines w:val="0"/>
              <w:pageBreakBefore w:val="0"/>
              <w:widowControl/>
              <w:kinsoku/>
              <w:wordWrap/>
              <w:overflowPunct/>
              <w:topLinePunct w:val="0"/>
              <w:autoSpaceDE/>
              <w:autoSpaceDN/>
              <w:bidi w:val="0"/>
              <w:adjustRightInd/>
              <w:snapToGrid/>
              <w:spacing w:line="360" w:lineRule="auto"/>
              <w:ind w:firstLine="1200" w:firstLineChars="500"/>
              <w:jc w:val="left"/>
              <w:textAlignment w:val="auto"/>
              <w:rPr>
                <w:rFonts w:ascii="Times New Roman" w:hAnsi="Times New Roman" w:eastAsia="宋体"/>
                <w:color w:val="auto"/>
                <w:sz w:val="24"/>
                <w:szCs w:val="24"/>
                <w:highlight w:val="none"/>
              </w:rPr>
            </w:pPr>
            <w:r>
              <w:rPr>
                <w:rFonts w:ascii="Times New Roman" w:hAnsi="Times New Roman" w:eastAsia="宋体"/>
                <w:i/>
                <w:iCs/>
                <w:color w:val="auto"/>
                <w:kern w:val="0"/>
                <w:sz w:val="24"/>
                <w:szCs w:val="24"/>
                <w:highlight w:val="none"/>
                <w:lang w:bidi="ar"/>
              </w:rPr>
              <w:t>tout</w:t>
            </w:r>
            <w:r>
              <w:rPr>
                <w:rFonts w:hint="eastAsia" w:ascii="Times New Roman" w:hAnsi="Times New Roman"/>
                <w:color w:val="auto"/>
                <w:kern w:val="0"/>
                <w:sz w:val="24"/>
                <w:szCs w:val="24"/>
                <w:highlight w:val="none"/>
                <w:lang w:eastAsia="zh-CN" w:bidi="ar"/>
              </w:rPr>
              <w:t>，</w:t>
            </w:r>
            <w:r>
              <w:rPr>
                <w:rFonts w:ascii="Times New Roman" w:hAnsi="Times New Roman" w:eastAsia="宋体"/>
                <w:i/>
                <w:iCs/>
                <w:color w:val="auto"/>
                <w:kern w:val="0"/>
                <w:sz w:val="24"/>
                <w:szCs w:val="24"/>
                <w:highlight w:val="none"/>
                <w:lang w:bidi="ar"/>
              </w:rPr>
              <w:t xml:space="preserve">i </w:t>
            </w:r>
            <w:r>
              <w:rPr>
                <w:rFonts w:hint="eastAsia" w:ascii="Times New Roman" w:hAnsi="Times New Roman" w:eastAsia="宋体" w:cs="宋体"/>
                <w:color w:val="auto"/>
                <w:kern w:val="0"/>
                <w:sz w:val="24"/>
                <w:szCs w:val="24"/>
                <w:highlight w:val="none"/>
                <w:lang w:bidi="ar"/>
              </w:rPr>
              <w:t xml:space="preserve">为 </w:t>
            </w:r>
            <w:r>
              <w:rPr>
                <w:rFonts w:ascii="Times New Roman" w:hAnsi="Times New Roman" w:eastAsia="宋体"/>
                <w:color w:val="auto"/>
                <w:kern w:val="0"/>
                <w:sz w:val="24"/>
                <w:szCs w:val="24"/>
                <w:highlight w:val="none"/>
                <w:lang w:bidi="ar"/>
              </w:rPr>
              <w:t xml:space="preserve">T </w:t>
            </w:r>
            <w:r>
              <w:rPr>
                <w:rFonts w:hint="eastAsia" w:ascii="Times New Roman" w:hAnsi="Times New Roman" w:eastAsia="宋体" w:cs="宋体"/>
                <w:color w:val="auto"/>
                <w:kern w:val="0"/>
                <w:sz w:val="24"/>
                <w:szCs w:val="24"/>
                <w:highlight w:val="none"/>
                <w:lang w:bidi="ar"/>
              </w:rPr>
              <w:t xml:space="preserve">时间内第 </w:t>
            </w:r>
            <w:r>
              <w:rPr>
                <w:rFonts w:ascii="Times New Roman" w:hAnsi="Times New Roman" w:eastAsia="宋体"/>
                <w:color w:val="auto"/>
                <w:kern w:val="0"/>
                <w:sz w:val="24"/>
                <w:szCs w:val="24"/>
                <w:highlight w:val="none"/>
                <w:lang w:bidi="ar"/>
              </w:rPr>
              <w:t xml:space="preserve">i </w:t>
            </w:r>
            <w:r>
              <w:rPr>
                <w:rFonts w:hint="eastAsia" w:ascii="Times New Roman" w:hAnsi="Times New Roman" w:eastAsia="宋体" w:cs="宋体"/>
                <w:color w:val="auto"/>
                <w:kern w:val="0"/>
                <w:sz w:val="24"/>
                <w:szCs w:val="24"/>
                <w:highlight w:val="none"/>
                <w:lang w:bidi="ar"/>
              </w:rPr>
              <w:t xml:space="preserve">个室外声源的工作时间； </w:t>
            </w:r>
          </w:p>
          <w:p w14:paraId="64C2FB0F">
            <w:pPr>
              <w:keepNext w:val="0"/>
              <w:keepLines w:val="0"/>
              <w:pageBreakBefore w:val="0"/>
              <w:widowControl/>
              <w:kinsoku/>
              <w:wordWrap/>
              <w:overflowPunct/>
              <w:topLinePunct w:val="0"/>
              <w:autoSpaceDE/>
              <w:autoSpaceDN/>
              <w:bidi w:val="0"/>
              <w:adjustRightInd/>
              <w:snapToGrid/>
              <w:spacing w:line="360" w:lineRule="auto"/>
              <w:ind w:firstLine="1200" w:firstLineChars="500"/>
              <w:jc w:val="left"/>
              <w:textAlignment w:val="auto"/>
              <w:rPr>
                <w:rFonts w:ascii="Times New Roman" w:hAnsi="Times New Roman" w:eastAsia="宋体"/>
                <w:color w:val="auto"/>
                <w:sz w:val="24"/>
                <w:szCs w:val="24"/>
                <w:highlight w:val="none"/>
              </w:rPr>
            </w:pPr>
            <w:r>
              <w:rPr>
                <w:rFonts w:ascii="Times New Roman" w:hAnsi="Times New Roman" w:eastAsia="宋体"/>
                <w:i/>
                <w:iCs/>
                <w:color w:val="auto"/>
                <w:kern w:val="0"/>
                <w:sz w:val="24"/>
                <w:szCs w:val="24"/>
                <w:highlight w:val="none"/>
                <w:lang w:bidi="ar"/>
              </w:rPr>
              <w:t>tin</w:t>
            </w:r>
            <w:r>
              <w:rPr>
                <w:rFonts w:hint="eastAsia" w:ascii="Times New Roman" w:hAnsi="Times New Roman"/>
                <w:color w:val="auto"/>
                <w:kern w:val="0"/>
                <w:sz w:val="24"/>
                <w:szCs w:val="24"/>
                <w:highlight w:val="none"/>
                <w:lang w:eastAsia="zh-CN" w:bidi="ar"/>
              </w:rPr>
              <w:t>，</w:t>
            </w:r>
            <w:r>
              <w:rPr>
                <w:rFonts w:ascii="Times New Roman" w:hAnsi="Times New Roman" w:eastAsia="宋体"/>
                <w:color w:val="auto"/>
                <w:kern w:val="0"/>
                <w:sz w:val="24"/>
                <w:szCs w:val="24"/>
                <w:highlight w:val="none"/>
                <w:lang w:bidi="ar"/>
              </w:rPr>
              <w:t xml:space="preserve"> </w:t>
            </w:r>
            <w:r>
              <w:rPr>
                <w:rFonts w:ascii="Times New Roman" w:hAnsi="Times New Roman" w:eastAsia="宋体"/>
                <w:i/>
                <w:iCs/>
                <w:color w:val="auto"/>
                <w:kern w:val="0"/>
                <w:sz w:val="24"/>
                <w:szCs w:val="24"/>
                <w:highlight w:val="none"/>
                <w:lang w:bidi="ar"/>
              </w:rPr>
              <w:t xml:space="preserve">j </w:t>
            </w:r>
            <w:r>
              <w:rPr>
                <w:rFonts w:hint="eastAsia" w:ascii="Times New Roman" w:hAnsi="Times New Roman" w:eastAsia="宋体" w:cs="宋体"/>
                <w:color w:val="auto"/>
                <w:kern w:val="0"/>
                <w:sz w:val="24"/>
                <w:szCs w:val="24"/>
                <w:highlight w:val="none"/>
                <w:lang w:bidi="ar"/>
              </w:rPr>
              <w:t xml:space="preserve">为 </w:t>
            </w:r>
            <w:r>
              <w:rPr>
                <w:rFonts w:ascii="Times New Roman" w:hAnsi="Times New Roman" w:eastAsia="宋体"/>
                <w:color w:val="auto"/>
                <w:kern w:val="0"/>
                <w:sz w:val="24"/>
                <w:szCs w:val="24"/>
                <w:highlight w:val="none"/>
                <w:lang w:bidi="ar"/>
              </w:rPr>
              <w:t xml:space="preserve">T </w:t>
            </w:r>
            <w:r>
              <w:rPr>
                <w:rFonts w:hint="eastAsia" w:ascii="Times New Roman" w:hAnsi="Times New Roman" w:eastAsia="宋体" w:cs="宋体"/>
                <w:color w:val="auto"/>
                <w:kern w:val="0"/>
                <w:sz w:val="24"/>
                <w:szCs w:val="24"/>
                <w:highlight w:val="none"/>
                <w:lang w:bidi="ar"/>
              </w:rPr>
              <w:t xml:space="preserve">时间内第 </w:t>
            </w:r>
            <w:r>
              <w:rPr>
                <w:rFonts w:ascii="Times New Roman" w:hAnsi="Times New Roman" w:eastAsia="宋体"/>
                <w:color w:val="auto"/>
                <w:kern w:val="0"/>
                <w:sz w:val="24"/>
                <w:szCs w:val="24"/>
                <w:highlight w:val="none"/>
                <w:lang w:bidi="ar"/>
              </w:rPr>
              <w:t xml:space="preserve">j </w:t>
            </w:r>
            <w:r>
              <w:rPr>
                <w:rFonts w:hint="eastAsia" w:ascii="Times New Roman" w:hAnsi="Times New Roman" w:eastAsia="宋体" w:cs="宋体"/>
                <w:color w:val="auto"/>
                <w:kern w:val="0"/>
                <w:sz w:val="24"/>
                <w:szCs w:val="24"/>
                <w:highlight w:val="none"/>
                <w:lang w:bidi="ar"/>
              </w:rPr>
              <w:t xml:space="preserve">个室内声源的工作时间。 </w:t>
            </w:r>
          </w:p>
          <w:p w14:paraId="4D609187">
            <w:pPr>
              <w:keepNext w:val="0"/>
              <w:keepLines w:val="0"/>
              <w:pageBreakBefore w:val="0"/>
              <w:widowControl/>
              <w:kinsoku/>
              <w:wordWrap/>
              <w:overflowPunct/>
              <w:topLinePunct w:val="0"/>
              <w:autoSpaceDE/>
              <w:autoSpaceDN/>
              <w:bidi w:val="0"/>
              <w:adjustRightInd/>
              <w:snapToGrid/>
              <w:spacing w:line="360" w:lineRule="auto"/>
              <w:ind w:firstLine="1200" w:firstLineChars="500"/>
              <w:jc w:val="left"/>
              <w:textAlignment w:val="auto"/>
              <w:rPr>
                <w:rFonts w:hint="eastAsia" w:ascii="Times New Roman" w:hAnsi="Times New Roman" w:eastAsia="宋体" w:cs="宋体"/>
                <w:color w:val="auto"/>
                <w:kern w:val="0"/>
                <w:sz w:val="24"/>
                <w:szCs w:val="24"/>
                <w:highlight w:val="none"/>
                <w:lang w:bidi="ar"/>
              </w:rPr>
            </w:pPr>
            <w:r>
              <w:rPr>
                <w:rFonts w:ascii="Times New Roman" w:hAnsi="Times New Roman" w:eastAsia="宋体"/>
                <w:i/>
                <w:iCs/>
                <w:color w:val="auto"/>
                <w:kern w:val="0"/>
                <w:sz w:val="24"/>
                <w:szCs w:val="24"/>
                <w:highlight w:val="none"/>
                <w:lang w:bidi="ar"/>
              </w:rPr>
              <w:t xml:space="preserve">tout </w:t>
            </w:r>
            <w:r>
              <w:rPr>
                <w:rFonts w:hint="eastAsia" w:ascii="Times New Roman" w:hAnsi="Times New Roman" w:eastAsia="宋体" w:cs="宋体"/>
                <w:color w:val="auto"/>
                <w:kern w:val="0"/>
                <w:sz w:val="24"/>
                <w:szCs w:val="24"/>
                <w:highlight w:val="none"/>
                <w:lang w:bidi="ar"/>
              </w:rPr>
              <w:t>和</w:t>
            </w:r>
            <w:r>
              <w:rPr>
                <w:rFonts w:ascii="Times New Roman" w:hAnsi="Times New Roman" w:eastAsia="宋体"/>
                <w:i/>
                <w:iCs/>
                <w:color w:val="auto"/>
                <w:kern w:val="0"/>
                <w:sz w:val="24"/>
                <w:szCs w:val="24"/>
                <w:highlight w:val="none"/>
                <w:lang w:bidi="ar"/>
              </w:rPr>
              <w:t>tin</w:t>
            </w:r>
            <w:r>
              <w:rPr>
                <w:rFonts w:hint="eastAsia" w:ascii="Times New Roman" w:hAnsi="Times New Roman" w:eastAsia="宋体" w:cs="宋体"/>
                <w:color w:val="auto"/>
                <w:kern w:val="0"/>
                <w:sz w:val="24"/>
                <w:szCs w:val="24"/>
                <w:highlight w:val="none"/>
                <w:lang w:bidi="ar"/>
              </w:rPr>
              <w:t xml:space="preserve">均按 </w:t>
            </w:r>
            <w:r>
              <w:rPr>
                <w:rFonts w:ascii="Times New Roman" w:hAnsi="Times New Roman" w:eastAsia="宋体"/>
                <w:color w:val="auto"/>
                <w:kern w:val="0"/>
                <w:sz w:val="24"/>
                <w:szCs w:val="24"/>
                <w:highlight w:val="none"/>
                <w:lang w:bidi="ar"/>
              </w:rPr>
              <w:t xml:space="preserve">T </w:t>
            </w:r>
            <w:r>
              <w:rPr>
                <w:rFonts w:hint="eastAsia" w:ascii="Times New Roman" w:hAnsi="Times New Roman" w:eastAsia="宋体" w:cs="宋体"/>
                <w:color w:val="auto"/>
                <w:kern w:val="0"/>
                <w:sz w:val="24"/>
                <w:szCs w:val="24"/>
                <w:highlight w:val="none"/>
                <w:lang w:bidi="ar"/>
              </w:rPr>
              <w:t>时间内实际工作时间计算。</w:t>
            </w:r>
          </w:p>
          <w:p w14:paraId="7893B3A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sz w:val="24"/>
                <w:szCs w:val="24"/>
                <w:highlight w:val="none"/>
              </w:rPr>
            </w:pPr>
            <w:r>
              <w:rPr>
                <w:rFonts w:hint="eastAsia" w:ascii="Times New Roman" w:hAnsi="Times New Roman" w:eastAsia="宋体" w:cs="宋体"/>
                <w:color w:val="auto"/>
                <w:sz w:val="24"/>
                <w:szCs w:val="24"/>
                <w:highlight w:val="none"/>
              </w:rPr>
              <w:t>①</w:t>
            </w:r>
            <w:r>
              <w:rPr>
                <w:rFonts w:ascii="Times New Roman" w:hAnsi="Times New Roman" w:eastAsia="宋体"/>
                <w:color w:val="auto"/>
                <w:sz w:val="24"/>
                <w:szCs w:val="24"/>
                <w:highlight w:val="none"/>
              </w:rPr>
              <w:t>点声源预测模式</w:t>
            </w:r>
          </w:p>
          <w:p w14:paraId="64A0D737">
            <w:pPr>
              <w:tabs>
                <w:tab w:val="left" w:pos="-160"/>
              </w:tabs>
              <w:spacing w:line="360" w:lineRule="auto"/>
              <w:ind w:firstLine="2160" w:firstLineChars="900"/>
              <w:rPr>
                <w:rFonts w:ascii="Times New Roman" w:hAnsi="Times New Roman" w:eastAsia="宋体"/>
                <w:color w:val="auto"/>
                <w:kern w:val="24"/>
                <w:sz w:val="24"/>
                <w:szCs w:val="24"/>
                <w:highlight w:val="none"/>
              </w:rPr>
            </w:pPr>
            <w:r>
              <w:rPr>
                <w:rFonts w:ascii="Times New Roman" w:hAnsi="Times New Roman" w:eastAsia="宋体"/>
                <w:color w:val="auto"/>
                <w:kern w:val="24"/>
                <w:sz w:val="24"/>
                <w:szCs w:val="24"/>
                <w:highlight w:val="none"/>
              </w:rPr>
              <w:t>LA（r）=  L</w:t>
            </w:r>
            <w:r>
              <w:rPr>
                <w:rFonts w:ascii="Times New Roman" w:hAnsi="Times New Roman" w:eastAsia="宋体"/>
                <w:color w:val="auto"/>
                <w:kern w:val="24"/>
                <w:sz w:val="24"/>
                <w:szCs w:val="24"/>
                <w:highlight w:val="none"/>
                <w:vertAlign w:val="subscript"/>
              </w:rPr>
              <w:t>WA</w:t>
            </w:r>
            <w:r>
              <w:rPr>
                <w:rFonts w:ascii="Times New Roman" w:hAnsi="Times New Roman" w:eastAsia="宋体"/>
                <w:color w:val="auto"/>
                <w:kern w:val="24"/>
                <w:sz w:val="24"/>
                <w:szCs w:val="24"/>
                <w:highlight w:val="none"/>
              </w:rPr>
              <w:t xml:space="preserve"> - 20lg（r）</w:t>
            </w:r>
          </w:p>
          <w:p w14:paraId="7A178174">
            <w:pPr>
              <w:tabs>
                <w:tab w:val="left" w:pos="-160"/>
              </w:tabs>
              <w:spacing w:line="360" w:lineRule="auto"/>
              <w:jc w:val="center"/>
              <w:rPr>
                <w:rFonts w:ascii="Times New Roman" w:hAnsi="Times New Roman" w:eastAsia="宋体"/>
                <w:color w:val="auto"/>
                <w:kern w:val="24"/>
                <w:sz w:val="24"/>
                <w:szCs w:val="24"/>
                <w:highlight w:val="none"/>
              </w:rPr>
            </w:pPr>
            <w:r>
              <w:rPr>
                <w:rFonts w:ascii="Times New Roman" w:hAnsi="Times New Roman" w:eastAsia="宋体"/>
                <w:color w:val="auto"/>
                <w:kern w:val="24"/>
                <w:sz w:val="24"/>
                <w:szCs w:val="24"/>
                <w:highlight w:val="none"/>
              </w:rPr>
              <w:t>式中：A</w:t>
            </w:r>
            <w:r>
              <w:rPr>
                <w:rFonts w:hint="eastAsia" w:ascii="Times New Roman" w:hAnsi="Times New Roman" w:eastAsia="宋体"/>
                <w:color w:val="auto"/>
                <w:kern w:val="24"/>
                <w:sz w:val="24"/>
                <w:szCs w:val="24"/>
                <w:highlight w:val="none"/>
                <w:lang w:eastAsia="zh-CN"/>
              </w:rPr>
              <w:t>（</w:t>
            </w:r>
            <w:r>
              <w:rPr>
                <w:rFonts w:ascii="Times New Roman" w:hAnsi="Times New Roman" w:eastAsia="宋体"/>
                <w:color w:val="auto"/>
                <w:kern w:val="24"/>
                <w:sz w:val="24"/>
                <w:szCs w:val="24"/>
                <w:highlight w:val="none"/>
              </w:rPr>
              <w:t>r</w:t>
            </w:r>
            <w:r>
              <w:rPr>
                <w:rFonts w:hint="eastAsia" w:ascii="Times New Roman" w:hAnsi="Times New Roman" w:eastAsia="宋体"/>
                <w:color w:val="auto"/>
                <w:kern w:val="24"/>
                <w:sz w:val="24"/>
                <w:szCs w:val="24"/>
                <w:highlight w:val="none"/>
                <w:lang w:eastAsia="zh-CN"/>
              </w:rPr>
              <w:t>）</w:t>
            </w:r>
            <w:r>
              <w:rPr>
                <w:rFonts w:ascii="Times New Roman" w:hAnsi="Times New Roman" w:eastAsia="宋体"/>
                <w:color w:val="auto"/>
                <w:kern w:val="24"/>
                <w:sz w:val="24"/>
                <w:szCs w:val="24"/>
                <w:highlight w:val="none"/>
              </w:rPr>
              <w:t>——距噪声源r m处预测点的A声级（dB</w:t>
            </w:r>
            <w:r>
              <w:rPr>
                <w:rFonts w:hint="eastAsia" w:ascii="Times New Roman" w:hAnsi="Times New Roman" w:eastAsia="宋体"/>
                <w:color w:val="auto"/>
                <w:kern w:val="24"/>
                <w:sz w:val="24"/>
                <w:szCs w:val="24"/>
                <w:highlight w:val="none"/>
                <w:lang w:eastAsia="zh-CN"/>
              </w:rPr>
              <w:t>（</w:t>
            </w:r>
            <w:r>
              <w:rPr>
                <w:rFonts w:ascii="Times New Roman" w:hAnsi="Times New Roman" w:eastAsia="宋体"/>
                <w:color w:val="auto"/>
                <w:kern w:val="24"/>
                <w:sz w:val="24"/>
                <w:szCs w:val="24"/>
                <w:highlight w:val="none"/>
              </w:rPr>
              <w:t>A</w:t>
            </w:r>
            <w:r>
              <w:rPr>
                <w:rFonts w:hint="eastAsia" w:ascii="Times New Roman" w:hAnsi="Times New Roman" w:eastAsia="宋体"/>
                <w:color w:val="auto"/>
                <w:kern w:val="24"/>
                <w:sz w:val="24"/>
                <w:szCs w:val="24"/>
                <w:highlight w:val="none"/>
                <w:lang w:eastAsia="zh-CN"/>
              </w:rPr>
              <w:t>）</w:t>
            </w:r>
            <w:r>
              <w:rPr>
                <w:rFonts w:ascii="Times New Roman" w:hAnsi="Times New Roman" w:eastAsia="宋体"/>
                <w:color w:val="auto"/>
                <w:kern w:val="24"/>
                <w:sz w:val="24"/>
                <w:szCs w:val="24"/>
                <w:highlight w:val="none"/>
              </w:rPr>
              <w:t>）；</w:t>
            </w:r>
          </w:p>
          <w:p w14:paraId="5985FAA8">
            <w:pPr>
              <w:tabs>
                <w:tab w:val="left" w:pos="-160"/>
              </w:tabs>
              <w:spacing w:line="360" w:lineRule="auto"/>
              <w:ind w:firstLine="2160" w:firstLineChars="900"/>
              <w:rPr>
                <w:rFonts w:ascii="Times New Roman" w:hAnsi="Times New Roman" w:eastAsia="宋体"/>
                <w:color w:val="auto"/>
                <w:kern w:val="24"/>
                <w:sz w:val="24"/>
                <w:szCs w:val="24"/>
                <w:highlight w:val="none"/>
              </w:rPr>
            </w:pPr>
            <w:r>
              <w:rPr>
                <w:rFonts w:ascii="Times New Roman" w:hAnsi="Times New Roman" w:eastAsia="宋体"/>
                <w:color w:val="auto"/>
                <w:kern w:val="24"/>
                <w:sz w:val="24"/>
                <w:szCs w:val="24"/>
                <w:highlight w:val="none"/>
              </w:rPr>
              <w:t>L</w:t>
            </w:r>
            <w:r>
              <w:rPr>
                <w:rFonts w:ascii="Times New Roman" w:hAnsi="Times New Roman" w:eastAsia="宋体"/>
                <w:color w:val="auto"/>
                <w:kern w:val="24"/>
                <w:sz w:val="24"/>
                <w:szCs w:val="24"/>
                <w:highlight w:val="none"/>
                <w:vertAlign w:val="subscript"/>
              </w:rPr>
              <w:t xml:space="preserve">WA </w:t>
            </w:r>
            <w:r>
              <w:rPr>
                <w:rFonts w:ascii="Times New Roman" w:hAnsi="Times New Roman" w:eastAsia="宋体"/>
                <w:color w:val="auto"/>
                <w:kern w:val="24"/>
                <w:sz w:val="24"/>
                <w:szCs w:val="24"/>
                <w:highlight w:val="none"/>
              </w:rPr>
              <w:t>——点声源的A声级（dB</w:t>
            </w:r>
            <w:r>
              <w:rPr>
                <w:rFonts w:hint="eastAsia" w:ascii="Times New Roman" w:hAnsi="Times New Roman" w:eastAsia="宋体"/>
                <w:color w:val="auto"/>
                <w:kern w:val="24"/>
                <w:sz w:val="24"/>
                <w:szCs w:val="24"/>
                <w:highlight w:val="none"/>
                <w:lang w:eastAsia="zh-CN"/>
              </w:rPr>
              <w:t>（</w:t>
            </w:r>
            <w:r>
              <w:rPr>
                <w:rFonts w:ascii="Times New Roman" w:hAnsi="Times New Roman" w:eastAsia="宋体"/>
                <w:color w:val="auto"/>
                <w:kern w:val="24"/>
                <w:sz w:val="24"/>
                <w:szCs w:val="24"/>
                <w:highlight w:val="none"/>
              </w:rPr>
              <w:t>A</w:t>
            </w:r>
            <w:r>
              <w:rPr>
                <w:rFonts w:hint="eastAsia" w:ascii="Times New Roman" w:hAnsi="Times New Roman" w:eastAsia="宋体"/>
                <w:color w:val="auto"/>
                <w:kern w:val="24"/>
                <w:sz w:val="24"/>
                <w:szCs w:val="24"/>
                <w:highlight w:val="none"/>
                <w:lang w:eastAsia="zh-CN"/>
              </w:rPr>
              <w:t>）</w:t>
            </w:r>
            <w:r>
              <w:rPr>
                <w:rFonts w:ascii="Times New Roman" w:hAnsi="Times New Roman" w:eastAsia="宋体"/>
                <w:color w:val="auto"/>
                <w:kern w:val="24"/>
                <w:sz w:val="24"/>
                <w:szCs w:val="24"/>
                <w:highlight w:val="none"/>
              </w:rPr>
              <w:t>）；</w:t>
            </w:r>
          </w:p>
          <w:p w14:paraId="707199A8">
            <w:pPr>
              <w:pStyle w:val="13"/>
              <w:spacing w:after="0" w:line="360" w:lineRule="auto"/>
              <w:ind w:left="0" w:leftChars="0" w:firstLine="2160" w:firstLineChars="900"/>
              <w:rPr>
                <w:rFonts w:ascii="Times New Roman" w:hAnsi="Times New Roman" w:eastAsia="宋体"/>
                <w:color w:val="auto"/>
                <w:kern w:val="24"/>
                <w:sz w:val="24"/>
                <w:szCs w:val="24"/>
                <w:highlight w:val="none"/>
              </w:rPr>
            </w:pPr>
            <w:r>
              <w:rPr>
                <w:rFonts w:ascii="Times New Roman" w:hAnsi="Times New Roman" w:eastAsia="宋体"/>
                <w:color w:val="auto"/>
                <w:kern w:val="24"/>
                <w:sz w:val="24"/>
                <w:szCs w:val="24"/>
                <w:highlight w:val="none"/>
              </w:rPr>
              <w:t>r ——点声源至预测点的距离（m）；</w:t>
            </w:r>
          </w:p>
          <w:p w14:paraId="12183461">
            <w:pPr>
              <w:spacing w:line="360" w:lineRule="auto"/>
              <w:ind w:firstLine="480" w:firstLineChars="200"/>
              <w:rPr>
                <w:rFonts w:ascii="Times New Roman" w:hAnsi="Times New Roman" w:eastAsia="宋体"/>
                <w:color w:val="auto"/>
                <w:sz w:val="24"/>
                <w:szCs w:val="24"/>
                <w:highlight w:val="none"/>
              </w:rPr>
            </w:pPr>
            <w:r>
              <w:rPr>
                <w:rFonts w:hint="eastAsia" w:ascii="Times New Roman" w:hAnsi="Times New Roman" w:eastAsia="宋体" w:cs="宋体"/>
                <w:color w:val="auto"/>
                <w:sz w:val="24"/>
                <w:szCs w:val="24"/>
                <w:highlight w:val="none"/>
              </w:rPr>
              <w:t>②</w:t>
            </w:r>
            <w:r>
              <w:rPr>
                <w:rFonts w:ascii="Times New Roman" w:hAnsi="Times New Roman" w:eastAsia="宋体"/>
                <w:color w:val="auto"/>
                <w:sz w:val="24"/>
                <w:szCs w:val="24"/>
                <w:highlight w:val="none"/>
              </w:rPr>
              <w:t>多声源叠加模式</w:t>
            </w:r>
          </w:p>
          <w:p w14:paraId="1117DD63">
            <w:pPr>
              <w:spacing w:line="360" w:lineRule="auto"/>
              <w:jc w:val="center"/>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object>
                <v:shape id="_x0000_i1029" o:spt="75" type="#_x0000_t75" style="height:33.8pt;width:97.05pt;" o:ole="t" filled="f" o:preferrelative="t" stroked="f" coordsize="21600,21600">
                  <v:path/>
                  <v:fill on="f" focussize="0,0"/>
                  <v:stroke on="f"/>
                  <v:imagedata r:id="rId31" embosscolor="#FFFFFF" o:title=""/>
                  <o:lock v:ext="edit" grouping="f" rotation="f" text="f" aspectratio="t"/>
                  <w10:wrap type="none"/>
                  <w10:anchorlock/>
                </v:shape>
                <o:OLEObject Type="Embed" ProgID="Equation.3" ShapeID="_x0000_i1029" DrawAspect="Content" ObjectID="_1468075730" r:id="rId30">
                  <o:LockedField>false</o:LockedField>
                </o:OLEObject>
              </w:object>
            </w:r>
          </w:p>
          <w:p w14:paraId="58E1A29E">
            <w:pPr>
              <w:spacing w:line="360" w:lineRule="auto"/>
              <w:ind w:firstLine="1440" w:firstLineChars="6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式中</w:t>
            </w:r>
            <w:r>
              <w:rPr>
                <w:rFonts w:ascii="Times New Roman" w:hAnsi="Times New Roman" w:eastAsia="宋体"/>
                <w:color w:val="auto"/>
                <w:kern w:val="24"/>
                <w:sz w:val="24"/>
                <w:szCs w:val="24"/>
                <w:highlight w:val="none"/>
              </w:rPr>
              <w:t>：</w:t>
            </w:r>
            <w:r>
              <w:rPr>
                <w:rFonts w:ascii="Times New Roman" w:hAnsi="Times New Roman" w:eastAsia="宋体"/>
                <w:color w:val="auto"/>
                <w:sz w:val="24"/>
                <w:szCs w:val="24"/>
                <w:highlight w:val="none"/>
              </w:rPr>
              <w:t xml:space="preserve"> L</w:t>
            </w:r>
            <w:r>
              <w:rPr>
                <w:rFonts w:ascii="Times New Roman" w:hAnsi="Times New Roman" w:eastAsia="宋体"/>
                <w:color w:val="auto"/>
                <w:sz w:val="24"/>
                <w:szCs w:val="24"/>
                <w:highlight w:val="none"/>
                <w:vertAlign w:val="subscript"/>
              </w:rPr>
              <w:t>0</w:t>
            </w:r>
            <w:r>
              <w:rPr>
                <w:rFonts w:ascii="Times New Roman" w:hAnsi="Times New Roman" w:eastAsia="宋体"/>
                <w:color w:val="auto"/>
                <w:kern w:val="24"/>
                <w:sz w:val="24"/>
                <w:szCs w:val="24"/>
                <w:highlight w:val="none"/>
              </w:rPr>
              <w:t>——</w:t>
            </w:r>
            <w:r>
              <w:rPr>
                <w:rFonts w:ascii="Times New Roman" w:hAnsi="Times New Roman" w:eastAsia="宋体"/>
                <w:color w:val="auto"/>
                <w:sz w:val="24"/>
                <w:szCs w:val="24"/>
                <w:highlight w:val="none"/>
              </w:rPr>
              <w:t>叠加后总声压级，dB</w:t>
            </w:r>
            <w:r>
              <w:rPr>
                <w:rFonts w:hint="eastAsia" w:ascii="Times New Roman" w:hAnsi="Times New Roman" w:eastAsia="宋体"/>
                <w:color w:val="auto"/>
                <w:sz w:val="24"/>
                <w:szCs w:val="24"/>
                <w:highlight w:val="none"/>
                <w:lang w:eastAsia="zh-CN"/>
              </w:rPr>
              <w:t>（</w:t>
            </w:r>
            <w:r>
              <w:rPr>
                <w:rFonts w:ascii="Times New Roman" w:hAnsi="Times New Roman" w:eastAsia="宋体"/>
                <w:color w:val="auto"/>
                <w:sz w:val="24"/>
                <w:szCs w:val="24"/>
                <w:highlight w:val="none"/>
              </w:rPr>
              <w:t>A</w:t>
            </w:r>
            <w:r>
              <w:rPr>
                <w:rFonts w:hint="eastAsia" w:ascii="Times New Roman" w:hAnsi="Times New Roman" w:eastAsia="宋体"/>
                <w:color w:val="auto"/>
                <w:sz w:val="24"/>
                <w:szCs w:val="24"/>
                <w:highlight w:val="none"/>
                <w:lang w:eastAsia="zh-CN"/>
              </w:rPr>
              <w:t>）</w:t>
            </w:r>
            <w:r>
              <w:rPr>
                <w:rFonts w:ascii="Times New Roman" w:hAnsi="Times New Roman" w:eastAsia="宋体"/>
                <w:color w:val="auto"/>
                <w:sz w:val="24"/>
                <w:szCs w:val="24"/>
                <w:highlight w:val="none"/>
              </w:rPr>
              <w:t>；</w:t>
            </w:r>
          </w:p>
          <w:p w14:paraId="4A718B27">
            <w:pPr>
              <w:spacing w:line="360" w:lineRule="auto"/>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 xml:space="preserve">                   n</w:t>
            </w:r>
            <w:r>
              <w:rPr>
                <w:rFonts w:ascii="Times New Roman" w:hAnsi="Times New Roman" w:eastAsia="宋体"/>
                <w:color w:val="auto"/>
                <w:kern w:val="24"/>
                <w:sz w:val="24"/>
                <w:szCs w:val="24"/>
                <w:highlight w:val="none"/>
              </w:rPr>
              <w:t>——</w:t>
            </w:r>
            <w:r>
              <w:rPr>
                <w:rFonts w:ascii="Times New Roman" w:hAnsi="Times New Roman" w:eastAsia="宋体"/>
                <w:color w:val="auto"/>
                <w:sz w:val="24"/>
                <w:szCs w:val="24"/>
                <w:highlight w:val="none"/>
              </w:rPr>
              <w:t>声源级数；</w:t>
            </w:r>
          </w:p>
          <w:p w14:paraId="14B0A6E2">
            <w:pPr>
              <w:spacing w:line="360" w:lineRule="auto"/>
              <w:ind w:firstLine="2280" w:firstLineChars="95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Li</w:t>
            </w:r>
            <w:r>
              <w:rPr>
                <w:rFonts w:ascii="Times New Roman" w:hAnsi="Times New Roman" w:eastAsia="宋体"/>
                <w:color w:val="auto"/>
                <w:kern w:val="24"/>
                <w:sz w:val="24"/>
                <w:szCs w:val="24"/>
                <w:highlight w:val="none"/>
              </w:rPr>
              <w:t>——</w:t>
            </w:r>
            <w:r>
              <w:rPr>
                <w:rFonts w:ascii="Times New Roman" w:hAnsi="Times New Roman" w:eastAsia="宋体"/>
                <w:color w:val="auto"/>
                <w:sz w:val="24"/>
                <w:szCs w:val="24"/>
                <w:highlight w:val="none"/>
              </w:rPr>
              <w:t>各声源对某点的声压值，dB</w:t>
            </w:r>
            <w:r>
              <w:rPr>
                <w:rFonts w:hint="eastAsia" w:ascii="Times New Roman" w:hAnsi="Times New Roman" w:eastAsia="宋体"/>
                <w:color w:val="auto"/>
                <w:sz w:val="24"/>
                <w:szCs w:val="24"/>
                <w:highlight w:val="none"/>
                <w:lang w:eastAsia="zh-CN"/>
              </w:rPr>
              <w:t>（</w:t>
            </w:r>
            <w:r>
              <w:rPr>
                <w:rFonts w:ascii="Times New Roman" w:hAnsi="Times New Roman" w:eastAsia="宋体"/>
                <w:color w:val="auto"/>
                <w:sz w:val="24"/>
                <w:szCs w:val="24"/>
                <w:highlight w:val="none"/>
              </w:rPr>
              <w:t>A</w:t>
            </w:r>
            <w:r>
              <w:rPr>
                <w:rFonts w:hint="eastAsia" w:ascii="Times New Roman" w:hAnsi="Times New Roman" w:eastAsia="宋体"/>
                <w:color w:val="auto"/>
                <w:sz w:val="24"/>
                <w:szCs w:val="24"/>
                <w:highlight w:val="none"/>
                <w:lang w:eastAsia="zh-CN"/>
              </w:rPr>
              <w:t>）</w:t>
            </w:r>
            <w:r>
              <w:rPr>
                <w:rFonts w:ascii="Times New Roman" w:hAnsi="Times New Roman" w:eastAsia="宋体"/>
                <w:color w:val="auto"/>
                <w:sz w:val="24"/>
                <w:szCs w:val="24"/>
                <w:highlight w:val="none"/>
              </w:rPr>
              <w:t>；</w:t>
            </w:r>
          </w:p>
          <w:p w14:paraId="1A75EC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baseline"/>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结合平面布置图，根据预测模式计算出噪声源传播至各厂界1m处噪声值，结果见下表：</w:t>
            </w:r>
          </w:p>
          <w:p w14:paraId="794CF0D1">
            <w:pPr>
              <w:keepNext w:val="0"/>
              <w:keepLines w:val="0"/>
              <w:pageBreakBefore w:val="0"/>
              <w:widowControl w:val="0"/>
              <w:kinsoku/>
              <w:wordWrap/>
              <w:overflowPunct/>
              <w:topLinePunct w:val="0"/>
              <w:autoSpaceDE/>
              <w:autoSpaceDN/>
              <w:bidi w:val="0"/>
              <w:adjustRightInd/>
              <w:snapToGrid/>
              <w:spacing w:line="360" w:lineRule="auto"/>
              <w:jc w:val="center"/>
              <w:textAlignment w:val="baseline"/>
              <w:rPr>
                <w:rFonts w:ascii="Times New Roman" w:hAnsi="Times New Roman" w:eastAsia="宋体"/>
                <w:color w:val="auto"/>
                <w:sz w:val="24"/>
                <w:szCs w:val="24"/>
                <w:highlight w:val="none"/>
              </w:rPr>
            </w:pPr>
            <w:r>
              <w:rPr>
                <w:rFonts w:hint="default" w:ascii="Times New Roman" w:hAnsi="Times New Roman" w:eastAsia="宋体" w:cs="Times New Roman"/>
                <w:b/>
                <w:bCs/>
                <w:color w:val="auto"/>
                <w:kern w:val="21"/>
                <w:sz w:val="21"/>
                <w:szCs w:val="21"/>
              </w:rPr>
              <w:t>表4-</w:t>
            </w:r>
            <w:r>
              <w:rPr>
                <w:rFonts w:hint="eastAsia" w:cs="Times New Roman"/>
                <w:b/>
                <w:bCs/>
                <w:color w:val="auto"/>
                <w:kern w:val="21"/>
                <w:sz w:val="21"/>
                <w:szCs w:val="21"/>
                <w:lang w:val="en-US" w:eastAsia="zh-CN"/>
              </w:rPr>
              <w:t>6</w:t>
            </w:r>
            <w:r>
              <w:rPr>
                <w:rFonts w:hint="default" w:ascii="Times New Roman" w:hAnsi="Times New Roman" w:eastAsia="宋体" w:cs="Times New Roman"/>
                <w:b/>
                <w:bCs/>
                <w:color w:val="auto"/>
                <w:sz w:val="21"/>
                <w:szCs w:val="21"/>
              </w:rPr>
              <w:t>噪声源强调查清单</w:t>
            </w:r>
          </w:p>
          <w:tbl>
            <w:tblPr>
              <w:tblStyle w:val="3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4"/>
              <w:gridCol w:w="427"/>
              <w:gridCol w:w="427"/>
              <w:gridCol w:w="802"/>
              <w:gridCol w:w="481"/>
              <w:gridCol w:w="660"/>
              <w:gridCol w:w="628"/>
              <w:gridCol w:w="628"/>
              <w:gridCol w:w="632"/>
              <w:gridCol w:w="402"/>
              <w:gridCol w:w="703"/>
              <w:gridCol w:w="421"/>
              <w:gridCol w:w="754"/>
              <w:gridCol w:w="828"/>
            </w:tblGrid>
            <w:tr w14:paraId="6B9B87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 w:type="pct"/>
                  <w:vMerge w:val="restart"/>
                  <w:tcBorders>
                    <w:tl2br w:val="nil"/>
                    <w:tr2bl w:val="nil"/>
                  </w:tcBorders>
                  <w:noWrap w:val="0"/>
                  <w:vAlign w:val="center"/>
                </w:tcPr>
                <w:p w14:paraId="4C3F1651">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序号</w:t>
                  </w:r>
                </w:p>
              </w:tc>
              <w:tc>
                <w:tcPr>
                  <w:tcW w:w="260" w:type="pct"/>
                  <w:vMerge w:val="restart"/>
                  <w:tcBorders>
                    <w:tl2br w:val="nil"/>
                    <w:tr2bl w:val="nil"/>
                  </w:tcBorders>
                  <w:noWrap w:val="0"/>
                  <w:vAlign w:val="center"/>
                </w:tcPr>
                <w:p w14:paraId="4D098C4F">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建筑物名称</w:t>
                  </w:r>
                </w:p>
              </w:tc>
              <w:tc>
                <w:tcPr>
                  <w:tcW w:w="260" w:type="pct"/>
                  <w:vMerge w:val="restart"/>
                  <w:tcBorders>
                    <w:tl2br w:val="nil"/>
                    <w:tr2bl w:val="nil"/>
                  </w:tcBorders>
                  <w:noWrap w:val="0"/>
                  <w:vAlign w:val="center"/>
                </w:tcPr>
                <w:p w14:paraId="373015F0">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声源名称</w:t>
                  </w:r>
                </w:p>
              </w:tc>
              <w:tc>
                <w:tcPr>
                  <w:tcW w:w="781" w:type="pct"/>
                  <w:gridSpan w:val="2"/>
                  <w:tcBorders>
                    <w:tl2br w:val="nil"/>
                    <w:tr2bl w:val="nil"/>
                  </w:tcBorders>
                  <w:noWrap w:val="0"/>
                  <w:vAlign w:val="center"/>
                </w:tcPr>
                <w:p w14:paraId="3248AA6A">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声源源强</w:t>
                  </w:r>
                </w:p>
              </w:tc>
              <w:tc>
                <w:tcPr>
                  <w:tcW w:w="402" w:type="pct"/>
                  <w:vMerge w:val="restart"/>
                  <w:tcBorders>
                    <w:tl2br w:val="nil"/>
                    <w:tr2bl w:val="nil"/>
                  </w:tcBorders>
                  <w:noWrap w:val="0"/>
                  <w:vAlign w:val="center"/>
                </w:tcPr>
                <w:p w14:paraId="642DB3CA">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声源控制措施</w:t>
                  </w:r>
                </w:p>
              </w:tc>
              <w:tc>
                <w:tcPr>
                  <w:tcW w:w="1149" w:type="pct"/>
                  <w:gridSpan w:val="3"/>
                  <w:vMerge w:val="restart"/>
                  <w:tcBorders>
                    <w:tl2br w:val="nil"/>
                    <w:tr2bl w:val="nil"/>
                  </w:tcBorders>
                  <w:noWrap w:val="0"/>
                  <w:vAlign w:val="center"/>
                </w:tcPr>
                <w:p w14:paraId="2265F721">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空间相对位置/m</w:t>
                  </w:r>
                </w:p>
              </w:tc>
              <w:tc>
                <w:tcPr>
                  <w:tcW w:w="245" w:type="pct"/>
                  <w:vMerge w:val="restart"/>
                  <w:tcBorders>
                    <w:tl2br w:val="nil"/>
                    <w:tr2bl w:val="nil"/>
                  </w:tcBorders>
                  <w:noWrap w:val="0"/>
                  <w:vAlign w:val="center"/>
                </w:tcPr>
                <w:p w14:paraId="3BEE114F">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距室内边界距离/m</w:t>
                  </w:r>
                </w:p>
              </w:tc>
              <w:tc>
                <w:tcPr>
                  <w:tcW w:w="428" w:type="pct"/>
                  <w:vMerge w:val="restart"/>
                  <w:tcBorders>
                    <w:tl2br w:val="nil"/>
                    <w:tr2bl w:val="nil"/>
                  </w:tcBorders>
                  <w:noWrap w:val="0"/>
                  <w:vAlign w:val="center"/>
                </w:tcPr>
                <w:p w14:paraId="3690447A">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eastAsia" w:ascii="Times New Roman" w:hAnsi="Times New Roman" w:eastAsia="宋体" w:cs="Times New Roman"/>
                      <w:b/>
                      <w:color w:val="auto"/>
                      <w:sz w:val="21"/>
                      <w:szCs w:val="21"/>
                      <w:lang w:eastAsia="zh-CN"/>
                    </w:rPr>
                  </w:pPr>
                  <w:r>
                    <w:rPr>
                      <w:rFonts w:hint="default" w:ascii="Times New Roman" w:hAnsi="Times New Roman" w:cs="Times New Roman"/>
                      <w:b/>
                      <w:color w:val="auto"/>
                      <w:sz w:val="21"/>
                      <w:szCs w:val="21"/>
                    </w:rPr>
                    <w:t>室内边界声级/dB</w:t>
                  </w:r>
                  <w:r>
                    <w:rPr>
                      <w:rFonts w:hint="eastAsia" w:ascii="Times New Roman" w:hAnsi="Times New Roman" w:cs="Times New Roman"/>
                      <w:b/>
                      <w:color w:val="auto"/>
                      <w:sz w:val="21"/>
                      <w:szCs w:val="21"/>
                      <w:lang w:eastAsia="zh-CN"/>
                    </w:rPr>
                    <w:t>（</w:t>
                  </w:r>
                  <w:r>
                    <w:rPr>
                      <w:rFonts w:hint="default" w:ascii="Times New Roman" w:hAnsi="Times New Roman" w:cs="Times New Roman"/>
                      <w:b/>
                      <w:color w:val="auto"/>
                      <w:sz w:val="21"/>
                      <w:szCs w:val="21"/>
                    </w:rPr>
                    <w:t>A</w:t>
                  </w:r>
                  <w:r>
                    <w:rPr>
                      <w:rFonts w:hint="eastAsia" w:ascii="Times New Roman" w:hAnsi="Times New Roman" w:cs="Times New Roman"/>
                      <w:b/>
                      <w:color w:val="auto"/>
                      <w:sz w:val="21"/>
                      <w:szCs w:val="21"/>
                      <w:lang w:eastAsia="zh-CN"/>
                    </w:rPr>
                    <w:t>）</w:t>
                  </w:r>
                </w:p>
              </w:tc>
              <w:tc>
                <w:tcPr>
                  <w:tcW w:w="256" w:type="pct"/>
                  <w:vMerge w:val="restart"/>
                  <w:tcBorders>
                    <w:tl2br w:val="nil"/>
                    <w:tr2bl w:val="nil"/>
                  </w:tcBorders>
                  <w:noWrap w:val="0"/>
                  <w:vAlign w:val="center"/>
                </w:tcPr>
                <w:p w14:paraId="3CFC1136">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运行时段</w:t>
                  </w:r>
                </w:p>
              </w:tc>
              <w:tc>
                <w:tcPr>
                  <w:tcW w:w="459" w:type="pct"/>
                  <w:vMerge w:val="restart"/>
                  <w:tcBorders>
                    <w:tl2br w:val="nil"/>
                    <w:tr2bl w:val="nil"/>
                  </w:tcBorders>
                  <w:noWrap w:val="0"/>
                  <w:vAlign w:val="center"/>
                </w:tcPr>
                <w:p w14:paraId="3F1BCA17">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建筑物插入损失/</w:t>
                  </w:r>
                </w:p>
                <w:p w14:paraId="21F2056A">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eastAsia" w:ascii="Times New Roman" w:hAnsi="Times New Roman" w:eastAsia="宋体" w:cs="Times New Roman"/>
                      <w:b/>
                      <w:color w:val="auto"/>
                      <w:sz w:val="21"/>
                      <w:szCs w:val="21"/>
                      <w:lang w:eastAsia="zh-CN"/>
                    </w:rPr>
                  </w:pPr>
                  <w:r>
                    <w:rPr>
                      <w:rFonts w:hint="default" w:ascii="Times New Roman" w:hAnsi="Times New Roman" w:cs="Times New Roman"/>
                      <w:b/>
                      <w:color w:val="auto"/>
                      <w:sz w:val="21"/>
                      <w:szCs w:val="21"/>
                    </w:rPr>
                    <w:t>dB</w:t>
                  </w:r>
                  <w:r>
                    <w:rPr>
                      <w:rFonts w:hint="eastAsia" w:ascii="Times New Roman" w:hAnsi="Times New Roman" w:cs="Times New Roman"/>
                      <w:b/>
                      <w:color w:val="auto"/>
                      <w:sz w:val="21"/>
                      <w:szCs w:val="21"/>
                      <w:lang w:eastAsia="zh-CN"/>
                    </w:rPr>
                    <w:t>（</w:t>
                  </w:r>
                  <w:r>
                    <w:rPr>
                      <w:rFonts w:hint="default" w:ascii="Times New Roman" w:hAnsi="Times New Roman" w:cs="Times New Roman"/>
                      <w:b/>
                      <w:color w:val="auto"/>
                      <w:sz w:val="21"/>
                      <w:szCs w:val="21"/>
                    </w:rPr>
                    <w:t>A</w:t>
                  </w:r>
                  <w:r>
                    <w:rPr>
                      <w:rFonts w:hint="eastAsia" w:ascii="Times New Roman" w:hAnsi="Times New Roman" w:cs="Times New Roman"/>
                      <w:b/>
                      <w:color w:val="auto"/>
                      <w:sz w:val="21"/>
                      <w:szCs w:val="21"/>
                      <w:lang w:eastAsia="zh-CN"/>
                    </w:rPr>
                    <w:t>）</w:t>
                  </w:r>
                </w:p>
              </w:tc>
              <w:tc>
                <w:tcPr>
                  <w:tcW w:w="504" w:type="pct"/>
                  <w:vMerge w:val="restart"/>
                  <w:tcBorders>
                    <w:tl2br w:val="nil"/>
                    <w:tr2bl w:val="nil"/>
                  </w:tcBorders>
                  <w:noWrap w:val="0"/>
                  <w:vAlign w:val="center"/>
                </w:tcPr>
                <w:p w14:paraId="7446FC34">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eastAsia" w:ascii="Times New Roman" w:hAnsi="Times New Roman" w:eastAsia="宋体" w:cs="Times New Roman"/>
                      <w:b/>
                      <w:color w:val="auto"/>
                      <w:sz w:val="21"/>
                      <w:szCs w:val="21"/>
                      <w:lang w:eastAsia="zh-CN"/>
                    </w:rPr>
                  </w:pPr>
                  <w:r>
                    <w:rPr>
                      <w:rFonts w:hint="default" w:ascii="Times New Roman" w:hAnsi="Times New Roman" w:cs="Times New Roman"/>
                      <w:b/>
                      <w:color w:val="auto"/>
                      <w:sz w:val="21"/>
                      <w:szCs w:val="21"/>
                    </w:rPr>
                    <w:t>建筑物外噪声声压级/dB</w:t>
                  </w:r>
                  <w:r>
                    <w:rPr>
                      <w:rFonts w:hint="eastAsia" w:ascii="Times New Roman" w:hAnsi="Times New Roman" w:cs="Times New Roman"/>
                      <w:b/>
                      <w:color w:val="auto"/>
                      <w:sz w:val="21"/>
                      <w:szCs w:val="21"/>
                      <w:lang w:eastAsia="zh-CN"/>
                    </w:rPr>
                    <w:t>（</w:t>
                  </w:r>
                  <w:r>
                    <w:rPr>
                      <w:rFonts w:hint="default" w:ascii="Times New Roman" w:hAnsi="Times New Roman" w:cs="Times New Roman"/>
                      <w:b/>
                      <w:color w:val="auto"/>
                      <w:sz w:val="21"/>
                      <w:szCs w:val="21"/>
                    </w:rPr>
                    <w:t>A</w:t>
                  </w:r>
                  <w:r>
                    <w:rPr>
                      <w:rFonts w:hint="eastAsia" w:ascii="Times New Roman" w:hAnsi="Times New Roman" w:cs="Times New Roman"/>
                      <w:b/>
                      <w:color w:val="auto"/>
                      <w:sz w:val="21"/>
                      <w:szCs w:val="21"/>
                      <w:lang w:eastAsia="zh-CN"/>
                    </w:rPr>
                    <w:t>）</w:t>
                  </w:r>
                </w:p>
              </w:tc>
            </w:tr>
            <w:tr w14:paraId="42162B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 w:type="pct"/>
                  <w:vMerge w:val="continue"/>
                  <w:tcBorders>
                    <w:tl2br w:val="nil"/>
                    <w:tr2bl w:val="nil"/>
                  </w:tcBorders>
                  <w:noWrap w:val="0"/>
                  <w:vAlign w:val="center"/>
                </w:tcPr>
                <w:p w14:paraId="6775C000">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p>
              </w:tc>
              <w:tc>
                <w:tcPr>
                  <w:tcW w:w="260" w:type="pct"/>
                  <w:vMerge w:val="continue"/>
                  <w:tcBorders>
                    <w:tl2br w:val="nil"/>
                    <w:tr2bl w:val="nil"/>
                  </w:tcBorders>
                  <w:noWrap w:val="0"/>
                  <w:vAlign w:val="center"/>
                </w:tcPr>
                <w:p w14:paraId="2225D2F6">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p>
              </w:tc>
              <w:tc>
                <w:tcPr>
                  <w:tcW w:w="260" w:type="pct"/>
                  <w:vMerge w:val="continue"/>
                  <w:tcBorders>
                    <w:tl2br w:val="nil"/>
                    <w:tr2bl w:val="nil"/>
                  </w:tcBorders>
                  <w:noWrap w:val="0"/>
                  <w:vAlign w:val="center"/>
                </w:tcPr>
                <w:p w14:paraId="081A4944">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p>
              </w:tc>
              <w:tc>
                <w:tcPr>
                  <w:tcW w:w="488" w:type="pct"/>
                  <w:vMerge w:val="restart"/>
                  <w:tcBorders>
                    <w:tl2br w:val="nil"/>
                    <w:tr2bl w:val="nil"/>
                  </w:tcBorders>
                  <w:noWrap w:val="0"/>
                  <w:vAlign w:val="center"/>
                </w:tcPr>
                <w:p w14:paraId="35B337B6">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eastAsia"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rPr>
                    <w:t>声压级/dB</w:t>
                  </w:r>
                  <w:r>
                    <w:rPr>
                      <w:rFonts w:hint="eastAsia" w:ascii="Times New Roman" w:hAnsi="Times New Roman" w:cs="Times New Roman"/>
                      <w:b/>
                      <w:color w:val="auto"/>
                      <w:sz w:val="21"/>
                      <w:szCs w:val="21"/>
                      <w:lang w:eastAsia="zh-CN"/>
                    </w:rPr>
                    <w:t>（</w:t>
                  </w:r>
                  <w:r>
                    <w:rPr>
                      <w:rFonts w:hint="default" w:ascii="Times New Roman" w:hAnsi="Times New Roman" w:eastAsia="宋体" w:cs="Times New Roman"/>
                      <w:b/>
                      <w:color w:val="auto"/>
                      <w:sz w:val="21"/>
                      <w:szCs w:val="21"/>
                    </w:rPr>
                    <w:t>A</w:t>
                  </w:r>
                  <w:r>
                    <w:rPr>
                      <w:rFonts w:hint="eastAsia" w:ascii="Times New Roman" w:hAnsi="Times New Roman" w:cs="Times New Roman"/>
                      <w:b/>
                      <w:color w:val="auto"/>
                      <w:sz w:val="21"/>
                      <w:szCs w:val="21"/>
                      <w:lang w:eastAsia="zh-CN"/>
                    </w:rPr>
                    <w:t>）</w:t>
                  </w:r>
                </w:p>
              </w:tc>
              <w:tc>
                <w:tcPr>
                  <w:tcW w:w="292" w:type="pct"/>
                  <w:vMerge w:val="restart"/>
                  <w:tcBorders>
                    <w:tl2br w:val="nil"/>
                    <w:tr2bl w:val="nil"/>
                  </w:tcBorders>
                  <w:noWrap w:val="0"/>
                  <w:vAlign w:val="center"/>
                </w:tcPr>
                <w:p w14:paraId="6B927C00">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距声源距离/m</w:t>
                  </w:r>
                </w:p>
              </w:tc>
              <w:tc>
                <w:tcPr>
                  <w:tcW w:w="402" w:type="pct"/>
                  <w:vMerge w:val="continue"/>
                  <w:tcBorders>
                    <w:tl2br w:val="nil"/>
                    <w:tr2bl w:val="nil"/>
                  </w:tcBorders>
                  <w:noWrap w:val="0"/>
                  <w:vAlign w:val="center"/>
                </w:tcPr>
                <w:p w14:paraId="787F171C">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p>
              </w:tc>
              <w:tc>
                <w:tcPr>
                  <w:tcW w:w="1149" w:type="pct"/>
                  <w:gridSpan w:val="3"/>
                  <w:vMerge w:val="continue"/>
                  <w:tcBorders>
                    <w:tl2br w:val="nil"/>
                    <w:tr2bl w:val="nil"/>
                  </w:tcBorders>
                  <w:noWrap w:val="0"/>
                  <w:vAlign w:val="center"/>
                </w:tcPr>
                <w:p w14:paraId="0FB0CC2C">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p>
              </w:tc>
              <w:tc>
                <w:tcPr>
                  <w:tcW w:w="245" w:type="pct"/>
                  <w:vMerge w:val="continue"/>
                  <w:tcBorders>
                    <w:tl2br w:val="nil"/>
                    <w:tr2bl w:val="nil"/>
                  </w:tcBorders>
                  <w:noWrap w:val="0"/>
                  <w:vAlign w:val="center"/>
                </w:tcPr>
                <w:p w14:paraId="1FB48736">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p>
              </w:tc>
              <w:tc>
                <w:tcPr>
                  <w:tcW w:w="428" w:type="pct"/>
                  <w:vMerge w:val="continue"/>
                  <w:tcBorders>
                    <w:tl2br w:val="nil"/>
                    <w:tr2bl w:val="nil"/>
                  </w:tcBorders>
                  <w:noWrap w:val="0"/>
                  <w:vAlign w:val="center"/>
                </w:tcPr>
                <w:p w14:paraId="1B647F6E">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p>
              </w:tc>
              <w:tc>
                <w:tcPr>
                  <w:tcW w:w="256" w:type="pct"/>
                  <w:vMerge w:val="continue"/>
                  <w:tcBorders>
                    <w:tl2br w:val="nil"/>
                    <w:tr2bl w:val="nil"/>
                  </w:tcBorders>
                  <w:noWrap w:val="0"/>
                  <w:vAlign w:val="center"/>
                </w:tcPr>
                <w:p w14:paraId="56F85015">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p>
              </w:tc>
              <w:tc>
                <w:tcPr>
                  <w:tcW w:w="459" w:type="pct"/>
                  <w:vMerge w:val="continue"/>
                  <w:tcBorders>
                    <w:tl2br w:val="nil"/>
                    <w:tr2bl w:val="nil"/>
                  </w:tcBorders>
                  <w:noWrap w:val="0"/>
                  <w:vAlign w:val="center"/>
                </w:tcPr>
                <w:p w14:paraId="4176A4B4">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p>
              </w:tc>
              <w:tc>
                <w:tcPr>
                  <w:tcW w:w="504" w:type="pct"/>
                  <w:vMerge w:val="continue"/>
                  <w:tcBorders>
                    <w:tl2br w:val="nil"/>
                    <w:tr2bl w:val="nil"/>
                  </w:tcBorders>
                  <w:noWrap w:val="0"/>
                  <w:vAlign w:val="center"/>
                </w:tcPr>
                <w:p w14:paraId="66C817E2">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p>
              </w:tc>
            </w:tr>
            <w:tr w14:paraId="3D0D7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 w:type="pct"/>
                  <w:vMerge w:val="continue"/>
                  <w:tcBorders>
                    <w:tl2br w:val="nil"/>
                    <w:tr2bl w:val="nil"/>
                  </w:tcBorders>
                  <w:noWrap w:val="0"/>
                  <w:vAlign w:val="center"/>
                </w:tcPr>
                <w:p w14:paraId="5B204B7D">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260" w:type="pct"/>
                  <w:vMerge w:val="continue"/>
                  <w:tcBorders>
                    <w:tl2br w:val="nil"/>
                    <w:tr2bl w:val="nil"/>
                  </w:tcBorders>
                  <w:noWrap w:val="0"/>
                  <w:vAlign w:val="center"/>
                </w:tcPr>
                <w:p w14:paraId="62DC10F3">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260" w:type="pct"/>
                  <w:vMerge w:val="continue"/>
                  <w:tcBorders>
                    <w:tl2br w:val="nil"/>
                    <w:tr2bl w:val="nil"/>
                  </w:tcBorders>
                  <w:noWrap w:val="0"/>
                  <w:vAlign w:val="center"/>
                </w:tcPr>
                <w:p w14:paraId="0DB4768F">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488" w:type="pct"/>
                  <w:vMerge w:val="continue"/>
                  <w:tcBorders>
                    <w:tl2br w:val="nil"/>
                    <w:tr2bl w:val="nil"/>
                  </w:tcBorders>
                  <w:noWrap w:val="0"/>
                  <w:vAlign w:val="center"/>
                </w:tcPr>
                <w:p w14:paraId="79508990">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292" w:type="pct"/>
                  <w:vMerge w:val="continue"/>
                  <w:tcBorders>
                    <w:tl2br w:val="nil"/>
                    <w:tr2bl w:val="nil"/>
                  </w:tcBorders>
                  <w:noWrap w:val="0"/>
                  <w:vAlign w:val="center"/>
                </w:tcPr>
                <w:p w14:paraId="673FD87F">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402" w:type="pct"/>
                  <w:vMerge w:val="continue"/>
                  <w:tcBorders>
                    <w:tl2br w:val="nil"/>
                    <w:tr2bl w:val="nil"/>
                  </w:tcBorders>
                  <w:noWrap w:val="0"/>
                  <w:vAlign w:val="center"/>
                </w:tcPr>
                <w:p w14:paraId="2D5774A1">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382" w:type="pct"/>
                  <w:tcBorders>
                    <w:tl2br w:val="nil"/>
                    <w:tr2bl w:val="nil"/>
                  </w:tcBorders>
                  <w:noWrap w:val="0"/>
                  <w:vAlign w:val="center"/>
                </w:tcPr>
                <w:p w14:paraId="1B2323CF">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X</w:t>
                  </w:r>
                </w:p>
              </w:tc>
              <w:tc>
                <w:tcPr>
                  <w:tcW w:w="382" w:type="pct"/>
                  <w:tcBorders>
                    <w:tl2br w:val="nil"/>
                    <w:tr2bl w:val="nil"/>
                  </w:tcBorders>
                  <w:noWrap w:val="0"/>
                  <w:vAlign w:val="center"/>
                </w:tcPr>
                <w:p w14:paraId="324ECAFB">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Y</w:t>
                  </w:r>
                </w:p>
              </w:tc>
              <w:tc>
                <w:tcPr>
                  <w:tcW w:w="384" w:type="pct"/>
                  <w:tcBorders>
                    <w:tl2br w:val="nil"/>
                    <w:tr2bl w:val="nil"/>
                  </w:tcBorders>
                  <w:noWrap w:val="0"/>
                  <w:vAlign w:val="center"/>
                </w:tcPr>
                <w:p w14:paraId="08BEDBC4">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Z</w:t>
                  </w:r>
                </w:p>
              </w:tc>
              <w:tc>
                <w:tcPr>
                  <w:tcW w:w="245" w:type="pct"/>
                  <w:vMerge w:val="continue"/>
                  <w:tcBorders>
                    <w:tl2br w:val="nil"/>
                    <w:tr2bl w:val="nil"/>
                  </w:tcBorders>
                  <w:noWrap w:val="0"/>
                  <w:vAlign w:val="center"/>
                </w:tcPr>
                <w:p w14:paraId="4A1ACCBC">
                  <w:pPr>
                    <w:keepNext w:val="0"/>
                    <w:keepLines w:val="0"/>
                    <w:pageBreakBefore w:val="0"/>
                    <w:kinsoku/>
                    <w:wordWrap/>
                    <w:overflowPunct/>
                    <w:topLinePunct w:val="0"/>
                    <w:autoSpaceDE/>
                    <w:autoSpaceDN/>
                    <w:bidi w:val="0"/>
                    <w:adjustRightInd/>
                    <w:snapToGrid/>
                    <w:spacing w:line="240" w:lineRule="auto"/>
                    <w:ind w:left="0" w:right="0" w:firstLine="0" w:firstLineChars="0"/>
                    <w:contextualSpacing/>
                    <w:jc w:val="center"/>
                    <w:rPr>
                      <w:rFonts w:hint="default" w:ascii="Times New Roman" w:hAnsi="Times New Roman" w:cs="Times New Roman"/>
                      <w:b/>
                      <w:color w:val="auto"/>
                      <w:sz w:val="21"/>
                      <w:szCs w:val="21"/>
                    </w:rPr>
                  </w:pPr>
                </w:p>
              </w:tc>
              <w:tc>
                <w:tcPr>
                  <w:tcW w:w="428" w:type="pct"/>
                  <w:vMerge w:val="continue"/>
                  <w:tcBorders>
                    <w:tl2br w:val="nil"/>
                    <w:tr2bl w:val="nil"/>
                  </w:tcBorders>
                  <w:noWrap w:val="0"/>
                  <w:vAlign w:val="center"/>
                </w:tcPr>
                <w:p w14:paraId="1C42FEC5">
                  <w:pPr>
                    <w:keepNext w:val="0"/>
                    <w:keepLines w:val="0"/>
                    <w:pageBreakBefore w:val="0"/>
                    <w:kinsoku/>
                    <w:wordWrap/>
                    <w:overflowPunct/>
                    <w:topLinePunct w:val="0"/>
                    <w:autoSpaceDE/>
                    <w:autoSpaceDN/>
                    <w:bidi w:val="0"/>
                    <w:adjustRightInd/>
                    <w:snapToGrid/>
                    <w:spacing w:line="240" w:lineRule="auto"/>
                    <w:ind w:left="0" w:right="0" w:firstLine="0" w:firstLineChars="0"/>
                    <w:contextualSpacing/>
                    <w:jc w:val="center"/>
                    <w:rPr>
                      <w:rFonts w:hint="default" w:ascii="Times New Roman" w:hAnsi="Times New Roman" w:cs="Times New Roman"/>
                      <w:b/>
                      <w:color w:val="auto"/>
                      <w:sz w:val="21"/>
                      <w:szCs w:val="21"/>
                    </w:rPr>
                  </w:pPr>
                </w:p>
              </w:tc>
              <w:tc>
                <w:tcPr>
                  <w:tcW w:w="256" w:type="pct"/>
                  <w:vMerge w:val="continue"/>
                  <w:tcBorders>
                    <w:tl2br w:val="nil"/>
                    <w:tr2bl w:val="nil"/>
                  </w:tcBorders>
                  <w:noWrap w:val="0"/>
                  <w:vAlign w:val="center"/>
                </w:tcPr>
                <w:p w14:paraId="173C8E1A">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459" w:type="pct"/>
                  <w:vMerge w:val="continue"/>
                  <w:tcBorders>
                    <w:tl2br w:val="nil"/>
                    <w:tr2bl w:val="nil"/>
                  </w:tcBorders>
                  <w:noWrap w:val="0"/>
                  <w:vAlign w:val="center"/>
                </w:tcPr>
                <w:p w14:paraId="720768D9">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504" w:type="pct"/>
                  <w:vMerge w:val="continue"/>
                  <w:tcBorders>
                    <w:tl2br w:val="nil"/>
                    <w:tr2bl w:val="nil"/>
                  </w:tcBorders>
                  <w:noWrap w:val="0"/>
                  <w:vAlign w:val="center"/>
                </w:tcPr>
                <w:p w14:paraId="4415ED98">
                  <w:pPr>
                    <w:keepNext w:val="0"/>
                    <w:keepLines w:val="0"/>
                    <w:pageBreakBefore w:val="0"/>
                    <w:kinsoku/>
                    <w:wordWrap/>
                    <w:overflowPunct/>
                    <w:topLinePunct w:val="0"/>
                    <w:autoSpaceDE/>
                    <w:autoSpaceDN/>
                    <w:bidi w:val="0"/>
                    <w:adjustRightInd/>
                    <w:snapToGrid/>
                    <w:spacing w:line="240" w:lineRule="auto"/>
                    <w:ind w:left="0" w:right="0" w:firstLine="0" w:firstLineChars="0"/>
                    <w:contextualSpacing/>
                    <w:jc w:val="center"/>
                    <w:rPr>
                      <w:rFonts w:hint="default" w:ascii="Times New Roman" w:hAnsi="Times New Roman" w:cs="Times New Roman"/>
                      <w:color w:val="auto"/>
                      <w:sz w:val="21"/>
                      <w:szCs w:val="21"/>
                    </w:rPr>
                  </w:pPr>
                </w:p>
              </w:tc>
            </w:tr>
            <w:tr w14:paraId="03B963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 w:type="pct"/>
                  <w:tcBorders>
                    <w:tl2br w:val="nil"/>
                    <w:tr2bl w:val="nil"/>
                  </w:tcBorders>
                  <w:noWrap w:val="0"/>
                  <w:vAlign w:val="center"/>
                </w:tcPr>
                <w:p w14:paraId="4162ACF5">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w:t>
                  </w:r>
                </w:p>
              </w:tc>
              <w:tc>
                <w:tcPr>
                  <w:tcW w:w="260" w:type="pct"/>
                  <w:vMerge w:val="restart"/>
                  <w:tcBorders>
                    <w:tl2br w:val="nil"/>
                    <w:tr2bl w:val="nil"/>
                  </w:tcBorders>
                  <w:noWrap w:val="0"/>
                  <w:vAlign w:val="center"/>
                </w:tcPr>
                <w:p w14:paraId="557C1CF1">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生产车间</w:t>
                  </w:r>
                </w:p>
              </w:tc>
              <w:tc>
                <w:tcPr>
                  <w:tcW w:w="427" w:type="dxa"/>
                  <w:tcBorders>
                    <w:tl2br w:val="nil"/>
                    <w:tr2bl w:val="nil"/>
                  </w:tcBorders>
                  <w:noWrap w:val="0"/>
                  <w:vAlign w:val="center"/>
                </w:tcPr>
                <w:p w14:paraId="0C6C3581">
                  <w:pPr>
                    <w:pStyle w:val="63"/>
                    <w:adjustRightInd w:val="0"/>
                    <w:snapToGrid w:val="0"/>
                    <w:spacing w:line="240" w:lineRule="auto"/>
                    <w:ind w:firstLine="0" w:firstLineChars="0"/>
                    <w:rPr>
                      <w:rFonts w:hint="default" w:ascii="Times New Roman" w:hAnsi="Times New Roman" w:cs="Times New Roman"/>
                      <w:b w:val="0"/>
                      <w:bCs w:val="0"/>
                      <w:color w:val="auto"/>
                      <w:kern w:val="2"/>
                      <w:sz w:val="21"/>
                      <w:szCs w:val="21"/>
                      <w:lang w:val="en-US" w:eastAsia="zh-CN" w:bidi="ar-SA"/>
                    </w:rPr>
                  </w:pPr>
                  <w:r>
                    <w:rPr>
                      <w:rFonts w:hint="eastAsia" w:ascii="Times New Roman" w:hAnsi="Times New Roman" w:cs="Times New Roman"/>
                      <w:b w:val="0"/>
                      <w:bCs/>
                      <w:color w:val="auto"/>
                      <w:sz w:val="21"/>
                      <w:szCs w:val="21"/>
                      <w:highlight w:val="none"/>
                      <w:lang w:eastAsia="zh-CN"/>
                    </w:rPr>
                    <w:t>跳汰机</w:t>
                  </w:r>
                </w:p>
              </w:tc>
              <w:tc>
                <w:tcPr>
                  <w:tcW w:w="488" w:type="pct"/>
                  <w:tcBorders>
                    <w:tl2br w:val="nil"/>
                    <w:tr2bl w:val="nil"/>
                  </w:tcBorders>
                  <w:noWrap w:val="0"/>
                  <w:vAlign w:val="center"/>
                </w:tcPr>
                <w:p w14:paraId="6638597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w:t>
                  </w:r>
                </w:p>
              </w:tc>
              <w:tc>
                <w:tcPr>
                  <w:tcW w:w="292" w:type="pct"/>
                  <w:vMerge w:val="restart"/>
                  <w:tcBorders>
                    <w:tl2br w:val="nil"/>
                    <w:tr2bl w:val="nil"/>
                  </w:tcBorders>
                  <w:noWrap w:val="0"/>
                  <w:vAlign w:val="center"/>
                </w:tcPr>
                <w:p w14:paraId="561DC931">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w:t>
                  </w:r>
                </w:p>
              </w:tc>
              <w:tc>
                <w:tcPr>
                  <w:tcW w:w="402" w:type="pct"/>
                  <w:vMerge w:val="restart"/>
                  <w:tcBorders>
                    <w:tl2br w:val="nil"/>
                    <w:tr2bl w:val="nil"/>
                  </w:tcBorders>
                  <w:noWrap w:val="0"/>
                  <w:vAlign w:val="center"/>
                </w:tcPr>
                <w:p w14:paraId="1EE7523C">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选用低噪声设备，采取基础减振</w:t>
                  </w:r>
                </w:p>
              </w:tc>
              <w:tc>
                <w:tcPr>
                  <w:tcW w:w="382" w:type="pct"/>
                  <w:tcBorders>
                    <w:tl2br w:val="nil"/>
                    <w:tr2bl w:val="nil"/>
                  </w:tcBorders>
                  <w:noWrap w:val="0"/>
                  <w:vAlign w:val="center"/>
                </w:tcPr>
                <w:p w14:paraId="7E8F68C0">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382" w:type="pct"/>
                  <w:tcBorders>
                    <w:tl2br w:val="nil"/>
                    <w:tr2bl w:val="nil"/>
                  </w:tcBorders>
                  <w:noWrap w:val="0"/>
                  <w:vAlign w:val="center"/>
                </w:tcPr>
                <w:p w14:paraId="74C3BECD">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w:t>
                  </w:r>
                </w:p>
              </w:tc>
              <w:tc>
                <w:tcPr>
                  <w:tcW w:w="384" w:type="pct"/>
                  <w:tcBorders>
                    <w:tl2br w:val="nil"/>
                    <w:tr2bl w:val="nil"/>
                  </w:tcBorders>
                  <w:noWrap w:val="0"/>
                  <w:vAlign w:val="center"/>
                </w:tcPr>
                <w:p w14:paraId="059EAF8F">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245" w:type="pct"/>
                  <w:vMerge w:val="restart"/>
                  <w:tcBorders>
                    <w:tl2br w:val="nil"/>
                    <w:tr2bl w:val="nil"/>
                  </w:tcBorders>
                  <w:noWrap w:val="0"/>
                  <w:vAlign w:val="center"/>
                </w:tcPr>
                <w:p w14:paraId="509CFC3A">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428" w:type="pct"/>
                  <w:tcBorders>
                    <w:tl2br w:val="nil"/>
                    <w:tr2bl w:val="nil"/>
                  </w:tcBorders>
                  <w:noWrap w:val="0"/>
                  <w:vAlign w:val="center"/>
                </w:tcPr>
                <w:p w14:paraId="198F743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w:t>
                  </w:r>
                </w:p>
              </w:tc>
              <w:tc>
                <w:tcPr>
                  <w:tcW w:w="256" w:type="pct"/>
                  <w:vMerge w:val="restart"/>
                  <w:tcBorders>
                    <w:tl2br w:val="nil"/>
                    <w:tr2bl w:val="nil"/>
                  </w:tcBorders>
                  <w:noWrap w:val="0"/>
                  <w:vAlign w:val="center"/>
                </w:tcPr>
                <w:p w14:paraId="659C5597">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昼夜</w:t>
                  </w:r>
                </w:p>
              </w:tc>
              <w:tc>
                <w:tcPr>
                  <w:tcW w:w="459" w:type="pct"/>
                  <w:tcBorders>
                    <w:tl2br w:val="nil"/>
                    <w:tr2bl w:val="nil"/>
                  </w:tcBorders>
                  <w:noWrap w:val="0"/>
                  <w:vAlign w:val="center"/>
                </w:tcPr>
                <w:p w14:paraId="32CC7A76">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w:t>
                  </w:r>
                </w:p>
              </w:tc>
              <w:tc>
                <w:tcPr>
                  <w:tcW w:w="504" w:type="pct"/>
                  <w:tcBorders>
                    <w:tl2br w:val="nil"/>
                    <w:tr2bl w:val="nil"/>
                  </w:tcBorders>
                  <w:noWrap w:val="0"/>
                  <w:vAlign w:val="center"/>
                </w:tcPr>
                <w:p w14:paraId="2AA4852A">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黑体" w:cs="Times New Roman"/>
                      <w:color w:val="auto"/>
                      <w:sz w:val="21"/>
                      <w:szCs w:val="21"/>
                      <w:lang w:val="en-US" w:eastAsia="zh-CN"/>
                    </w:rPr>
                  </w:pPr>
                  <w:r>
                    <w:rPr>
                      <w:rFonts w:hint="eastAsia" w:ascii="Times New Roman" w:hAnsi="Times New Roman" w:eastAsia="黑体" w:cs="Times New Roman"/>
                      <w:color w:val="auto"/>
                      <w:sz w:val="21"/>
                      <w:szCs w:val="21"/>
                      <w:lang w:val="en-US" w:eastAsia="zh-CN"/>
                    </w:rPr>
                    <w:t>60</w:t>
                  </w:r>
                </w:p>
              </w:tc>
            </w:tr>
            <w:tr w14:paraId="0C0C4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 w:type="pct"/>
                  <w:tcBorders>
                    <w:tl2br w:val="nil"/>
                    <w:tr2bl w:val="nil"/>
                  </w:tcBorders>
                  <w:noWrap w:val="0"/>
                  <w:vAlign w:val="center"/>
                </w:tcPr>
                <w:p w14:paraId="78F7463A">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w:t>
                  </w:r>
                </w:p>
              </w:tc>
              <w:tc>
                <w:tcPr>
                  <w:tcW w:w="260" w:type="pct"/>
                  <w:vMerge w:val="continue"/>
                  <w:tcBorders>
                    <w:tl2br w:val="nil"/>
                    <w:tr2bl w:val="nil"/>
                  </w:tcBorders>
                  <w:noWrap w:val="0"/>
                  <w:vAlign w:val="center"/>
                </w:tcPr>
                <w:p w14:paraId="6AA4A037">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427" w:type="dxa"/>
                  <w:tcBorders>
                    <w:tl2br w:val="nil"/>
                    <w:tr2bl w:val="nil"/>
                  </w:tcBorders>
                  <w:noWrap w:val="0"/>
                  <w:vAlign w:val="center"/>
                </w:tcPr>
                <w:p w14:paraId="21D8B35D">
                  <w:pPr>
                    <w:pStyle w:val="63"/>
                    <w:adjustRightInd w:val="0"/>
                    <w:snapToGrid w:val="0"/>
                    <w:spacing w:line="240" w:lineRule="auto"/>
                    <w:ind w:firstLine="0" w:firstLineChars="0"/>
                    <w:rPr>
                      <w:rFonts w:hint="default" w:ascii="Times New Roman" w:hAnsi="Times New Roman" w:cs="Times New Roman"/>
                      <w:b w:val="0"/>
                      <w:bCs w:val="0"/>
                      <w:color w:val="auto"/>
                      <w:kern w:val="2"/>
                      <w:sz w:val="21"/>
                      <w:szCs w:val="21"/>
                      <w:lang w:val="en-US" w:eastAsia="zh-CN" w:bidi="ar-SA"/>
                    </w:rPr>
                  </w:pPr>
                  <w:r>
                    <w:rPr>
                      <w:rFonts w:hint="eastAsia" w:ascii="Times New Roman" w:hAnsi="Times New Roman" w:cs="Times New Roman"/>
                      <w:b w:val="0"/>
                      <w:bCs/>
                      <w:color w:val="auto"/>
                      <w:sz w:val="21"/>
                      <w:szCs w:val="21"/>
                      <w:highlight w:val="none"/>
                      <w:lang w:eastAsia="zh-CN"/>
                    </w:rPr>
                    <w:t>水泵</w:t>
                  </w:r>
                </w:p>
              </w:tc>
              <w:tc>
                <w:tcPr>
                  <w:tcW w:w="488" w:type="pct"/>
                  <w:tcBorders>
                    <w:tl2br w:val="nil"/>
                    <w:tr2bl w:val="nil"/>
                  </w:tcBorders>
                  <w:noWrap w:val="0"/>
                  <w:vAlign w:val="center"/>
                </w:tcPr>
                <w:p w14:paraId="0767B49E">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w:t>
                  </w:r>
                </w:p>
              </w:tc>
              <w:tc>
                <w:tcPr>
                  <w:tcW w:w="292" w:type="pct"/>
                  <w:vMerge w:val="continue"/>
                  <w:tcBorders>
                    <w:tl2br w:val="nil"/>
                    <w:tr2bl w:val="nil"/>
                  </w:tcBorders>
                  <w:noWrap w:val="0"/>
                  <w:vAlign w:val="center"/>
                </w:tcPr>
                <w:p w14:paraId="7C1C16F0">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402" w:type="pct"/>
                  <w:vMerge w:val="continue"/>
                  <w:tcBorders>
                    <w:tl2br w:val="nil"/>
                    <w:tr2bl w:val="nil"/>
                  </w:tcBorders>
                  <w:noWrap w:val="0"/>
                  <w:vAlign w:val="center"/>
                </w:tcPr>
                <w:p w14:paraId="7E71036B">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382" w:type="pct"/>
                  <w:tcBorders>
                    <w:tl2br w:val="nil"/>
                    <w:tr2bl w:val="nil"/>
                  </w:tcBorders>
                  <w:noWrap w:val="0"/>
                  <w:vAlign w:val="center"/>
                </w:tcPr>
                <w:p w14:paraId="6B449309">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382" w:type="pct"/>
                  <w:tcBorders>
                    <w:tl2br w:val="nil"/>
                    <w:tr2bl w:val="nil"/>
                  </w:tcBorders>
                  <w:noWrap w:val="0"/>
                  <w:vAlign w:val="center"/>
                </w:tcPr>
                <w:p w14:paraId="13611FEC">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147</w:t>
                  </w:r>
                </w:p>
              </w:tc>
              <w:tc>
                <w:tcPr>
                  <w:tcW w:w="384" w:type="pct"/>
                  <w:tcBorders>
                    <w:tl2br w:val="nil"/>
                    <w:tr2bl w:val="nil"/>
                  </w:tcBorders>
                  <w:noWrap w:val="0"/>
                  <w:vAlign w:val="center"/>
                </w:tcPr>
                <w:p w14:paraId="79659B3A">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245" w:type="pct"/>
                  <w:vMerge w:val="continue"/>
                  <w:tcBorders>
                    <w:tl2br w:val="nil"/>
                    <w:tr2bl w:val="nil"/>
                  </w:tcBorders>
                  <w:noWrap w:val="0"/>
                  <w:vAlign w:val="center"/>
                </w:tcPr>
                <w:p w14:paraId="0F599488">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cs="Times New Roman"/>
                      <w:color w:val="auto"/>
                      <w:sz w:val="21"/>
                      <w:szCs w:val="21"/>
                    </w:rPr>
                  </w:pPr>
                </w:p>
              </w:tc>
              <w:tc>
                <w:tcPr>
                  <w:tcW w:w="428" w:type="pct"/>
                  <w:tcBorders>
                    <w:tl2br w:val="nil"/>
                    <w:tr2bl w:val="nil"/>
                  </w:tcBorders>
                  <w:noWrap w:val="0"/>
                  <w:vAlign w:val="center"/>
                </w:tcPr>
                <w:p w14:paraId="3C107FF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w:t>
                  </w:r>
                </w:p>
              </w:tc>
              <w:tc>
                <w:tcPr>
                  <w:tcW w:w="256" w:type="pct"/>
                  <w:vMerge w:val="continue"/>
                  <w:tcBorders>
                    <w:tl2br w:val="nil"/>
                    <w:tr2bl w:val="nil"/>
                  </w:tcBorders>
                  <w:noWrap w:val="0"/>
                  <w:vAlign w:val="center"/>
                </w:tcPr>
                <w:p w14:paraId="4D06E768">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459" w:type="pct"/>
                  <w:tcBorders>
                    <w:tl2br w:val="nil"/>
                    <w:tr2bl w:val="nil"/>
                  </w:tcBorders>
                  <w:noWrap w:val="0"/>
                  <w:vAlign w:val="center"/>
                </w:tcPr>
                <w:p w14:paraId="66D54885">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20</w:t>
                  </w:r>
                </w:p>
              </w:tc>
              <w:tc>
                <w:tcPr>
                  <w:tcW w:w="504" w:type="pct"/>
                  <w:tcBorders>
                    <w:tl2br w:val="nil"/>
                    <w:tr2bl w:val="nil"/>
                  </w:tcBorders>
                  <w:noWrap w:val="0"/>
                  <w:vAlign w:val="center"/>
                </w:tcPr>
                <w:p w14:paraId="53A26539">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黑体" w:cs="Times New Roman"/>
                      <w:color w:val="auto"/>
                      <w:sz w:val="21"/>
                      <w:szCs w:val="21"/>
                      <w:lang w:val="en-US" w:eastAsia="zh-CN"/>
                    </w:rPr>
                  </w:pPr>
                  <w:r>
                    <w:rPr>
                      <w:rFonts w:hint="eastAsia" w:ascii="Times New Roman" w:hAnsi="Times New Roman" w:eastAsia="黑体" w:cs="Times New Roman"/>
                      <w:color w:val="auto"/>
                      <w:sz w:val="21"/>
                      <w:szCs w:val="21"/>
                      <w:lang w:val="en-US" w:eastAsia="zh-CN"/>
                    </w:rPr>
                    <w:t>60</w:t>
                  </w:r>
                </w:p>
              </w:tc>
            </w:tr>
            <w:tr w14:paraId="2F1F2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 w:type="pct"/>
                  <w:tcBorders>
                    <w:tl2br w:val="nil"/>
                    <w:tr2bl w:val="nil"/>
                  </w:tcBorders>
                  <w:noWrap w:val="0"/>
                  <w:vAlign w:val="center"/>
                </w:tcPr>
                <w:p w14:paraId="31A6014C">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w:t>
                  </w:r>
                </w:p>
              </w:tc>
              <w:tc>
                <w:tcPr>
                  <w:tcW w:w="260" w:type="pct"/>
                  <w:vMerge w:val="continue"/>
                  <w:tcBorders>
                    <w:tl2br w:val="nil"/>
                    <w:tr2bl w:val="nil"/>
                  </w:tcBorders>
                  <w:noWrap w:val="0"/>
                  <w:vAlign w:val="center"/>
                </w:tcPr>
                <w:p w14:paraId="4F66BE3E">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427" w:type="dxa"/>
                  <w:tcBorders>
                    <w:tl2br w:val="nil"/>
                    <w:tr2bl w:val="nil"/>
                  </w:tcBorders>
                  <w:noWrap w:val="0"/>
                  <w:vAlign w:val="center"/>
                </w:tcPr>
                <w:p w14:paraId="6696A660">
                  <w:pPr>
                    <w:pStyle w:val="63"/>
                    <w:adjustRightInd w:val="0"/>
                    <w:snapToGrid w:val="0"/>
                    <w:spacing w:line="240" w:lineRule="auto"/>
                    <w:ind w:firstLine="0" w:firstLineChars="0"/>
                    <w:rPr>
                      <w:rFonts w:hint="default" w:ascii="Times New Roman" w:hAnsi="Times New Roman" w:cs="Times New Roman"/>
                      <w:b w:val="0"/>
                      <w:bCs w:val="0"/>
                      <w:color w:val="auto"/>
                      <w:kern w:val="2"/>
                      <w:sz w:val="21"/>
                      <w:szCs w:val="21"/>
                      <w:lang w:val="en-US" w:eastAsia="zh-CN" w:bidi="ar-SA"/>
                    </w:rPr>
                  </w:pPr>
                  <w:r>
                    <w:rPr>
                      <w:rFonts w:hint="eastAsia" w:ascii="Times New Roman" w:hAnsi="Times New Roman" w:cs="Times New Roman"/>
                      <w:b w:val="0"/>
                      <w:bCs/>
                      <w:color w:val="auto"/>
                      <w:sz w:val="21"/>
                      <w:szCs w:val="21"/>
                      <w:highlight w:val="none"/>
                      <w:lang w:eastAsia="zh-CN"/>
                    </w:rPr>
                    <w:t>压缩机</w:t>
                  </w:r>
                </w:p>
              </w:tc>
              <w:tc>
                <w:tcPr>
                  <w:tcW w:w="488" w:type="pct"/>
                  <w:tcBorders>
                    <w:tl2br w:val="nil"/>
                    <w:tr2bl w:val="nil"/>
                  </w:tcBorders>
                  <w:noWrap w:val="0"/>
                  <w:vAlign w:val="center"/>
                </w:tcPr>
                <w:p w14:paraId="45F9001D">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80</w:t>
                  </w:r>
                </w:p>
              </w:tc>
              <w:tc>
                <w:tcPr>
                  <w:tcW w:w="292" w:type="pct"/>
                  <w:vMerge w:val="continue"/>
                  <w:tcBorders>
                    <w:tl2br w:val="nil"/>
                    <w:tr2bl w:val="nil"/>
                  </w:tcBorders>
                  <w:noWrap w:val="0"/>
                  <w:vAlign w:val="center"/>
                </w:tcPr>
                <w:p w14:paraId="74712FD3">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402" w:type="pct"/>
                  <w:vMerge w:val="continue"/>
                  <w:tcBorders>
                    <w:tl2br w:val="nil"/>
                    <w:tr2bl w:val="nil"/>
                  </w:tcBorders>
                  <w:noWrap w:val="0"/>
                  <w:vAlign w:val="center"/>
                </w:tcPr>
                <w:p w14:paraId="67834D72">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382" w:type="pct"/>
                  <w:tcBorders>
                    <w:tl2br w:val="nil"/>
                    <w:tr2bl w:val="nil"/>
                  </w:tcBorders>
                  <w:noWrap w:val="0"/>
                  <w:vAlign w:val="center"/>
                </w:tcPr>
                <w:p w14:paraId="266CC27D">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w:t>
                  </w:r>
                </w:p>
              </w:tc>
              <w:tc>
                <w:tcPr>
                  <w:tcW w:w="382" w:type="pct"/>
                  <w:tcBorders>
                    <w:tl2br w:val="nil"/>
                    <w:tr2bl w:val="nil"/>
                  </w:tcBorders>
                  <w:noWrap w:val="0"/>
                  <w:vAlign w:val="center"/>
                </w:tcPr>
                <w:p w14:paraId="11B1AA6C">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w:t>
                  </w:r>
                </w:p>
              </w:tc>
              <w:tc>
                <w:tcPr>
                  <w:tcW w:w="384" w:type="pct"/>
                  <w:tcBorders>
                    <w:tl2br w:val="nil"/>
                    <w:tr2bl w:val="nil"/>
                  </w:tcBorders>
                  <w:noWrap w:val="0"/>
                  <w:vAlign w:val="center"/>
                </w:tcPr>
                <w:p w14:paraId="68F354F3">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10.8</w:t>
                  </w:r>
                </w:p>
              </w:tc>
              <w:tc>
                <w:tcPr>
                  <w:tcW w:w="245" w:type="pct"/>
                  <w:vMerge w:val="continue"/>
                  <w:tcBorders>
                    <w:tl2br w:val="nil"/>
                    <w:tr2bl w:val="nil"/>
                  </w:tcBorders>
                  <w:noWrap w:val="0"/>
                  <w:vAlign w:val="center"/>
                </w:tcPr>
                <w:p w14:paraId="317ACE6D">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cs="Times New Roman"/>
                      <w:color w:val="auto"/>
                      <w:sz w:val="21"/>
                      <w:szCs w:val="21"/>
                    </w:rPr>
                  </w:pPr>
                </w:p>
              </w:tc>
              <w:tc>
                <w:tcPr>
                  <w:tcW w:w="428" w:type="pct"/>
                  <w:tcBorders>
                    <w:tl2br w:val="nil"/>
                    <w:tr2bl w:val="nil"/>
                  </w:tcBorders>
                  <w:noWrap w:val="0"/>
                  <w:vAlign w:val="center"/>
                </w:tcPr>
                <w:p w14:paraId="297E77B4">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w:t>
                  </w:r>
                </w:p>
              </w:tc>
              <w:tc>
                <w:tcPr>
                  <w:tcW w:w="256" w:type="pct"/>
                  <w:vMerge w:val="continue"/>
                  <w:tcBorders>
                    <w:tl2br w:val="nil"/>
                    <w:tr2bl w:val="nil"/>
                  </w:tcBorders>
                  <w:noWrap w:val="0"/>
                  <w:vAlign w:val="center"/>
                </w:tcPr>
                <w:p w14:paraId="1F540AD0">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459" w:type="pct"/>
                  <w:tcBorders>
                    <w:tl2br w:val="nil"/>
                    <w:tr2bl w:val="nil"/>
                  </w:tcBorders>
                  <w:noWrap w:val="0"/>
                  <w:vAlign w:val="center"/>
                </w:tcPr>
                <w:p w14:paraId="2A459C5A">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20</w:t>
                  </w:r>
                </w:p>
              </w:tc>
              <w:tc>
                <w:tcPr>
                  <w:tcW w:w="504" w:type="pct"/>
                  <w:tcBorders>
                    <w:tl2br w:val="nil"/>
                    <w:tr2bl w:val="nil"/>
                  </w:tcBorders>
                  <w:noWrap w:val="0"/>
                  <w:vAlign w:val="center"/>
                </w:tcPr>
                <w:p w14:paraId="53D1D540">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黑体" w:cs="Times New Roman"/>
                      <w:color w:val="auto"/>
                      <w:sz w:val="21"/>
                      <w:szCs w:val="21"/>
                      <w:lang w:val="en-US" w:eastAsia="zh-CN"/>
                    </w:rPr>
                  </w:pPr>
                  <w:r>
                    <w:rPr>
                      <w:rFonts w:hint="eastAsia" w:ascii="Times New Roman" w:hAnsi="Times New Roman" w:eastAsia="黑体" w:cs="Times New Roman"/>
                      <w:color w:val="auto"/>
                      <w:sz w:val="21"/>
                      <w:szCs w:val="21"/>
                      <w:lang w:val="en-US" w:eastAsia="zh-CN"/>
                    </w:rPr>
                    <w:t>60</w:t>
                  </w:r>
                </w:p>
              </w:tc>
            </w:tr>
            <w:tr w14:paraId="1DEDF7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2" w:type="pct"/>
                  <w:tcBorders>
                    <w:tl2br w:val="nil"/>
                    <w:tr2bl w:val="nil"/>
                  </w:tcBorders>
                  <w:noWrap w:val="0"/>
                  <w:vAlign w:val="center"/>
                </w:tcPr>
                <w:p w14:paraId="484D13F5">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w:t>
                  </w:r>
                </w:p>
              </w:tc>
              <w:tc>
                <w:tcPr>
                  <w:tcW w:w="260" w:type="pct"/>
                  <w:vMerge w:val="continue"/>
                  <w:tcBorders>
                    <w:tl2br w:val="nil"/>
                    <w:tr2bl w:val="nil"/>
                  </w:tcBorders>
                  <w:noWrap w:val="0"/>
                  <w:vAlign w:val="center"/>
                </w:tcPr>
                <w:p w14:paraId="15171CDD">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427" w:type="dxa"/>
                  <w:tcBorders>
                    <w:tl2br w:val="nil"/>
                    <w:tr2bl w:val="nil"/>
                  </w:tcBorders>
                  <w:noWrap w:val="0"/>
                  <w:vAlign w:val="center"/>
                </w:tcPr>
                <w:p w14:paraId="01271D89">
                  <w:pPr>
                    <w:pStyle w:val="63"/>
                    <w:adjustRightInd w:val="0"/>
                    <w:snapToGrid w:val="0"/>
                    <w:spacing w:line="240" w:lineRule="auto"/>
                    <w:ind w:firstLine="0" w:firstLineChars="0"/>
                    <w:rPr>
                      <w:rFonts w:hint="default" w:ascii="Times New Roman" w:hAnsi="Times New Roman" w:cs="Times New Roman"/>
                      <w:b w:val="0"/>
                      <w:bCs w:val="0"/>
                      <w:color w:val="auto"/>
                      <w:kern w:val="2"/>
                      <w:sz w:val="21"/>
                      <w:szCs w:val="21"/>
                      <w:lang w:val="en-US" w:eastAsia="zh-CN" w:bidi="ar-SA"/>
                    </w:rPr>
                  </w:pPr>
                  <w:r>
                    <w:rPr>
                      <w:rFonts w:hint="eastAsia" w:ascii="Times New Roman" w:hAnsi="Times New Roman" w:cs="Times New Roman"/>
                      <w:b w:val="0"/>
                      <w:bCs/>
                      <w:color w:val="auto"/>
                      <w:sz w:val="21"/>
                      <w:szCs w:val="21"/>
                      <w:highlight w:val="none"/>
                      <w:lang w:eastAsia="zh-CN"/>
                    </w:rPr>
                    <w:t>空气压缩机</w:t>
                  </w:r>
                </w:p>
              </w:tc>
              <w:tc>
                <w:tcPr>
                  <w:tcW w:w="488" w:type="pct"/>
                  <w:tcBorders>
                    <w:tl2br w:val="nil"/>
                    <w:tr2bl w:val="nil"/>
                  </w:tcBorders>
                  <w:noWrap w:val="0"/>
                  <w:vAlign w:val="center"/>
                </w:tcPr>
                <w:p w14:paraId="2ED44DB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75</w:t>
                  </w:r>
                </w:p>
              </w:tc>
              <w:tc>
                <w:tcPr>
                  <w:tcW w:w="292" w:type="pct"/>
                  <w:vMerge w:val="continue"/>
                  <w:tcBorders>
                    <w:tl2br w:val="nil"/>
                    <w:tr2bl w:val="nil"/>
                  </w:tcBorders>
                  <w:noWrap w:val="0"/>
                  <w:vAlign w:val="center"/>
                </w:tcPr>
                <w:p w14:paraId="1280CCFD">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402" w:type="pct"/>
                  <w:vMerge w:val="continue"/>
                  <w:tcBorders>
                    <w:tl2br w:val="nil"/>
                    <w:tr2bl w:val="nil"/>
                  </w:tcBorders>
                  <w:noWrap w:val="0"/>
                  <w:vAlign w:val="center"/>
                </w:tcPr>
                <w:p w14:paraId="7E25D97D">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382" w:type="pct"/>
                  <w:tcBorders>
                    <w:tl2br w:val="nil"/>
                    <w:tr2bl w:val="nil"/>
                  </w:tcBorders>
                  <w:noWrap w:val="0"/>
                  <w:vAlign w:val="center"/>
                </w:tcPr>
                <w:p w14:paraId="4865E54F">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382" w:type="pct"/>
                  <w:tcBorders>
                    <w:tl2br w:val="nil"/>
                    <w:tr2bl w:val="nil"/>
                  </w:tcBorders>
                  <w:noWrap w:val="0"/>
                  <w:vAlign w:val="center"/>
                </w:tcPr>
                <w:p w14:paraId="76ABD59F">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77</w:t>
                  </w:r>
                </w:p>
              </w:tc>
              <w:tc>
                <w:tcPr>
                  <w:tcW w:w="384" w:type="pct"/>
                  <w:tcBorders>
                    <w:tl2br w:val="nil"/>
                    <w:tr2bl w:val="nil"/>
                  </w:tcBorders>
                  <w:noWrap w:val="0"/>
                  <w:vAlign w:val="center"/>
                </w:tcPr>
                <w:p w14:paraId="2169C4DB">
                  <w:pPr>
                    <w:pStyle w:val="63"/>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245" w:type="pct"/>
                  <w:vMerge w:val="continue"/>
                  <w:tcBorders>
                    <w:tl2br w:val="nil"/>
                    <w:tr2bl w:val="nil"/>
                  </w:tcBorders>
                  <w:noWrap w:val="0"/>
                  <w:vAlign w:val="center"/>
                </w:tcPr>
                <w:p w14:paraId="37C2417F">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cs="Times New Roman"/>
                      <w:color w:val="auto"/>
                      <w:sz w:val="21"/>
                      <w:szCs w:val="21"/>
                    </w:rPr>
                  </w:pPr>
                </w:p>
              </w:tc>
              <w:tc>
                <w:tcPr>
                  <w:tcW w:w="428" w:type="pct"/>
                  <w:tcBorders>
                    <w:tl2br w:val="nil"/>
                    <w:tr2bl w:val="nil"/>
                  </w:tcBorders>
                  <w:noWrap w:val="0"/>
                  <w:vAlign w:val="center"/>
                </w:tcPr>
                <w:p w14:paraId="01D9E4BC">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w:t>
                  </w:r>
                </w:p>
              </w:tc>
              <w:tc>
                <w:tcPr>
                  <w:tcW w:w="256" w:type="pct"/>
                  <w:vMerge w:val="continue"/>
                  <w:tcBorders>
                    <w:tl2br w:val="nil"/>
                    <w:tr2bl w:val="nil"/>
                  </w:tcBorders>
                  <w:noWrap w:val="0"/>
                  <w:vAlign w:val="center"/>
                </w:tcPr>
                <w:p w14:paraId="72B616EE">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p>
              </w:tc>
              <w:tc>
                <w:tcPr>
                  <w:tcW w:w="459" w:type="pct"/>
                  <w:tcBorders>
                    <w:tl2br w:val="nil"/>
                    <w:tr2bl w:val="nil"/>
                  </w:tcBorders>
                  <w:noWrap w:val="0"/>
                  <w:vAlign w:val="center"/>
                </w:tcPr>
                <w:p w14:paraId="35B8438B">
                  <w:pPr>
                    <w:keepNext w:val="0"/>
                    <w:keepLines w:val="0"/>
                    <w:pageBreakBefore w:val="0"/>
                    <w:kinsoku/>
                    <w:wordWrap/>
                    <w:overflowPunct/>
                    <w:topLinePunct w:val="0"/>
                    <w:autoSpaceDE/>
                    <w:autoSpaceDN/>
                    <w:bidi w:val="0"/>
                    <w:adjustRightInd/>
                    <w:snapToGrid/>
                    <w:spacing w:line="240" w:lineRule="auto"/>
                    <w:ind w:left="0" w:right="0" w:firstLine="0" w:firstLineChars="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20</w:t>
                  </w:r>
                </w:p>
              </w:tc>
              <w:tc>
                <w:tcPr>
                  <w:tcW w:w="504" w:type="pct"/>
                  <w:tcBorders>
                    <w:tl2br w:val="nil"/>
                    <w:tr2bl w:val="nil"/>
                  </w:tcBorders>
                  <w:noWrap w:val="0"/>
                  <w:vAlign w:val="center"/>
                </w:tcPr>
                <w:p w14:paraId="4AAC5F2B">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黑体" w:cs="Times New Roman"/>
                      <w:color w:val="auto"/>
                      <w:sz w:val="21"/>
                      <w:szCs w:val="21"/>
                      <w:lang w:val="en-US" w:eastAsia="zh-CN"/>
                    </w:rPr>
                  </w:pPr>
                  <w:r>
                    <w:rPr>
                      <w:rFonts w:hint="eastAsia" w:ascii="Times New Roman" w:hAnsi="Times New Roman" w:eastAsia="黑体" w:cs="Times New Roman"/>
                      <w:color w:val="auto"/>
                      <w:sz w:val="21"/>
                      <w:szCs w:val="21"/>
                      <w:lang w:val="en-US" w:eastAsia="zh-CN"/>
                    </w:rPr>
                    <w:t>60</w:t>
                  </w:r>
                </w:p>
              </w:tc>
            </w:tr>
          </w:tbl>
          <w:p w14:paraId="66059A3F">
            <w:pPr>
              <w:numPr>
                <w:ilvl w:val="0"/>
                <w:numId w:val="0"/>
              </w:numPr>
              <w:adjustRightInd w:val="0"/>
              <w:snapToGrid w:val="0"/>
              <w:spacing w:line="360" w:lineRule="auto"/>
              <w:ind w:firstLine="480" w:firstLineChars="200"/>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噪声</w:t>
            </w:r>
            <w:r>
              <w:rPr>
                <w:rFonts w:hint="eastAsia" w:ascii="Times New Roman" w:hAnsi="Times New Roman" w:cs="Times New Roman"/>
                <w:b w:val="0"/>
                <w:bCs w:val="0"/>
                <w:color w:val="auto"/>
                <w:sz w:val="24"/>
                <w:szCs w:val="24"/>
                <w:highlight w:val="none"/>
                <w:lang w:val="en-US" w:eastAsia="zh-CN"/>
              </w:rPr>
              <w:t>达标排放</w:t>
            </w:r>
          </w:p>
          <w:p w14:paraId="2A0225DA">
            <w:pPr>
              <w:pStyle w:val="113"/>
              <w:spacing w:line="360" w:lineRule="auto"/>
              <w:ind w:firstLine="420"/>
              <w:rPr>
                <w:rFonts w:hint="default" w:ascii="Times New Roman" w:hAnsi="Times New Roman" w:eastAsia="宋体"/>
                <w:color w:val="auto"/>
                <w:sz w:val="24"/>
                <w:szCs w:val="24"/>
                <w:lang w:val="en-US" w:eastAsia="zh-CN"/>
              </w:rPr>
            </w:pPr>
            <w:r>
              <w:rPr>
                <w:rFonts w:ascii="Times New Roman" w:hAnsi="Times New Roman"/>
                <w:color w:val="auto"/>
                <w:sz w:val="24"/>
                <w:szCs w:val="24"/>
              </w:rPr>
              <w:t>本次评价至四侧厂界外1m，进行厂界达标论证。</w:t>
            </w:r>
            <w:r>
              <w:rPr>
                <w:rFonts w:hint="eastAsia" w:ascii="Times New Roman" w:hAnsi="Times New Roman"/>
                <w:color w:val="auto"/>
                <w:sz w:val="24"/>
                <w:szCs w:val="24"/>
                <w:lang w:val="en-US" w:eastAsia="zh-CN"/>
              </w:rPr>
              <w:t>同时对周边环境进行噪声预测。</w:t>
            </w:r>
          </w:p>
          <w:p w14:paraId="739AA8F3">
            <w:pPr>
              <w:pStyle w:val="3"/>
              <w:keepNext/>
              <w:keepLines w:val="0"/>
              <w:pageBreakBefore w:val="0"/>
              <w:widowControl w:val="0"/>
              <w:kinsoku/>
              <w:wordWrap/>
              <w:overflowPunct w:val="0"/>
              <w:topLinePunct w:val="0"/>
              <w:autoSpaceDE/>
              <w:autoSpaceDN/>
              <w:bidi w:val="0"/>
              <w:adjustRightInd/>
              <w:snapToGrid w:val="0"/>
              <w:spacing w:before="0" w:after="0" w:line="360" w:lineRule="auto"/>
              <w:ind w:left="0" w:firstLine="480" w:firstLineChars="200"/>
              <w:textAlignment w:val="auto"/>
              <w:rPr>
                <w:rFonts w:hint="eastAsia" w:ascii="Times New Roman" w:hAnsi="Times New Roman" w:eastAsia="宋体" w:cs="Times New Roman"/>
                <w:b w:val="0"/>
                <w:bCs w:val="0"/>
                <w:color w:val="auto"/>
                <w:kern w:val="0"/>
                <w:sz w:val="24"/>
                <w:szCs w:val="24"/>
                <w:lang w:val="en-US" w:eastAsia="zh-CN" w:bidi="ar-SA"/>
              </w:rPr>
            </w:pPr>
            <w:bookmarkStart w:id="9" w:name="_Toc26747"/>
            <w:bookmarkStart w:id="10" w:name="_Toc1678"/>
            <w:r>
              <w:rPr>
                <w:rFonts w:hint="eastAsia" w:ascii="Times New Roman" w:hAnsi="Times New Roman" w:eastAsia="宋体" w:cs="Times New Roman"/>
                <w:b w:val="0"/>
                <w:bCs w:val="0"/>
                <w:color w:val="auto"/>
                <w:kern w:val="0"/>
                <w:sz w:val="24"/>
                <w:szCs w:val="24"/>
                <w:lang w:val="en-US" w:eastAsia="zh-CN" w:bidi="ar-SA"/>
              </w:rPr>
              <w:t>根据《工业企业厂界环境噪声排放标准》（GB12348-2008），厂界是指由法律文书（如土地使用证、房产证、租赁合同等）中确定的业主所拥有使用权（或所有权）的场所或建筑物边界，本项目将企业用地边界确定为本项目噪声预测边界</w:t>
            </w:r>
            <w:r>
              <w:rPr>
                <w:rFonts w:ascii="Times New Roman" w:hAnsi="Times New Roman" w:eastAsia="宋体" w:cs="Times New Roman"/>
                <w:b w:val="0"/>
                <w:bCs w:val="0"/>
                <w:color w:val="auto"/>
                <w:kern w:val="0"/>
                <w:sz w:val="24"/>
                <w:szCs w:val="24"/>
                <w:lang w:val="en-US" w:eastAsia="zh-CN" w:bidi="ar-SA"/>
              </w:rPr>
              <w:t>，厂界噪声预测结果见下表。</w:t>
            </w:r>
            <w:bookmarkEnd w:id="9"/>
            <w:bookmarkEnd w:id="10"/>
          </w:p>
          <w:p w14:paraId="40B0D13A">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表4-</w:t>
            </w:r>
            <w:r>
              <w:rPr>
                <w:rFonts w:hint="eastAsia" w:eastAsia="宋体" w:cs="Times New Roman"/>
                <w:b/>
                <w:color w:val="auto"/>
                <w:kern w:val="2"/>
                <w:sz w:val="21"/>
                <w:szCs w:val="21"/>
                <w:highlight w:val="none"/>
                <w:lang w:val="en-US" w:eastAsia="zh-CN" w:bidi="ar-SA"/>
              </w:rPr>
              <w:t>7</w:t>
            </w:r>
            <w:r>
              <w:rPr>
                <w:rFonts w:hint="default" w:ascii="Times New Roman" w:hAnsi="Times New Roman" w:eastAsia="宋体" w:cs="Times New Roman"/>
                <w:b/>
                <w:color w:val="auto"/>
                <w:kern w:val="2"/>
                <w:sz w:val="21"/>
                <w:szCs w:val="21"/>
                <w:highlight w:val="none"/>
                <w:lang w:val="en-US" w:eastAsia="zh-CN" w:bidi="ar-SA"/>
              </w:rPr>
              <w:t>厂界噪声影响预测结果表 单位：dB（A）</w:t>
            </w:r>
          </w:p>
          <w:tbl>
            <w:tblPr>
              <w:tblStyle w:val="31"/>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16"/>
              <w:gridCol w:w="1022"/>
              <w:gridCol w:w="1109"/>
              <w:gridCol w:w="544"/>
              <w:gridCol w:w="690"/>
              <w:gridCol w:w="1390"/>
              <w:gridCol w:w="1109"/>
              <w:gridCol w:w="544"/>
              <w:gridCol w:w="690"/>
            </w:tblGrid>
            <w:tr w14:paraId="264246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9" w:type="pct"/>
                  <w:vMerge w:val="restart"/>
                  <w:tcBorders>
                    <w:tl2br w:val="nil"/>
                    <w:tr2bl w:val="nil"/>
                  </w:tcBorders>
                  <w:vAlign w:val="center"/>
                </w:tcPr>
                <w:p w14:paraId="399B4708">
                  <w:pPr>
                    <w:keepNext w:val="0"/>
                    <w:keepLines w:val="0"/>
                    <w:widowControl/>
                    <w:suppressLineNumbers w:val="0"/>
                    <w:spacing w:before="0" w:beforeAutospacing="0" w:after="0" w:afterAutospacing="0"/>
                    <w:ind w:left="-63" w:leftChars="-30" w:right="-63" w:rightChars="-30"/>
                    <w:jc w:val="center"/>
                    <w:textAlignment w:val="center"/>
                    <w:rPr>
                      <w:rFonts w:hint="eastAsia" w:ascii="Times New Roman" w:hAnsi="Times New Roman" w:eastAsia="宋体"/>
                      <w:b/>
                      <w:bCs/>
                      <w:color w:val="auto"/>
                      <w:kern w:val="0"/>
                      <w:sz w:val="21"/>
                      <w:szCs w:val="21"/>
                      <w:highlight w:val="none"/>
                      <w:lang w:eastAsia="zh-CN" w:bidi="ar"/>
                    </w:rPr>
                  </w:pPr>
                  <w:r>
                    <w:rPr>
                      <w:rFonts w:hint="eastAsia" w:ascii="Times New Roman" w:hAnsi="Times New Roman" w:cs="宋体"/>
                      <w:b/>
                      <w:bCs/>
                      <w:color w:val="auto"/>
                      <w:kern w:val="0"/>
                      <w:sz w:val="21"/>
                      <w:szCs w:val="21"/>
                      <w:highlight w:val="none"/>
                      <w:lang w:val="en-US" w:eastAsia="zh-CN" w:bidi="ar"/>
                    </w:rPr>
                    <w:t>预测点</w:t>
                  </w:r>
                </w:p>
              </w:tc>
              <w:tc>
                <w:tcPr>
                  <w:tcW w:w="2048" w:type="pct"/>
                  <w:gridSpan w:val="4"/>
                  <w:tcBorders>
                    <w:tl2br w:val="nil"/>
                    <w:tr2bl w:val="nil"/>
                  </w:tcBorders>
                  <w:noWrap/>
                  <w:vAlign w:val="center"/>
                </w:tcPr>
                <w:p w14:paraId="5EB7C753">
                  <w:pPr>
                    <w:keepNext w:val="0"/>
                    <w:keepLines w:val="0"/>
                    <w:widowControl/>
                    <w:suppressLineNumbers w:val="0"/>
                    <w:spacing w:before="0" w:beforeAutospacing="0" w:after="0" w:afterAutospacing="0"/>
                    <w:ind w:left="-63" w:leftChars="-30" w:right="-63" w:rightChars="-30"/>
                    <w:jc w:val="center"/>
                    <w:textAlignment w:val="center"/>
                    <w:rPr>
                      <w:rFonts w:hint="eastAsia" w:ascii="Times New Roman" w:hAnsi="Times New Roman" w:eastAsia="宋体" w:cs="宋体"/>
                      <w:b/>
                      <w:bCs/>
                      <w:color w:val="auto"/>
                      <w:kern w:val="0"/>
                      <w:sz w:val="21"/>
                      <w:szCs w:val="21"/>
                      <w:highlight w:val="none"/>
                      <w:lang w:val="en-US" w:eastAsia="zh-CN" w:bidi="ar"/>
                    </w:rPr>
                  </w:pPr>
                  <w:r>
                    <w:rPr>
                      <w:rFonts w:hint="eastAsia" w:ascii="Times New Roman" w:hAnsi="Times New Roman" w:cs="宋体"/>
                      <w:b/>
                      <w:bCs/>
                      <w:color w:val="auto"/>
                      <w:kern w:val="0"/>
                      <w:sz w:val="21"/>
                      <w:szCs w:val="21"/>
                      <w:highlight w:val="none"/>
                      <w:lang w:val="en-US" w:eastAsia="zh-CN" w:bidi="ar"/>
                    </w:rPr>
                    <w:t>昼间</w:t>
                  </w:r>
                </w:p>
              </w:tc>
              <w:tc>
                <w:tcPr>
                  <w:tcW w:w="2272" w:type="pct"/>
                  <w:gridSpan w:val="4"/>
                  <w:tcBorders>
                    <w:tl2br w:val="nil"/>
                    <w:tr2bl w:val="nil"/>
                  </w:tcBorders>
                  <w:noWrap/>
                  <w:vAlign w:val="center"/>
                </w:tcPr>
                <w:p w14:paraId="3DF6BFE0">
                  <w:pPr>
                    <w:keepNext w:val="0"/>
                    <w:keepLines w:val="0"/>
                    <w:widowControl/>
                    <w:suppressLineNumbers w:val="0"/>
                    <w:spacing w:before="0" w:beforeAutospacing="0" w:after="0" w:afterAutospacing="0"/>
                    <w:ind w:left="-63" w:leftChars="-30" w:right="-63" w:rightChars="-30"/>
                    <w:jc w:val="center"/>
                    <w:textAlignment w:val="center"/>
                    <w:rPr>
                      <w:rFonts w:hint="eastAsia" w:ascii="Times New Roman" w:hAnsi="Times New Roman" w:eastAsia="宋体" w:cs="宋体"/>
                      <w:b/>
                      <w:bCs/>
                      <w:color w:val="auto"/>
                      <w:sz w:val="21"/>
                      <w:szCs w:val="21"/>
                      <w:highlight w:val="none"/>
                      <w:lang w:val="en-US" w:eastAsia="zh-CN"/>
                    </w:rPr>
                  </w:pPr>
                  <w:r>
                    <w:rPr>
                      <w:rFonts w:hint="eastAsia" w:ascii="Times New Roman" w:hAnsi="Times New Roman" w:cs="宋体"/>
                      <w:b/>
                      <w:bCs/>
                      <w:color w:val="auto"/>
                      <w:sz w:val="21"/>
                      <w:szCs w:val="21"/>
                      <w:highlight w:val="none"/>
                      <w:lang w:val="en-US" w:eastAsia="zh-CN"/>
                    </w:rPr>
                    <w:t>夜间</w:t>
                  </w:r>
                </w:p>
              </w:tc>
            </w:tr>
            <w:tr w14:paraId="186352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9" w:type="pct"/>
                  <w:vMerge w:val="continue"/>
                  <w:tcBorders>
                    <w:tl2br w:val="nil"/>
                    <w:tr2bl w:val="nil"/>
                  </w:tcBorders>
                  <w:vAlign w:val="center"/>
                </w:tcPr>
                <w:p w14:paraId="5885A90C">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b/>
                      <w:bCs/>
                      <w:color w:val="auto"/>
                      <w:kern w:val="0"/>
                      <w:sz w:val="21"/>
                      <w:szCs w:val="21"/>
                      <w:highlight w:val="none"/>
                      <w:lang w:bidi="ar"/>
                    </w:rPr>
                  </w:pPr>
                </w:p>
              </w:tc>
              <w:tc>
                <w:tcPr>
                  <w:tcW w:w="622" w:type="pct"/>
                  <w:tcBorders>
                    <w:tl2br w:val="nil"/>
                    <w:tr2bl w:val="nil"/>
                  </w:tcBorders>
                  <w:noWrap/>
                  <w:vAlign w:val="center"/>
                </w:tcPr>
                <w:p w14:paraId="785CF553">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eastAsia="宋体" w:cs="宋体"/>
                      <w:b/>
                      <w:bCs/>
                      <w:color w:val="auto"/>
                      <w:sz w:val="21"/>
                      <w:szCs w:val="21"/>
                      <w:highlight w:val="none"/>
                      <w:lang w:val="en-US" w:eastAsia="zh-CN"/>
                    </w:rPr>
                  </w:pPr>
                  <w:r>
                    <w:rPr>
                      <w:rFonts w:hint="eastAsia" w:ascii="Times New Roman" w:hAnsi="Times New Roman" w:cs="宋体"/>
                      <w:b/>
                      <w:bCs/>
                      <w:color w:val="auto"/>
                      <w:sz w:val="21"/>
                      <w:szCs w:val="21"/>
                      <w:highlight w:val="none"/>
                      <w:lang w:val="en-US" w:eastAsia="zh-CN"/>
                    </w:rPr>
                    <w:t>声源与厂界最近距离（m）</w:t>
                  </w:r>
                </w:p>
              </w:tc>
              <w:tc>
                <w:tcPr>
                  <w:tcW w:w="675" w:type="pct"/>
                  <w:tcBorders>
                    <w:tl2br w:val="nil"/>
                    <w:tr2bl w:val="nil"/>
                  </w:tcBorders>
                  <w:noWrap/>
                  <w:vAlign w:val="center"/>
                </w:tcPr>
                <w:p w14:paraId="0BA1C381">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eastAsia="宋体" w:cs="宋体"/>
                      <w:b/>
                      <w:bCs/>
                      <w:color w:val="auto"/>
                      <w:sz w:val="21"/>
                      <w:szCs w:val="21"/>
                      <w:highlight w:val="none"/>
                      <w:lang w:val="en-US" w:eastAsia="zh-CN"/>
                    </w:rPr>
                  </w:pPr>
                  <w:r>
                    <w:rPr>
                      <w:rFonts w:hint="eastAsia" w:ascii="Times New Roman" w:hAnsi="Times New Roman" w:cs="宋体"/>
                      <w:b/>
                      <w:bCs/>
                      <w:color w:val="auto"/>
                      <w:sz w:val="21"/>
                      <w:szCs w:val="21"/>
                      <w:highlight w:val="none"/>
                      <w:lang w:val="en-US" w:eastAsia="zh-CN"/>
                    </w:rPr>
                    <w:t>叠加噪声贡献值</w:t>
                  </w:r>
                </w:p>
              </w:tc>
              <w:tc>
                <w:tcPr>
                  <w:tcW w:w="331" w:type="pct"/>
                  <w:tcBorders>
                    <w:tl2br w:val="nil"/>
                    <w:tr2bl w:val="nil"/>
                  </w:tcBorders>
                  <w:noWrap/>
                  <w:vAlign w:val="center"/>
                </w:tcPr>
                <w:p w14:paraId="04334243">
                  <w:pPr>
                    <w:keepNext w:val="0"/>
                    <w:keepLines w:val="0"/>
                    <w:widowControl/>
                    <w:suppressLineNumbers w:val="0"/>
                    <w:spacing w:before="0" w:beforeAutospacing="0" w:after="0" w:afterAutospacing="0"/>
                    <w:ind w:left="-63" w:leftChars="-30" w:right="-63" w:rightChars="-30"/>
                    <w:jc w:val="center"/>
                    <w:textAlignment w:val="center"/>
                    <w:rPr>
                      <w:rFonts w:hint="eastAsia" w:ascii="Times New Roman" w:hAnsi="Times New Roman" w:eastAsia="宋体" w:cs="宋体"/>
                      <w:b/>
                      <w:bCs/>
                      <w:color w:val="auto"/>
                      <w:sz w:val="21"/>
                      <w:szCs w:val="21"/>
                      <w:highlight w:val="none"/>
                      <w:lang w:val="en-US" w:eastAsia="zh-CN"/>
                    </w:rPr>
                  </w:pPr>
                  <w:r>
                    <w:rPr>
                      <w:rFonts w:hint="eastAsia" w:ascii="Times New Roman" w:hAnsi="Times New Roman" w:cs="宋体"/>
                      <w:b/>
                      <w:bCs/>
                      <w:color w:val="auto"/>
                      <w:sz w:val="21"/>
                      <w:szCs w:val="21"/>
                      <w:highlight w:val="none"/>
                      <w:lang w:val="en-US" w:eastAsia="zh-CN"/>
                    </w:rPr>
                    <w:t>标准值</w:t>
                  </w:r>
                </w:p>
              </w:tc>
              <w:tc>
                <w:tcPr>
                  <w:tcW w:w="418" w:type="pct"/>
                  <w:tcBorders>
                    <w:tl2br w:val="nil"/>
                    <w:tr2bl w:val="nil"/>
                  </w:tcBorders>
                  <w:noWrap/>
                  <w:vAlign w:val="center"/>
                </w:tcPr>
                <w:p w14:paraId="28C460AC">
                  <w:pPr>
                    <w:keepNext w:val="0"/>
                    <w:keepLines w:val="0"/>
                    <w:widowControl/>
                    <w:suppressLineNumbers w:val="0"/>
                    <w:spacing w:before="0" w:beforeAutospacing="0" w:after="0" w:afterAutospacing="0"/>
                    <w:ind w:left="-63" w:leftChars="-30" w:right="-63" w:rightChars="-30"/>
                    <w:jc w:val="center"/>
                    <w:textAlignment w:val="center"/>
                    <w:rPr>
                      <w:rFonts w:hint="eastAsia" w:ascii="Times New Roman" w:hAnsi="Times New Roman" w:eastAsia="宋体" w:cs="宋体"/>
                      <w:b/>
                      <w:bCs/>
                      <w:color w:val="auto"/>
                      <w:sz w:val="21"/>
                      <w:szCs w:val="21"/>
                      <w:highlight w:val="none"/>
                      <w:lang w:val="en-US" w:eastAsia="zh-CN"/>
                    </w:rPr>
                  </w:pPr>
                  <w:r>
                    <w:rPr>
                      <w:rFonts w:hint="eastAsia" w:ascii="Times New Roman" w:hAnsi="Times New Roman" w:cs="宋体"/>
                      <w:b/>
                      <w:bCs/>
                      <w:color w:val="auto"/>
                      <w:sz w:val="21"/>
                      <w:szCs w:val="21"/>
                      <w:highlight w:val="none"/>
                      <w:lang w:val="en-US" w:eastAsia="zh-CN"/>
                    </w:rPr>
                    <w:t>评价结果</w:t>
                  </w:r>
                </w:p>
              </w:tc>
              <w:tc>
                <w:tcPr>
                  <w:tcW w:w="846" w:type="pct"/>
                  <w:tcBorders>
                    <w:tl2br w:val="nil"/>
                    <w:tr2bl w:val="nil"/>
                  </w:tcBorders>
                  <w:noWrap/>
                  <w:vAlign w:val="center"/>
                </w:tcPr>
                <w:p w14:paraId="54EFF7CF">
                  <w:pPr>
                    <w:keepNext w:val="0"/>
                    <w:keepLines w:val="0"/>
                    <w:widowControl/>
                    <w:suppressLineNumbers w:val="0"/>
                    <w:spacing w:before="0" w:beforeAutospacing="0" w:after="0" w:afterAutospacing="0"/>
                    <w:ind w:left="-63" w:leftChars="-30" w:right="-63" w:rightChars="-30"/>
                    <w:jc w:val="center"/>
                    <w:textAlignment w:val="center"/>
                    <w:rPr>
                      <w:rFonts w:hint="eastAsia" w:ascii="Times New Roman" w:hAnsi="Times New Roman" w:eastAsia="宋体" w:cs="宋体"/>
                      <w:b/>
                      <w:bCs/>
                      <w:color w:val="auto"/>
                      <w:sz w:val="21"/>
                      <w:szCs w:val="21"/>
                      <w:highlight w:val="none"/>
                      <w:lang w:val="en-US" w:eastAsia="zh-CN"/>
                    </w:rPr>
                  </w:pPr>
                  <w:r>
                    <w:rPr>
                      <w:rFonts w:hint="eastAsia" w:ascii="Times New Roman" w:hAnsi="Times New Roman" w:cs="宋体"/>
                      <w:b/>
                      <w:bCs/>
                      <w:color w:val="auto"/>
                      <w:sz w:val="21"/>
                      <w:szCs w:val="21"/>
                      <w:highlight w:val="none"/>
                      <w:lang w:val="en-US" w:eastAsia="zh-CN"/>
                    </w:rPr>
                    <w:t>声源与厂界最近距离</w:t>
                  </w:r>
                </w:p>
              </w:tc>
              <w:tc>
                <w:tcPr>
                  <w:tcW w:w="675" w:type="pct"/>
                  <w:tcBorders>
                    <w:tl2br w:val="nil"/>
                    <w:tr2bl w:val="nil"/>
                  </w:tcBorders>
                  <w:noWrap/>
                  <w:vAlign w:val="center"/>
                </w:tcPr>
                <w:p w14:paraId="56715860">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cs="宋体"/>
                      <w:b/>
                      <w:bCs/>
                      <w:color w:val="auto"/>
                      <w:sz w:val="21"/>
                      <w:szCs w:val="21"/>
                      <w:highlight w:val="none"/>
                    </w:rPr>
                  </w:pPr>
                  <w:r>
                    <w:rPr>
                      <w:rFonts w:hint="eastAsia" w:ascii="Times New Roman" w:hAnsi="Times New Roman" w:cs="宋体"/>
                      <w:b/>
                      <w:bCs/>
                      <w:color w:val="auto"/>
                      <w:sz w:val="21"/>
                      <w:szCs w:val="21"/>
                      <w:highlight w:val="none"/>
                      <w:lang w:val="en-US" w:eastAsia="zh-CN"/>
                    </w:rPr>
                    <w:t>叠加噪声贡献值</w:t>
                  </w:r>
                </w:p>
              </w:tc>
              <w:tc>
                <w:tcPr>
                  <w:tcW w:w="331" w:type="pct"/>
                  <w:tcBorders>
                    <w:tl2br w:val="nil"/>
                    <w:tr2bl w:val="nil"/>
                  </w:tcBorders>
                  <w:noWrap/>
                  <w:vAlign w:val="center"/>
                </w:tcPr>
                <w:p w14:paraId="7A76E978">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cs="宋体"/>
                      <w:b/>
                      <w:bCs/>
                      <w:color w:val="auto"/>
                      <w:sz w:val="21"/>
                      <w:szCs w:val="21"/>
                      <w:highlight w:val="none"/>
                    </w:rPr>
                  </w:pPr>
                  <w:r>
                    <w:rPr>
                      <w:rFonts w:hint="eastAsia" w:ascii="Times New Roman" w:hAnsi="Times New Roman" w:cs="宋体"/>
                      <w:b/>
                      <w:bCs/>
                      <w:color w:val="auto"/>
                      <w:sz w:val="21"/>
                      <w:szCs w:val="21"/>
                      <w:highlight w:val="none"/>
                      <w:lang w:val="en-US" w:eastAsia="zh-CN"/>
                    </w:rPr>
                    <w:t>标准值</w:t>
                  </w:r>
                </w:p>
              </w:tc>
              <w:tc>
                <w:tcPr>
                  <w:tcW w:w="419" w:type="pct"/>
                  <w:tcBorders>
                    <w:tl2br w:val="nil"/>
                    <w:tr2bl w:val="nil"/>
                  </w:tcBorders>
                  <w:noWrap/>
                  <w:vAlign w:val="center"/>
                </w:tcPr>
                <w:p w14:paraId="55B0925D">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cs="宋体"/>
                      <w:b/>
                      <w:bCs/>
                      <w:color w:val="auto"/>
                      <w:sz w:val="21"/>
                      <w:szCs w:val="21"/>
                      <w:highlight w:val="none"/>
                    </w:rPr>
                  </w:pPr>
                  <w:r>
                    <w:rPr>
                      <w:rFonts w:hint="eastAsia" w:ascii="Times New Roman" w:hAnsi="Times New Roman" w:cs="宋体"/>
                      <w:b/>
                      <w:bCs/>
                      <w:color w:val="auto"/>
                      <w:sz w:val="21"/>
                      <w:szCs w:val="21"/>
                      <w:highlight w:val="none"/>
                      <w:lang w:val="en-US" w:eastAsia="zh-CN"/>
                    </w:rPr>
                    <w:t>评价结果</w:t>
                  </w:r>
                </w:p>
              </w:tc>
            </w:tr>
            <w:tr w14:paraId="30703D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9" w:type="pct"/>
                  <w:tcBorders>
                    <w:tl2br w:val="nil"/>
                    <w:tr2bl w:val="nil"/>
                  </w:tcBorders>
                  <w:vAlign w:val="center"/>
                </w:tcPr>
                <w:p w14:paraId="637EA04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1#厂界东侧</w:t>
                  </w:r>
                </w:p>
              </w:tc>
              <w:tc>
                <w:tcPr>
                  <w:tcW w:w="622" w:type="pct"/>
                  <w:tcBorders>
                    <w:tl2br w:val="nil"/>
                    <w:tr2bl w:val="nil"/>
                  </w:tcBorders>
                  <w:noWrap/>
                  <w:vAlign w:val="center"/>
                </w:tcPr>
                <w:p w14:paraId="53C6F6B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1</w:t>
                  </w:r>
                </w:p>
              </w:tc>
              <w:tc>
                <w:tcPr>
                  <w:tcW w:w="1103" w:type="dxa"/>
                  <w:tcBorders>
                    <w:tl2br w:val="nil"/>
                    <w:tr2bl w:val="nil"/>
                  </w:tcBorders>
                  <w:noWrap/>
                  <w:vAlign w:val="center"/>
                </w:tcPr>
                <w:p w14:paraId="3B068FA9">
                  <w:pPr>
                    <w:spacing w:line="0" w:lineRule="atLeast"/>
                    <w:jc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27.23</w:t>
                  </w:r>
                </w:p>
              </w:tc>
              <w:tc>
                <w:tcPr>
                  <w:tcW w:w="331" w:type="pct"/>
                  <w:tcBorders>
                    <w:tl2br w:val="nil"/>
                    <w:tr2bl w:val="nil"/>
                  </w:tcBorders>
                  <w:noWrap/>
                  <w:vAlign w:val="center"/>
                </w:tcPr>
                <w:p w14:paraId="076917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60</w:t>
                  </w:r>
                </w:p>
              </w:tc>
              <w:tc>
                <w:tcPr>
                  <w:tcW w:w="418" w:type="pct"/>
                  <w:tcBorders>
                    <w:tl2br w:val="nil"/>
                    <w:tr2bl w:val="nil"/>
                  </w:tcBorders>
                  <w:noWrap/>
                  <w:vAlign w:val="center"/>
                </w:tcPr>
                <w:p w14:paraId="3E0B5E59">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达标</w:t>
                  </w:r>
                </w:p>
              </w:tc>
              <w:tc>
                <w:tcPr>
                  <w:tcW w:w="846" w:type="pct"/>
                  <w:tcBorders>
                    <w:tl2br w:val="nil"/>
                    <w:tr2bl w:val="nil"/>
                  </w:tcBorders>
                  <w:noWrap/>
                  <w:vAlign w:val="center"/>
                </w:tcPr>
                <w:p w14:paraId="5C22E8C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1</w:t>
                  </w:r>
                </w:p>
              </w:tc>
              <w:tc>
                <w:tcPr>
                  <w:tcW w:w="675" w:type="pct"/>
                  <w:tcBorders>
                    <w:tl2br w:val="nil"/>
                    <w:tr2bl w:val="nil"/>
                  </w:tcBorders>
                  <w:noWrap/>
                  <w:vAlign w:val="center"/>
                </w:tcPr>
                <w:p w14:paraId="3F7EFC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黑体" w:cs="Times New Roman"/>
                      <w:color w:val="auto"/>
                      <w:kern w:val="2"/>
                      <w:sz w:val="21"/>
                      <w:szCs w:val="21"/>
                      <w:highlight w:val="none"/>
                      <w:lang w:val="en-US" w:eastAsia="zh-CN" w:bidi="ar-SA"/>
                    </w:rPr>
                    <w:t>15.09</w:t>
                  </w:r>
                </w:p>
              </w:tc>
              <w:tc>
                <w:tcPr>
                  <w:tcW w:w="331" w:type="pct"/>
                  <w:tcBorders>
                    <w:tl2br w:val="nil"/>
                    <w:tr2bl w:val="nil"/>
                  </w:tcBorders>
                  <w:noWrap/>
                  <w:vAlign w:val="center"/>
                </w:tcPr>
                <w:p w14:paraId="61DBA6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50</w:t>
                  </w:r>
                </w:p>
              </w:tc>
              <w:tc>
                <w:tcPr>
                  <w:tcW w:w="419" w:type="pct"/>
                  <w:tcBorders>
                    <w:tl2br w:val="nil"/>
                    <w:tr2bl w:val="nil"/>
                  </w:tcBorders>
                  <w:noWrap/>
                  <w:vAlign w:val="center"/>
                </w:tcPr>
                <w:p w14:paraId="23BAAF33">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宋体"/>
                      <w:color w:val="auto"/>
                      <w:sz w:val="21"/>
                      <w:szCs w:val="21"/>
                      <w:highlight w:val="none"/>
                      <w:lang w:val="en-US" w:eastAsia="zh-CN"/>
                    </w:rPr>
                    <w:t>达标</w:t>
                  </w:r>
                </w:p>
              </w:tc>
            </w:tr>
            <w:tr w14:paraId="1AB143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9" w:type="pct"/>
                  <w:tcBorders>
                    <w:tl2br w:val="nil"/>
                    <w:tr2bl w:val="nil"/>
                  </w:tcBorders>
                  <w:vAlign w:val="center"/>
                </w:tcPr>
                <w:p w14:paraId="4671D96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2#厂界南侧</w:t>
                  </w:r>
                </w:p>
              </w:tc>
              <w:tc>
                <w:tcPr>
                  <w:tcW w:w="622" w:type="pct"/>
                  <w:tcBorders>
                    <w:tl2br w:val="nil"/>
                    <w:tr2bl w:val="nil"/>
                  </w:tcBorders>
                  <w:noWrap/>
                  <w:vAlign w:val="center"/>
                </w:tcPr>
                <w:p w14:paraId="64A81B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1</w:t>
                  </w:r>
                </w:p>
              </w:tc>
              <w:tc>
                <w:tcPr>
                  <w:tcW w:w="1103" w:type="dxa"/>
                  <w:tcBorders>
                    <w:tl2br w:val="nil"/>
                    <w:tr2bl w:val="nil"/>
                  </w:tcBorders>
                  <w:noWrap/>
                  <w:vAlign w:val="center"/>
                </w:tcPr>
                <w:p w14:paraId="70725AA4">
                  <w:pPr>
                    <w:spacing w:line="0" w:lineRule="atLeast"/>
                    <w:jc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32.65</w:t>
                  </w:r>
                </w:p>
              </w:tc>
              <w:tc>
                <w:tcPr>
                  <w:tcW w:w="331" w:type="pct"/>
                  <w:tcBorders>
                    <w:tl2br w:val="nil"/>
                    <w:tr2bl w:val="nil"/>
                  </w:tcBorders>
                  <w:noWrap/>
                  <w:vAlign w:val="center"/>
                </w:tcPr>
                <w:p w14:paraId="7CA8C2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60</w:t>
                  </w:r>
                </w:p>
              </w:tc>
              <w:tc>
                <w:tcPr>
                  <w:tcW w:w="418" w:type="pct"/>
                  <w:tcBorders>
                    <w:tl2br w:val="nil"/>
                    <w:tr2bl w:val="nil"/>
                  </w:tcBorders>
                  <w:noWrap/>
                  <w:vAlign w:val="center"/>
                </w:tcPr>
                <w:p w14:paraId="2563B50E">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达标</w:t>
                  </w:r>
                </w:p>
              </w:tc>
              <w:tc>
                <w:tcPr>
                  <w:tcW w:w="846" w:type="pct"/>
                  <w:tcBorders>
                    <w:tl2br w:val="nil"/>
                    <w:tr2bl w:val="nil"/>
                  </w:tcBorders>
                  <w:noWrap/>
                  <w:vAlign w:val="center"/>
                </w:tcPr>
                <w:p w14:paraId="3676B0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1</w:t>
                  </w:r>
                </w:p>
              </w:tc>
              <w:tc>
                <w:tcPr>
                  <w:tcW w:w="675" w:type="pct"/>
                  <w:tcBorders>
                    <w:tl2br w:val="nil"/>
                    <w:tr2bl w:val="nil"/>
                  </w:tcBorders>
                  <w:noWrap/>
                  <w:vAlign w:val="center"/>
                </w:tcPr>
                <w:p w14:paraId="453E5E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宋体"/>
                      <w:color w:val="auto"/>
                      <w:sz w:val="21"/>
                      <w:szCs w:val="21"/>
                      <w:highlight w:val="none"/>
                    </w:rPr>
                  </w:pPr>
                  <w:r>
                    <w:rPr>
                      <w:rFonts w:hint="eastAsia" w:ascii="Times New Roman" w:hAnsi="Times New Roman" w:eastAsia="黑体" w:cs="Times New Roman"/>
                      <w:color w:val="auto"/>
                      <w:kern w:val="2"/>
                      <w:sz w:val="21"/>
                      <w:szCs w:val="21"/>
                      <w:highlight w:val="none"/>
                      <w:lang w:val="en-US" w:eastAsia="zh-CN" w:bidi="ar-SA"/>
                    </w:rPr>
                    <w:t>23.31</w:t>
                  </w:r>
                </w:p>
              </w:tc>
              <w:tc>
                <w:tcPr>
                  <w:tcW w:w="331" w:type="pct"/>
                  <w:tcBorders>
                    <w:tl2br w:val="nil"/>
                    <w:tr2bl w:val="nil"/>
                  </w:tcBorders>
                  <w:noWrap/>
                  <w:vAlign w:val="center"/>
                </w:tcPr>
                <w:p w14:paraId="1225092D">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
                    </w:rPr>
                    <w:t>50</w:t>
                  </w:r>
                </w:p>
              </w:tc>
              <w:tc>
                <w:tcPr>
                  <w:tcW w:w="419" w:type="pct"/>
                  <w:tcBorders>
                    <w:tl2br w:val="nil"/>
                    <w:tr2bl w:val="nil"/>
                  </w:tcBorders>
                  <w:noWrap/>
                  <w:vAlign w:val="center"/>
                </w:tcPr>
                <w:p w14:paraId="7CC58187">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cs="宋体"/>
                      <w:color w:val="auto"/>
                      <w:sz w:val="21"/>
                      <w:szCs w:val="21"/>
                      <w:highlight w:val="none"/>
                    </w:rPr>
                  </w:pPr>
                  <w:r>
                    <w:rPr>
                      <w:rFonts w:hint="eastAsia" w:ascii="Times New Roman" w:hAnsi="Times New Roman" w:cs="宋体"/>
                      <w:color w:val="auto"/>
                      <w:sz w:val="21"/>
                      <w:szCs w:val="21"/>
                      <w:highlight w:val="none"/>
                      <w:lang w:val="en-US" w:eastAsia="zh-CN"/>
                    </w:rPr>
                    <w:t>达标</w:t>
                  </w:r>
                </w:p>
              </w:tc>
            </w:tr>
            <w:tr w14:paraId="58096C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9" w:type="pct"/>
                  <w:tcBorders>
                    <w:tl2br w:val="nil"/>
                    <w:tr2bl w:val="nil"/>
                  </w:tcBorders>
                  <w:vAlign w:val="center"/>
                </w:tcPr>
                <w:p w14:paraId="04368F3E">
                  <w:pPr>
                    <w:pStyle w:val="93"/>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3#厂界西侧</w:t>
                  </w:r>
                </w:p>
              </w:tc>
              <w:tc>
                <w:tcPr>
                  <w:tcW w:w="622" w:type="pct"/>
                  <w:tcBorders>
                    <w:tl2br w:val="nil"/>
                    <w:tr2bl w:val="nil"/>
                  </w:tcBorders>
                  <w:noWrap/>
                  <w:vAlign w:val="center"/>
                </w:tcPr>
                <w:p w14:paraId="144D33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1</w:t>
                  </w:r>
                </w:p>
              </w:tc>
              <w:tc>
                <w:tcPr>
                  <w:tcW w:w="1103" w:type="dxa"/>
                  <w:tcBorders>
                    <w:tl2br w:val="nil"/>
                    <w:tr2bl w:val="nil"/>
                  </w:tcBorders>
                  <w:noWrap/>
                  <w:vAlign w:val="center"/>
                </w:tcPr>
                <w:p w14:paraId="6539BE1B">
                  <w:pPr>
                    <w:spacing w:line="0" w:lineRule="atLeast"/>
                    <w:jc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21.24</w:t>
                  </w:r>
                </w:p>
              </w:tc>
              <w:tc>
                <w:tcPr>
                  <w:tcW w:w="331" w:type="pct"/>
                  <w:tcBorders>
                    <w:tl2br w:val="nil"/>
                    <w:tr2bl w:val="nil"/>
                  </w:tcBorders>
                  <w:noWrap/>
                  <w:vAlign w:val="center"/>
                </w:tcPr>
                <w:p w14:paraId="6C9661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60</w:t>
                  </w:r>
                </w:p>
              </w:tc>
              <w:tc>
                <w:tcPr>
                  <w:tcW w:w="418" w:type="pct"/>
                  <w:tcBorders>
                    <w:tl2br w:val="nil"/>
                    <w:tr2bl w:val="nil"/>
                  </w:tcBorders>
                  <w:noWrap/>
                  <w:vAlign w:val="center"/>
                </w:tcPr>
                <w:p w14:paraId="07DCE6EA">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达标</w:t>
                  </w:r>
                </w:p>
              </w:tc>
              <w:tc>
                <w:tcPr>
                  <w:tcW w:w="846" w:type="pct"/>
                  <w:tcBorders>
                    <w:tl2br w:val="nil"/>
                    <w:tr2bl w:val="nil"/>
                  </w:tcBorders>
                  <w:noWrap/>
                  <w:vAlign w:val="center"/>
                </w:tcPr>
                <w:p w14:paraId="7AB0F24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1</w:t>
                  </w:r>
                </w:p>
              </w:tc>
              <w:tc>
                <w:tcPr>
                  <w:tcW w:w="675" w:type="pct"/>
                  <w:tcBorders>
                    <w:tl2br w:val="nil"/>
                    <w:tr2bl w:val="nil"/>
                  </w:tcBorders>
                  <w:noWrap/>
                  <w:vAlign w:val="center"/>
                </w:tcPr>
                <w:p w14:paraId="491217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宋体"/>
                      <w:color w:val="auto"/>
                      <w:sz w:val="21"/>
                      <w:szCs w:val="21"/>
                      <w:highlight w:val="none"/>
                      <w:lang w:val="en-US"/>
                    </w:rPr>
                  </w:pPr>
                  <w:r>
                    <w:rPr>
                      <w:rFonts w:hint="eastAsia" w:ascii="Times New Roman" w:hAnsi="Times New Roman" w:eastAsia="黑体" w:cs="Times New Roman"/>
                      <w:color w:val="auto"/>
                      <w:kern w:val="2"/>
                      <w:sz w:val="21"/>
                      <w:szCs w:val="21"/>
                      <w:highlight w:val="none"/>
                      <w:lang w:val="en-US" w:eastAsia="zh-CN" w:bidi="ar-SA"/>
                    </w:rPr>
                    <w:t>15.49</w:t>
                  </w:r>
                </w:p>
              </w:tc>
              <w:tc>
                <w:tcPr>
                  <w:tcW w:w="331" w:type="pct"/>
                  <w:tcBorders>
                    <w:tl2br w:val="nil"/>
                    <w:tr2bl w:val="nil"/>
                  </w:tcBorders>
                  <w:noWrap/>
                  <w:vAlign w:val="center"/>
                </w:tcPr>
                <w:p w14:paraId="4165AEEC">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
                    </w:rPr>
                    <w:t>50</w:t>
                  </w:r>
                </w:p>
              </w:tc>
              <w:tc>
                <w:tcPr>
                  <w:tcW w:w="419" w:type="pct"/>
                  <w:tcBorders>
                    <w:tl2br w:val="nil"/>
                    <w:tr2bl w:val="nil"/>
                  </w:tcBorders>
                  <w:noWrap/>
                  <w:vAlign w:val="center"/>
                </w:tcPr>
                <w:p w14:paraId="1F2890B9">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cs="宋体"/>
                      <w:color w:val="auto"/>
                      <w:sz w:val="21"/>
                      <w:szCs w:val="21"/>
                      <w:highlight w:val="none"/>
                    </w:rPr>
                  </w:pPr>
                  <w:r>
                    <w:rPr>
                      <w:rFonts w:hint="eastAsia" w:ascii="Times New Roman" w:hAnsi="Times New Roman" w:cs="宋体"/>
                      <w:color w:val="auto"/>
                      <w:sz w:val="21"/>
                      <w:szCs w:val="21"/>
                      <w:highlight w:val="none"/>
                      <w:lang w:val="en-US" w:eastAsia="zh-CN"/>
                    </w:rPr>
                    <w:t>达标</w:t>
                  </w:r>
                </w:p>
              </w:tc>
            </w:tr>
            <w:tr w14:paraId="5BB332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79" w:type="pct"/>
                  <w:tcBorders>
                    <w:tl2br w:val="nil"/>
                    <w:tr2bl w:val="nil"/>
                  </w:tcBorders>
                  <w:vAlign w:val="center"/>
                </w:tcPr>
                <w:p w14:paraId="3D44FFDB">
                  <w:pPr>
                    <w:keepNext w:val="0"/>
                    <w:keepLines w:val="0"/>
                    <w:suppressLineNumbers w:val="0"/>
                    <w:spacing w:before="0" w:beforeAutospacing="0" w:after="0" w:afterAutospacing="0"/>
                    <w:ind w:left="0" w:leftChars="0" w:right="0" w:rightChars="0"/>
                    <w:jc w:val="center"/>
                    <w:rPr>
                      <w:rFonts w:hint="default"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4#厂界北侧</w:t>
                  </w:r>
                </w:p>
              </w:tc>
              <w:tc>
                <w:tcPr>
                  <w:tcW w:w="622" w:type="pct"/>
                  <w:tcBorders>
                    <w:tl2br w:val="nil"/>
                    <w:tr2bl w:val="nil"/>
                  </w:tcBorders>
                  <w:noWrap/>
                  <w:vAlign w:val="center"/>
                </w:tcPr>
                <w:p w14:paraId="548424B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1</w:t>
                  </w:r>
                </w:p>
              </w:tc>
              <w:tc>
                <w:tcPr>
                  <w:tcW w:w="1103" w:type="dxa"/>
                  <w:tcBorders>
                    <w:tl2br w:val="nil"/>
                    <w:tr2bl w:val="nil"/>
                  </w:tcBorders>
                  <w:noWrap/>
                  <w:vAlign w:val="center"/>
                </w:tcPr>
                <w:p w14:paraId="3F6B4BBB">
                  <w:pPr>
                    <w:spacing w:line="0" w:lineRule="atLeast"/>
                    <w:jc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32.08</w:t>
                  </w:r>
                </w:p>
              </w:tc>
              <w:tc>
                <w:tcPr>
                  <w:tcW w:w="331" w:type="pct"/>
                  <w:tcBorders>
                    <w:tl2br w:val="nil"/>
                    <w:tr2bl w:val="nil"/>
                  </w:tcBorders>
                  <w:noWrap/>
                  <w:vAlign w:val="center"/>
                </w:tcPr>
                <w:p w14:paraId="24A800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60</w:t>
                  </w:r>
                </w:p>
              </w:tc>
              <w:tc>
                <w:tcPr>
                  <w:tcW w:w="418" w:type="pct"/>
                  <w:tcBorders>
                    <w:tl2br w:val="nil"/>
                    <w:tr2bl w:val="nil"/>
                  </w:tcBorders>
                  <w:noWrap/>
                  <w:vAlign w:val="center"/>
                </w:tcPr>
                <w:p w14:paraId="4E62CB9E">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达标</w:t>
                  </w:r>
                </w:p>
              </w:tc>
              <w:tc>
                <w:tcPr>
                  <w:tcW w:w="846" w:type="pct"/>
                  <w:tcBorders>
                    <w:tl2br w:val="nil"/>
                    <w:tr2bl w:val="nil"/>
                  </w:tcBorders>
                  <w:noWrap/>
                  <w:vAlign w:val="center"/>
                </w:tcPr>
                <w:p w14:paraId="331DB7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ascii="Times New Roman" w:hAnsi="Times New Roman" w:eastAsia="黑体" w:cs="Times New Roman"/>
                      <w:color w:val="auto"/>
                      <w:kern w:val="2"/>
                      <w:sz w:val="21"/>
                      <w:szCs w:val="21"/>
                      <w:highlight w:val="none"/>
                      <w:lang w:val="en-US" w:eastAsia="zh-CN" w:bidi="ar-SA"/>
                    </w:rPr>
                    <w:t>1</w:t>
                  </w:r>
                </w:p>
              </w:tc>
              <w:tc>
                <w:tcPr>
                  <w:tcW w:w="675" w:type="pct"/>
                  <w:tcBorders>
                    <w:tl2br w:val="nil"/>
                    <w:tr2bl w:val="nil"/>
                  </w:tcBorders>
                  <w:noWrap/>
                  <w:vAlign w:val="center"/>
                </w:tcPr>
                <w:p w14:paraId="25591B1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宋体"/>
                      <w:color w:val="auto"/>
                      <w:sz w:val="21"/>
                      <w:szCs w:val="21"/>
                      <w:highlight w:val="none"/>
                      <w:lang w:val="en-US"/>
                    </w:rPr>
                  </w:pPr>
                  <w:r>
                    <w:rPr>
                      <w:rFonts w:hint="eastAsia" w:ascii="Times New Roman" w:hAnsi="Times New Roman" w:eastAsia="黑体" w:cs="Times New Roman"/>
                      <w:color w:val="auto"/>
                      <w:kern w:val="2"/>
                      <w:sz w:val="21"/>
                      <w:szCs w:val="21"/>
                      <w:highlight w:val="none"/>
                      <w:lang w:val="en-US" w:eastAsia="zh-CN" w:bidi="ar-SA"/>
                    </w:rPr>
                    <w:t>25.12</w:t>
                  </w:r>
                </w:p>
              </w:tc>
              <w:tc>
                <w:tcPr>
                  <w:tcW w:w="331" w:type="pct"/>
                  <w:tcBorders>
                    <w:tl2br w:val="nil"/>
                    <w:tr2bl w:val="nil"/>
                  </w:tcBorders>
                  <w:noWrap/>
                  <w:vAlign w:val="center"/>
                </w:tcPr>
                <w:p w14:paraId="0A45D8D8">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
                    </w:rPr>
                    <w:t>50</w:t>
                  </w:r>
                </w:p>
              </w:tc>
              <w:tc>
                <w:tcPr>
                  <w:tcW w:w="419" w:type="pct"/>
                  <w:tcBorders>
                    <w:tl2br w:val="nil"/>
                    <w:tr2bl w:val="nil"/>
                  </w:tcBorders>
                  <w:noWrap/>
                  <w:vAlign w:val="center"/>
                </w:tcPr>
                <w:p w14:paraId="6515FDB7">
                  <w:pPr>
                    <w:keepNext w:val="0"/>
                    <w:keepLines w:val="0"/>
                    <w:widowControl/>
                    <w:suppressLineNumbers w:val="0"/>
                    <w:spacing w:before="0" w:beforeAutospacing="0" w:after="0" w:afterAutospacing="0"/>
                    <w:ind w:left="-63" w:leftChars="-30" w:right="-63" w:rightChars="-30"/>
                    <w:jc w:val="center"/>
                    <w:textAlignment w:val="center"/>
                    <w:rPr>
                      <w:rFonts w:hint="default" w:ascii="Times New Roman" w:hAnsi="Times New Roman" w:cs="宋体"/>
                      <w:color w:val="auto"/>
                      <w:sz w:val="21"/>
                      <w:szCs w:val="21"/>
                      <w:highlight w:val="none"/>
                    </w:rPr>
                  </w:pPr>
                  <w:r>
                    <w:rPr>
                      <w:rFonts w:hint="eastAsia" w:ascii="Times New Roman" w:hAnsi="Times New Roman" w:cs="宋体"/>
                      <w:color w:val="auto"/>
                      <w:sz w:val="21"/>
                      <w:szCs w:val="21"/>
                      <w:highlight w:val="none"/>
                      <w:lang w:val="en-US" w:eastAsia="zh-CN"/>
                    </w:rPr>
                    <w:t>达标</w:t>
                  </w:r>
                </w:p>
              </w:tc>
            </w:tr>
          </w:tbl>
          <w:p w14:paraId="55EA7C2F">
            <w:pPr>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由上表预测结果可以看出，本项目厂界</w:t>
            </w:r>
            <w:r>
              <w:rPr>
                <w:rFonts w:hint="eastAsia" w:ascii="Times New Roman" w:hAnsi="Times New Roman" w:cs="Times New Roman"/>
                <w:color w:val="auto"/>
                <w:sz w:val="24"/>
                <w:szCs w:val="24"/>
                <w:highlight w:val="none"/>
                <w:lang w:val="en-US" w:eastAsia="zh-CN"/>
              </w:rPr>
              <w:t>东侧、西侧、南侧、北侧</w:t>
            </w:r>
            <w:r>
              <w:rPr>
                <w:rFonts w:hint="default" w:ascii="Times New Roman" w:hAnsi="Times New Roman" w:eastAsia="宋体" w:cs="Times New Roman"/>
                <w:color w:val="auto"/>
                <w:sz w:val="24"/>
                <w:szCs w:val="24"/>
                <w:highlight w:val="none"/>
                <w:lang w:val="en-US" w:eastAsia="zh-CN"/>
              </w:rPr>
              <w:t>噪声满足《工业企业厂界环境噪声排放标准》（GB12348-2008）中的</w:t>
            </w:r>
            <w:r>
              <w:rPr>
                <w:rFonts w:hint="eastAsia"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类标准</w:t>
            </w:r>
            <w:r>
              <w:rPr>
                <w:rFonts w:hint="default" w:ascii="Times New Roman" w:hAnsi="Times New Roman" w:eastAsia="宋体" w:cs="Times New Roman"/>
                <w:color w:val="auto"/>
                <w:sz w:val="24"/>
                <w:szCs w:val="24"/>
                <w:highlight w:val="none"/>
                <w:lang w:val="en-US" w:eastAsia="zh-Hans"/>
              </w:rPr>
              <w:t>。</w:t>
            </w:r>
            <w:r>
              <w:rPr>
                <w:rFonts w:hint="default" w:ascii="Times New Roman" w:hAnsi="Times New Roman" w:cs="Times New Roman"/>
                <w:color w:val="auto"/>
                <w:kern w:val="0"/>
                <w:sz w:val="24"/>
                <w:highlight w:val="none"/>
              </w:rPr>
              <w:t>本项目采取</w:t>
            </w:r>
            <w:r>
              <w:rPr>
                <w:rFonts w:hint="default" w:ascii="Times New Roman" w:hAnsi="Times New Roman" w:cs="Times New Roman"/>
                <w:color w:val="auto"/>
                <w:sz w:val="24"/>
                <w:highlight w:val="none"/>
              </w:rPr>
              <w:t>选购低噪声设备，在安装时采取减振、软连接、隔声等措施。采取这些减噪措施后</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szCs w:val="24"/>
                <w:highlight w:val="none"/>
                <w:lang w:val="en-US" w:eastAsia="zh-CN"/>
              </w:rPr>
              <w:t>运行期间噪声对外环境的影响很小，不会改变项目所在地声环境质量状况。</w:t>
            </w:r>
          </w:p>
          <w:p w14:paraId="63DFA9D8">
            <w:pPr>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（3）噪声监测</w:t>
            </w:r>
          </w:p>
          <w:p w14:paraId="723CDD32">
            <w:pPr>
              <w:numPr>
                <w:ilvl w:val="0"/>
                <w:numId w:val="0"/>
              </w:numPr>
              <w:adjustRightInd w:val="0"/>
              <w:snapToGrid w:val="0"/>
              <w:spacing w:line="360" w:lineRule="auto"/>
              <w:ind w:firstLine="480" w:firstLineChars="20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 xml:space="preserve">根据《排污单位自行监测技术指南 总则》（HJ819-2017），本项目噪声监测计划如下： </w:t>
            </w:r>
          </w:p>
          <w:p w14:paraId="40693E0C">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p>
          <w:p w14:paraId="0A18C7F2">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表4-</w:t>
            </w:r>
            <w:r>
              <w:rPr>
                <w:rFonts w:hint="eastAsia" w:eastAsia="宋体" w:cs="Times New Roman"/>
                <w:b/>
                <w:color w:val="auto"/>
                <w:kern w:val="2"/>
                <w:sz w:val="21"/>
                <w:szCs w:val="21"/>
                <w:highlight w:val="none"/>
                <w:lang w:val="en-US" w:eastAsia="zh-CN" w:bidi="ar-SA"/>
              </w:rPr>
              <w:t>8</w:t>
            </w:r>
            <w:r>
              <w:rPr>
                <w:rFonts w:hint="default" w:ascii="Times New Roman" w:hAnsi="Times New Roman" w:eastAsia="宋体" w:cs="Times New Roman"/>
                <w:b/>
                <w:color w:val="auto"/>
                <w:kern w:val="2"/>
                <w:sz w:val="21"/>
                <w:szCs w:val="21"/>
                <w:highlight w:val="none"/>
                <w:lang w:val="en-US" w:eastAsia="zh-CN" w:bidi="ar-SA"/>
              </w:rPr>
              <w:t>监测要求</w:t>
            </w:r>
          </w:p>
          <w:tbl>
            <w:tblPr>
              <w:tblStyle w:val="31"/>
              <w:tblW w:w="80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8"/>
              <w:gridCol w:w="1307"/>
              <w:gridCol w:w="1373"/>
              <w:gridCol w:w="1349"/>
              <w:gridCol w:w="3250"/>
            </w:tblGrid>
            <w:tr w14:paraId="69FD4F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1" w:hRule="atLeast"/>
                <w:jc w:val="center"/>
              </w:trPr>
              <w:tc>
                <w:tcPr>
                  <w:tcW w:w="798" w:type="dxa"/>
                  <w:noWrap w:val="0"/>
                  <w:vAlign w:val="center"/>
                </w:tcPr>
                <w:p w14:paraId="2B9976CA">
                  <w:pPr>
                    <w:spacing w:line="0" w:lineRule="atLeast"/>
                    <w:jc w:val="center"/>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zCs w:val="21"/>
                      <w:highlight w:val="none"/>
                      <w:lang w:eastAsia="zh-CN"/>
                    </w:rPr>
                    <w:t>类别</w:t>
                  </w:r>
                </w:p>
              </w:tc>
              <w:tc>
                <w:tcPr>
                  <w:tcW w:w="1307" w:type="dxa"/>
                  <w:noWrap w:val="0"/>
                  <w:vAlign w:val="center"/>
                </w:tcPr>
                <w:p w14:paraId="06432E71">
                  <w:pPr>
                    <w:spacing w:line="0" w:lineRule="atLeast"/>
                    <w:jc w:val="center"/>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zCs w:val="21"/>
                      <w:highlight w:val="none"/>
                      <w:lang w:eastAsia="zh-CN"/>
                    </w:rPr>
                    <w:t>监测位点</w:t>
                  </w:r>
                </w:p>
              </w:tc>
              <w:tc>
                <w:tcPr>
                  <w:tcW w:w="1373" w:type="dxa"/>
                  <w:noWrap w:val="0"/>
                  <w:vAlign w:val="center"/>
                </w:tcPr>
                <w:p w14:paraId="35875BCD">
                  <w:pPr>
                    <w:spacing w:line="0" w:lineRule="atLeast"/>
                    <w:jc w:val="center"/>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zCs w:val="21"/>
                      <w:highlight w:val="none"/>
                      <w:lang w:eastAsia="zh-CN"/>
                    </w:rPr>
                    <w:t>监测指标</w:t>
                  </w:r>
                </w:p>
              </w:tc>
              <w:tc>
                <w:tcPr>
                  <w:tcW w:w="1349" w:type="dxa"/>
                  <w:noWrap w:val="0"/>
                  <w:vAlign w:val="center"/>
                </w:tcPr>
                <w:p w14:paraId="5342D1D9">
                  <w:pPr>
                    <w:spacing w:line="0" w:lineRule="atLeast"/>
                    <w:jc w:val="center"/>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zCs w:val="21"/>
                      <w:highlight w:val="none"/>
                      <w:lang w:eastAsia="zh-CN"/>
                    </w:rPr>
                    <w:t>监测频次</w:t>
                  </w:r>
                </w:p>
              </w:tc>
              <w:tc>
                <w:tcPr>
                  <w:tcW w:w="3250" w:type="dxa"/>
                  <w:noWrap w:val="0"/>
                  <w:vAlign w:val="center"/>
                </w:tcPr>
                <w:p w14:paraId="34F2CE9C">
                  <w:pPr>
                    <w:spacing w:line="0" w:lineRule="atLeast"/>
                    <w:jc w:val="center"/>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zCs w:val="21"/>
                      <w:highlight w:val="none"/>
                      <w:lang w:eastAsia="zh-CN"/>
                    </w:rPr>
                    <w:t>执行排放标准</w:t>
                  </w:r>
                </w:p>
              </w:tc>
            </w:tr>
            <w:tr w14:paraId="415298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71" w:hRule="atLeast"/>
                <w:jc w:val="center"/>
              </w:trPr>
              <w:tc>
                <w:tcPr>
                  <w:tcW w:w="798" w:type="dxa"/>
                  <w:noWrap w:val="0"/>
                  <w:vAlign w:val="center"/>
                </w:tcPr>
                <w:p w14:paraId="10791A0A">
                  <w:pPr>
                    <w:spacing w:line="0" w:lineRule="atLeast"/>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噪声</w:t>
                  </w:r>
                </w:p>
              </w:tc>
              <w:tc>
                <w:tcPr>
                  <w:tcW w:w="1307" w:type="dxa"/>
                  <w:noWrap w:val="0"/>
                  <w:vAlign w:val="center"/>
                </w:tcPr>
                <w:p w14:paraId="6E2E9358">
                  <w:pPr>
                    <w:spacing w:line="0" w:lineRule="atLeast"/>
                    <w:jc w:val="center"/>
                    <w:rPr>
                      <w:rFonts w:hint="eastAsia"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厂界</w:t>
                  </w:r>
                  <w:r>
                    <w:rPr>
                      <w:rFonts w:hint="default" w:ascii="Times New Roman" w:hAnsi="Times New Roman" w:cs="Times New Roman"/>
                      <w:color w:val="auto"/>
                      <w:szCs w:val="21"/>
                      <w:highlight w:val="none"/>
                      <w:lang w:val="en-US" w:eastAsia="zh-Hans"/>
                    </w:rPr>
                    <w:t>东侧、西侧、</w:t>
                  </w:r>
                  <w:r>
                    <w:rPr>
                      <w:rFonts w:hint="eastAsia" w:ascii="Times New Roman" w:hAnsi="Times New Roman" w:cs="Times New Roman"/>
                      <w:color w:val="auto"/>
                      <w:szCs w:val="21"/>
                      <w:highlight w:val="none"/>
                      <w:lang w:val="en-US" w:eastAsia="zh-CN"/>
                    </w:rPr>
                    <w:t>南</w:t>
                  </w:r>
                  <w:r>
                    <w:rPr>
                      <w:rFonts w:hint="default" w:ascii="Times New Roman" w:hAnsi="Times New Roman" w:cs="Times New Roman"/>
                      <w:color w:val="auto"/>
                      <w:szCs w:val="21"/>
                      <w:highlight w:val="none"/>
                      <w:lang w:val="en-US" w:eastAsia="zh-Hans"/>
                    </w:rPr>
                    <w:t>侧</w:t>
                  </w:r>
                  <w:r>
                    <w:rPr>
                      <w:rFonts w:hint="eastAsia" w:ascii="Times New Roman" w:hAnsi="Times New Roman" w:cs="Times New Roman"/>
                      <w:color w:val="auto"/>
                      <w:szCs w:val="21"/>
                      <w:highlight w:val="none"/>
                      <w:lang w:val="en-US" w:eastAsia="zh-CN"/>
                    </w:rPr>
                    <w:t>、北侧</w:t>
                  </w:r>
                </w:p>
              </w:tc>
              <w:tc>
                <w:tcPr>
                  <w:tcW w:w="1373" w:type="dxa"/>
                  <w:noWrap w:val="0"/>
                  <w:vAlign w:val="center"/>
                </w:tcPr>
                <w:p w14:paraId="539E1C2D">
                  <w:pPr>
                    <w:spacing w:line="0" w:lineRule="atLeast"/>
                    <w:jc w:val="center"/>
                    <w:rPr>
                      <w:rFonts w:hint="default" w:ascii="Times New Roman" w:hAnsi="Times New Roman" w:eastAsia="宋体" w:cs="Times New Roman"/>
                      <w:color w:val="auto"/>
                      <w:szCs w:val="21"/>
                      <w:highlight w:val="none"/>
                      <w:lang w:eastAsia="zh-CN"/>
                    </w:rPr>
                  </w:pPr>
                  <w:r>
                    <w:rPr>
                      <w:rFonts w:hint="default" w:ascii="Times New Roman" w:hAnsi="Times New Roman"/>
                      <w:color w:val="auto"/>
                      <w:szCs w:val="21"/>
                      <w:highlight w:val="none"/>
                    </w:rPr>
                    <w:t>Leq</w:t>
                  </w:r>
                  <w:r>
                    <w:rPr>
                      <w:rFonts w:ascii="Times New Roman" w:hAnsi="Times New Roman"/>
                      <w:color w:val="auto"/>
                      <w:szCs w:val="21"/>
                      <w:highlight w:val="none"/>
                    </w:rPr>
                    <w:t>（A）</w:t>
                  </w:r>
                </w:p>
              </w:tc>
              <w:tc>
                <w:tcPr>
                  <w:tcW w:w="1349" w:type="dxa"/>
                  <w:noWrap w:val="0"/>
                  <w:vAlign w:val="center"/>
                </w:tcPr>
                <w:p w14:paraId="09624C76">
                  <w:pPr>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1次/季</w:t>
                  </w:r>
                </w:p>
              </w:tc>
              <w:tc>
                <w:tcPr>
                  <w:tcW w:w="3250" w:type="dxa"/>
                  <w:noWrap w:val="0"/>
                  <w:vAlign w:val="center"/>
                </w:tcPr>
                <w:p w14:paraId="4438EE1F">
                  <w:pPr>
                    <w:spacing w:line="0" w:lineRule="atLeas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《工业企业厂界环境噪声排</w:t>
                  </w:r>
                </w:p>
                <w:p w14:paraId="4F318520">
                  <w:pPr>
                    <w:spacing w:line="0" w:lineRule="atLeas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放标准》（GB12348-2008）</w:t>
                  </w:r>
                </w:p>
                <w:p w14:paraId="2B75D27D">
                  <w:pPr>
                    <w:spacing w:line="0" w:lineRule="atLeast"/>
                    <w:jc w:val="center"/>
                    <w:rPr>
                      <w:rFonts w:hint="default"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2</w:t>
                  </w:r>
                  <w:r>
                    <w:rPr>
                      <w:rFonts w:hint="default" w:ascii="Times New Roman" w:hAnsi="Times New Roman" w:eastAsia="宋体" w:cs="Times New Roman"/>
                      <w:color w:val="auto"/>
                      <w:szCs w:val="21"/>
                      <w:highlight w:val="none"/>
                      <w:lang w:val="en-US" w:eastAsia="zh-CN"/>
                    </w:rPr>
                    <w:t>类标准</w:t>
                  </w:r>
                </w:p>
              </w:tc>
            </w:tr>
          </w:tbl>
          <w:p w14:paraId="661B5EE3">
            <w:pPr>
              <w:numPr>
                <w:ilvl w:val="0"/>
                <w:numId w:val="0"/>
              </w:numPr>
              <w:adjustRightInd w:val="0"/>
              <w:snapToGrid w:val="0"/>
              <w:spacing w:line="360" w:lineRule="auto"/>
              <w:jc w:val="both"/>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kern w:val="2"/>
                <w:sz w:val="24"/>
                <w:szCs w:val="24"/>
                <w:lang w:val="en-US" w:eastAsia="zh-CN" w:bidi="ar-SA"/>
              </w:rPr>
              <w:t>4、</w:t>
            </w:r>
            <w:r>
              <w:rPr>
                <w:rFonts w:hint="default" w:ascii="Times New Roman" w:hAnsi="Times New Roman" w:eastAsia="宋体" w:cs="Times New Roman"/>
                <w:b/>
                <w:bCs/>
                <w:color w:val="auto"/>
                <w:sz w:val="24"/>
                <w:szCs w:val="24"/>
                <w:highlight w:val="none"/>
                <w:lang w:eastAsia="zh-CN"/>
              </w:rPr>
              <w:t>固体废物</w:t>
            </w:r>
          </w:p>
          <w:p w14:paraId="4766D567">
            <w:pPr>
              <w:numPr>
                <w:ilvl w:val="0"/>
                <w:numId w:val="8"/>
              </w:numPr>
              <w:adjustRightInd w:val="0"/>
              <w:snapToGrid w:val="0"/>
              <w:spacing w:line="360" w:lineRule="auto"/>
              <w:ind w:firstLine="480" w:firstLineChars="200"/>
              <w:rPr>
                <w:rFonts w:hint="eastAsia"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产生情况</w:t>
            </w:r>
          </w:p>
          <w:p w14:paraId="41B9E9A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本项目产生的固体废物主要</w:t>
            </w:r>
            <w:r>
              <w:rPr>
                <w:rFonts w:hint="eastAsia" w:ascii="Times New Roman" w:hAnsi="Times New Roman" w:eastAsia="宋体" w:cs="Times New Roman"/>
                <w:b w:val="0"/>
                <w:bCs w:val="0"/>
                <w:color w:val="auto"/>
                <w:sz w:val="24"/>
                <w:szCs w:val="24"/>
                <w:highlight w:val="none"/>
                <w:lang w:val="en-US" w:eastAsia="zh-CN"/>
              </w:rPr>
              <w:t>包括生活垃圾、除铁杂质和絮凝剂、混凝剂包装袋</w:t>
            </w:r>
            <w:r>
              <w:rPr>
                <w:rFonts w:hint="eastAsia" w:ascii="Times New Roman" w:hAnsi="Times New Roman" w:cs="Times New Roman"/>
                <w:b w:val="0"/>
                <w:bCs w:val="0"/>
                <w:color w:val="auto"/>
                <w:sz w:val="24"/>
                <w:szCs w:val="24"/>
                <w:highlight w:val="none"/>
                <w:lang w:val="en-US" w:eastAsia="zh-CN"/>
              </w:rPr>
              <w:t>、煤泥及废机油</w:t>
            </w:r>
            <w:r>
              <w:rPr>
                <w:rFonts w:hint="default" w:ascii="Times New Roman" w:hAnsi="Times New Roman" w:eastAsia="宋体" w:cs="Times New Roman"/>
                <w:b w:val="0"/>
                <w:bCs w:val="0"/>
                <w:color w:val="auto"/>
                <w:sz w:val="24"/>
                <w:szCs w:val="24"/>
                <w:highlight w:val="none"/>
                <w:lang w:val="en-US" w:eastAsia="zh-CN"/>
              </w:rPr>
              <w:t>。</w:t>
            </w:r>
          </w:p>
          <w:p w14:paraId="51253068">
            <w:pPr>
              <w:numPr>
                <w:ilvl w:val="0"/>
                <w:numId w:val="0"/>
              </w:numPr>
              <w:adjustRightInd w:val="0"/>
              <w:snapToGrid w:val="0"/>
              <w:spacing w:line="360" w:lineRule="auto"/>
              <w:ind w:firstLine="480" w:firstLineChars="20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fldChar w:fldCharType="begin"/>
            </w:r>
            <w:r>
              <w:rPr>
                <w:rFonts w:hint="default" w:ascii="Times New Roman" w:hAnsi="Times New Roman" w:eastAsia="宋体" w:cs="Times New Roman"/>
                <w:b w:val="0"/>
                <w:bCs w:val="0"/>
                <w:color w:val="auto"/>
                <w:sz w:val="24"/>
                <w:szCs w:val="24"/>
                <w:highlight w:val="none"/>
                <w:lang w:val="en-US" w:eastAsia="zh-CN"/>
              </w:rPr>
              <w:instrText xml:space="preserve"> = 1 \* GB3 \* MERGEFORMAT </w:instrText>
            </w:r>
            <w:r>
              <w:rPr>
                <w:rFonts w:hint="default" w:ascii="Times New Roman" w:hAnsi="Times New Roman" w:eastAsia="宋体" w:cs="Times New Roman"/>
                <w:b w:val="0"/>
                <w:bCs w:val="0"/>
                <w:color w:val="auto"/>
                <w:sz w:val="24"/>
                <w:szCs w:val="24"/>
                <w:highlight w:val="none"/>
                <w:lang w:val="en-US" w:eastAsia="zh-CN"/>
              </w:rPr>
              <w:fldChar w:fldCharType="separate"/>
            </w:r>
            <w:r>
              <w:rPr>
                <w:rFonts w:hint="default" w:ascii="Times New Roman" w:hAnsi="Times New Roman" w:eastAsia="宋体" w:cs="Times New Roman"/>
                <w:b w:val="0"/>
                <w:bCs w:val="0"/>
                <w:color w:val="auto"/>
                <w:sz w:val="24"/>
                <w:szCs w:val="24"/>
                <w:highlight w:val="none"/>
                <w:lang w:val="en-US" w:eastAsia="zh-CN"/>
              </w:rPr>
              <w:t>①</w:t>
            </w:r>
            <w:r>
              <w:rPr>
                <w:rFonts w:hint="default" w:ascii="Times New Roman" w:hAnsi="Times New Roman" w:eastAsia="宋体" w:cs="Times New Roman"/>
                <w:b w:val="0"/>
                <w:bCs w:val="0"/>
                <w:color w:val="auto"/>
                <w:sz w:val="24"/>
                <w:szCs w:val="24"/>
                <w:highlight w:val="none"/>
                <w:lang w:val="en-US" w:eastAsia="zh-CN"/>
              </w:rPr>
              <w:fldChar w:fldCharType="end"/>
            </w:r>
            <w:r>
              <w:rPr>
                <w:rFonts w:hint="default" w:ascii="Times New Roman" w:hAnsi="Times New Roman" w:eastAsia="宋体" w:cs="Times New Roman"/>
                <w:b w:val="0"/>
                <w:bCs w:val="0"/>
                <w:color w:val="auto"/>
                <w:sz w:val="24"/>
                <w:szCs w:val="24"/>
                <w:highlight w:val="none"/>
                <w:lang w:val="en-US" w:eastAsia="zh-CN"/>
              </w:rPr>
              <w:t>生活垃圾产生量以0.7 kg/人·d计，项目劳动定员为</w:t>
            </w:r>
            <w:r>
              <w:rPr>
                <w:rFonts w:hint="eastAsia" w:ascii="Times New Roman" w:hAnsi="Times New Roman" w:cs="Times New Roman"/>
                <w:b w:val="0"/>
                <w:bCs w:val="0"/>
                <w:color w:val="auto"/>
                <w:sz w:val="24"/>
                <w:szCs w:val="24"/>
                <w:highlight w:val="none"/>
                <w:lang w:val="en-US" w:eastAsia="zh-CN"/>
              </w:rPr>
              <w:t>32</w:t>
            </w:r>
            <w:r>
              <w:rPr>
                <w:rFonts w:hint="default" w:ascii="Times New Roman" w:hAnsi="Times New Roman" w:eastAsia="宋体" w:cs="Times New Roman"/>
                <w:b w:val="0"/>
                <w:bCs w:val="0"/>
                <w:color w:val="auto"/>
                <w:sz w:val="24"/>
                <w:szCs w:val="24"/>
                <w:highlight w:val="none"/>
                <w:lang w:val="en-US" w:eastAsia="zh-CN"/>
              </w:rPr>
              <w:t>人，年工作</w:t>
            </w:r>
            <w:r>
              <w:rPr>
                <w:rFonts w:hint="eastAsia" w:ascii="Times New Roman" w:hAnsi="Times New Roman" w:cs="Times New Roman"/>
                <w:b w:val="0"/>
                <w:bCs w:val="0"/>
                <w:color w:val="auto"/>
                <w:sz w:val="24"/>
                <w:szCs w:val="24"/>
                <w:highlight w:val="none"/>
                <w:lang w:val="en-US" w:eastAsia="zh-CN"/>
              </w:rPr>
              <w:t>330</w:t>
            </w:r>
            <w:r>
              <w:rPr>
                <w:rFonts w:hint="default" w:ascii="Times New Roman" w:hAnsi="Times New Roman" w:eastAsia="宋体" w:cs="Times New Roman"/>
                <w:b w:val="0"/>
                <w:bCs w:val="0"/>
                <w:color w:val="auto"/>
                <w:sz w:val="24"/>
                <w:szCs w:val="24"/>
                <w:highlight w:val="none"/>
                <w:lang w:val="en-US" w:eastAsia="zh-CN"/>
              </w:rPr>
              <w:t>d。则运行期间全厂生活垃圾产生量为</w:t>
            </w:r>
            <w:r>
              <w:rPr>
                <w:rFonts w:hint="eastAsia" w:ascii="Times New Roman" w:hAnsi="Times New Roman" w:cs="Times New Roman"/>
                <w:b w:val="0"/>
                <w:bCs w:val="0"/>
                <w:color w:val="auto"/>
                <w:sz w:val="24"/>
                <w:szCs w:val="24"/>
                <w:highlight w:val="none"/>
                <w:lang w:val="en-US" w:eastAsia="zh-CN"/>
              </w:rPr>
              <w:t>7.39</w:t>
            </w:r>
            <w:r>
              <w:rPr>
                <w:rFonts w:hint="default" w:ascii="Times New Roman" w:hAnsi="Times New Roman" w:eastAsia="宋体" w:cs="Times New Roman"/>
                <w:b w:val="0"/>
                <w:bCs w:val="0"/>
                <w:color w:val="auto"/>
                <w:sz w:val="24"/>
                <w:szCs w:val="24"/>
                <w:highlight w:val="none"/>
                <w:lang w:val="en-US" w:eastAsia="zh-CN"/>
              </w:rPr>
              <w:t>t/a，厂区设置垃圾桶，由环卫部门每周清运处理。</w:t>
            </w:r>
          </w:p>
          <w:p w14:paraId="091852EF">
            <w:pPr>
              <w:numPr>
                <w:ilvl w:val="0"/>
                <w:numId w:val="0"/>
              </w:numPr>
              <w:adjustRightInd w:val="0"/>
              <w:snapToGrid w:val="0"/>
              <w:spacing w:line="360" w:lineRule="auto"/>
              <w:ind w:firstLine="480" w:firstLineChars="20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fldChar w:fldCharType="begin"/>
            </w:r>
            <w:r>
              <w:rPr>
                <w:rFonts w:hint="default" w:ascii="Times New Roman" w:hAnsi="Times New Roman" w:eastAsia="宋体" w:cs="Times New Roman"/>
                <w:b w:val="0"/>
                <w:bCs w:val="0"/>
                <w:color w:val="auto"/>
                <w:sz w:val="24"/>
                <w:szCs w:val="24"/>
                <w:highlight w:val="none"/>
                <w:lang w:val="en-US" w:eastAsia="zh-CN"/>
              </w:rPr>
              <w:instrText xml:space="preserve"> = 2 \* GB3 \* MERGEFORMAT </w:instrText>
            </w:r>
            <w:r>
              <w:rPr>
                <w:rFonts w:hint="default" w:ascii="Times New Roman" w:hAnsi="Times New Roman" w:eastAsia="宋体" w:cs="Times New Roman"/>
                <w:b w:val="0"/>
                <w:bCs w:val="0"/>
                <w:color w:val="auto"/>
                <w:sz w:val="24"/>
                <w:szCs w:val="24"/>
                <w:highlight w:val="none"/>
                <w:lang w:val="en-US" w:eastAsia="zh-CN"/>
              </w:rPr>
              <w:fldChar w:fldCharType="separate"/>
            </w:r>
            <w:r>
              <w:rPr>
                <w:rFonts w:hint="default" w:ascii="Times New Roman" w:hAnsi="Times New Roman" w:eastAsia="宋体" w:cs="Times New Roman"/>
                <w:b w:val="0"/>
                <w:bCs w:val="0"/>
                <w:color w:val="auto"/>
                <w:sz w:val="24"/>
                <w:szCs w:val="24"/>
                <w:highlight w:val="none"/>
                <w:lang w:val="en-US" w:eastAsia="zh-CN"/>
              </w:rPr>
              <w:t>②</w:t>
            </w:r>
            <w:r>
              <w:rPr>
                <w:rFonts w:hint="default" w:ascii="Times New Roman" w:hAnsi="Times New Roman" w:eastAsia="宋体" w:cs="Times New Roman"/>
                <w:b w:val="0"/>
                <w:bCs w:val="0"/>
                <w:color w:val="auto"/>
                <w:sz w:val="24"/>
                <w:szCs w:val="24"/>
                <w:highlight w:val="none"/>
                <w:lang w:val="en-US" w:eastAsia="zh-CN"/>
              </w:rPr>
              <w:fldChar w:fldCharType="end"/>
            </w:r>
            <w:r>
              <w:rPr>
                <w:rFonts w:hint="default" w:ascii="Times New Roman" w:hAnsi="Times New Roman" w:eastAsia="宋体" w:cs="Times New Roman"/>
                <w:b w:val="0"/>
                <w:bCs w:val="0"/>
                <w:color w:val="auto"/>
                <w:sz w:val="24"/>
                <w:szCs w:val="24"/>
                <w:highlight w:val="none"/>
                <w:lang w:val="en-US" w:eastAsia="zh-CN"/>
              </w:rPr>
              <w:t>除铁杂质产生量约2t/a，暂存于洗选车间内，每月外售处理。</w:t>
            </w:r>
          </w:p>
          <w:p w14:paraId="03C96B93">
            <w:pPr>
              <w:numPr>
                <w:ilvl w:val="0"/>
                <w:numId w:val="0"/>
              </w:numPr>
              <w:adjustRightInd w:val="0"/>
              <w:snapToGrid w:val="0"/>
              <w:spacing w:line="360" w:lineRule="auto"/>
              <w:ind w:firstLine="480" w:firstLineChars="20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fldChar w:fldCharType="begin"/>
            </w:r>
            <w:r>
              <w:rPr>
                <w:rFonts w:hint="default" w:ascii="Times New Roman" w:hAnsi="Times New Roman" w:eastAsia="宋体" w:cs="Times New Roman"/>
                <w:b w:val="0"/>
                <w:bCs w:val="0"/>
                <w:color w:val="auto"/>
                <w:sz w:val="24"/>
                <w:szCs w:val="24"/>
                <w:highlight w:val="none"/>
                <w:lang w:val="en-US" w:eastAsia="zh-CN"/>
              </w:rPr>
              <w:instrText xml:space="preserve"> = 3 \* GB3 \* MERGEFORMAT </w:instrText>
            </w:r>
            <w:r>
              <w:rPr>
                <w:rFonts w:hint="default" w:ascii="Times New Roman" w:hAnsi="Times New Roman" w:eastAsia="宋体" w:cs="Times New Roman"/>
                <w:b w:val="0"/>
                <w:bCs w:val="0"/>
                <w:color w:val="auto"/>
                <w:sz w:val="24"/>
                <w:szCs w:val="24"/>
                <w:highlight w:val="none"/>
                <w:lang w:val="en-US" w:eastAsia="zh-CN"/>
              </w:rPr>
              <w:fldChar w:fldCharType="separate"/>
            </w:r>
            <w:r>
              <w:rPr>
                <w:rFonts w:hint="default" w:ascii="Times New Roman" w:hAnsi="Times New Roman" w:eastAsia="宋体" w:cs="Times New Roman"/>
                <w:b w:val="0"/>
                <w:bCs w:val="0"/>
                <w:color w:val="auto"/>
                <w:sz w:val="24"/>
                <w:szCs w:val="24"/>
                <w:highlight w:val="none"/>
                <w:lang w:val="en-US" w:eastAsia="zh-CN"/>
              </w:rPr>
              <w:t>③</w:t>
            </w:r>
            <w:r>
              <w:rPr>
                <w:rFonts w:hint="default" w:ascii="Times New Roman" w:hAnsi="Times New Roman" w:eastAsia="宋体" w:cs="Times New Roman"/>
                <w:b w:val="0"/>
                <w:bCs w:val="0"/>
                <w:color w:val="auto"/>
                <w:sz w:val="24"/>
                <w:szCs w:val="24"/>
                <w:highlight w:val="none"/>
                <w:lang w:val="en-US" w:eastAsia="zh-CN"/>
              </w:rPr>
              <w:fldChar w:fldCharType="end"/>
            </w:r>
            <w:r>
              <w:rPr>
                <w:rFonts w:hint="default" w:ascii="Times New Roman" w:hAnsi="Times New Roman" w:eastAsia="宋体" w:cs="Times New Roman"/>
                <w:b w:val="0"/>
                <w:bCs w:val="0"/>
                <w:color w:val="auto"/>
                <w:sz w:val="24"/>
                <w:szCs w:val="24"/>
                <w:highlight w:val="none"/>
                <w:lang w:val="en-US" w:eastAsia="zh-CN"/>
              </w:rPr>
              <w:t>絮凝剂和混凝剂包装袋800个/a，暂存洗选车间每月，厂家回收处理。</w:t>
            </w:r>
          </w:p>
          <w:p w14:paraId="49CD9816">
            <w:pPr>
              <w:numPr>
                <w:ilvl w:val="0"/>
                <w:numId w:val="0"/>
              </w:numPr>
              <w:adjustRightInd w:val="0"/>
              <w:snapToGrid w:val="0"/>
              <w:spacing w:line="360" w:lineRule="auto"/>
              <w:ind w:firstLine="480" w:firstLineChars="200"/>
              <w:rPr>
                <w:rFonts w:hint="eastAsia" w:ascii="Times New Roman" w:hAnsi="Times New Roman"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sz w:val="24"/>
                <w:szCs w:val="24"/>
                <w:highlight w:val="none"/>
                <w:lang w:val="en-US" w:eastAsia="zh-CN"/>
              </w:rPr>
              <w:fldChar w:fldCharType="begin"/>
            </w:r>
            <w:r>
              <w:rPr>
                <w:rFonts w:hint="default" w:ascii="Times New Roman" w:hAnsi="Times New Roman" w:eastAsia="宋体" w:cs="Times New Roman"/>
                <w:b w:val="0"/>
                <w:bCs w:val="0"/>
                <w:color w:val="auto"/>
                <w:sz w:val="24"/>
                <w:szCs w:val="24"/>
                <w:highlight w:val="none"/>
                <w:lang w:val="en-US" w:eastAsia="zh-CN"/>
              </w:rPr>
              <w:instrText xml:space="preserve"> = 4 \* GB3 \* MERGEFORMAT </w:instrText>
            </w:r>
            <w:r>
              <w:rPr>
                <w:rFonts w:hint="default" w:ascii="Times New Roman" w:hAnsi="Times New Roman" w:eastAsia="宋体" w:cs="Times New Roman"/>
                <w:b w:val="0"/>
                <w:bCs w:val="0"/>
                <w:color w:val="auto"/>
                <w:sz w:val="24"/>
                <w:szCs w:val="24"/>
                <w:highlight w:val="none"/>
                <w:lang w:val="en-US" w:eastAsia="zh-CN"/>
              </w:rPr>
              <w:fldChar w:fldCharType="separate"/>
            </w:r>
            <w:r>
              <w:rPr>
                <w:rFonts w:hint="default" w:ascii="Times New Roman" w:hAnsi="Times New Roman" w:eastAsia="宋体" w:cs="Times New Roman"/>
                <w:b w:val="0"/>
                <w:bCs w:val="0"/>
                <w:color w:val="auto"/>
                <w:sz w:val="24"/>
                <w:szCs w:val="24"/>
                <w:highlight w:val="none"/>
                <w:lang w:val="en-US" w:eastAsia="zh-CN"/>
              </w:rPr>
              <w:t>④</w:t>
            </w:r>
            <w:r>
              <w:rPr>
                <w:rFonts w:hint="default" w:ascii="Times New Roman" w:hAnsi="Times New Roman" w:eastAsia="宋体" w:cs="Times New Roman"/>
                <w:b w:val="0"/>
                <w:bCs w:val="0"/>
                <w:color w:val="auto"/>
                <w:sz w:val="24"/>
                <w:szCs w:val="24"/>
                <w:highlight w:val="none"/>
                <w:lang w:val="en-US" w:eastAsia="zh-CN"/>
              </w:rPr>
              <w:fldChar w:fldCharType="end"/>
            </w:r>
            <w:r>
              <w:rPr>
                <w:rFonts w:hint="eastAsia" w:ascii="Times New Roman" w:hAnsi="Times New Roman" w:cs="Times New Roman"/>
                <w:b w:val="0"/>
                <w:bCs w:val="0"/>
                <w:color w:val="auto"/>
                <w:sz w:val="24"/>
                <w:szCs w:val="24"/>
                <w:highlight w:val="none"/>
                <w:lang w:val="en-US" w:eastAsia="zh-CN"/>
              </w:rPr>
              <w:t>煤泥</w:t>
            </w:r>
            <w:r>
              <w:rPr>
                <w:rFonts w:hint="eastAsia" w:ascii="Times New Roman" w:hAnsi="Times New Roman" w:cs="Times New Roman"/>
                <w:b w:val="0"/>
                <w:bCs w:val="0"/>
                <w:color w:val="auto"/>
                <w:kern w:val="2"/>
                <w:sz w:val="24"/>
                <w:szCs w:val="24"/>
                <w:highlight w:val="none"/>
                <w:lang w:val="en-US" w:eastAsia="zh-CN" w:bidi="ar-SA"/>
              </w:rPr>
              <w:t>产生量约130804吨，暂存于煤泥堆场后</w:t>
            </w:r>
            <w:r>
              <w:rPr>
                <w:rFonts w:hint="default" w:ascii="Times New Roman" w:hAnsi="Times New Roman" w:eastAsia="宋体" w:cs="Times New Roman"/>
                <w:b w:val="0"/>
                <w:bCs w:val="0"/>
                <w:color w:val="auto"/>
                <w:kern w:val="2"/>
                <w:sz w:val="24"/>
                <w:szCs w:val="24"/>
                <w:highlight w:val="none"/>
                <w:lang w:val="en-US" w:eastAsia="zh-CN" w:bidi="ar-SA"/>
              </w:rPr>
              <w:t>外售综合利用</w:t>
            </w:r>
            <w:r>
              <w:rPr>
                <w:rFonts w:hint="eastAsia" w:ascii="Times New Roman" w:hAnsi="Times New Roman" w:cs="Times New Roman"/>
                <w:b w:val="0"/>
                <w:bCs w:val="0"/>
                <w:color w:val="auto"/>
                <w:kern w:val="2"/>
                <w:sz w:val="24"/>
                <w:szCs w:val="24"/>
                <w:highlight w:val="none"/>
                <w:lang w:val="en-US" w:eastAsia="zh-CN" w:bidi="ar-SA"/>
              </w:rPr>
              <w:t>，煤泥堆场占地面积100m</w:t>
            </w:r>
            <w:r>
              <w:rPr>
                <w:rFonts w:hint="eastAsia" w:ascii="Times New Roman" w:hAnsi="Times New Roman" w:cs="Times New Roman"/>
                <w:b w:val="0"/>
                <w:bCs w:val="0"/>
                <w:color w:val="auto"/>
                <w:kern w:val="2"/>
                <w:sz w:val="24"/>
                <w:szCs w:val="24"/>
                <w:highlight w:val="none"/>
                <w:vertAlign w:val="superscript"/>
                <w:lang w:val="en-US" w:eastAsia="zh-CN" w:bidi="ar-SA"/>
              </w:rPr>
              <w:t>2</w:t>
            </w:r>
            <w:r>
              <w:rPr>
                <w:rFonts w:hint="eastAsia" w:ascii="Times New Roman" w:hAnsi="Times New Roman" w:cs="Times New Roman"/>
                <w:b w:val="0"/>
                <w:bCs w:val="0"/>
                <w:color w:val="auto"/>
                <w:kern w:val="2"/>
                <w:sz w:val="24"/>
                <w:szCs w:val="24"/>
                <w:highlight w:val="none"/>
                <w:lang w:val="en-US" w:eastAsia="zh-CN" w:bidi="ar-SA"/>
              </w:rPr>
              <w:t>，地面防渗并硬化处理，最大可容纳500t煤泥，堆场四周设置围堰及雨水收集渠。</w:t>
            </w:r>
          </w:p>
          <w:p w14:paraId="5E9FA9AA">
            <w:pPr>
              <w:numPr>
                <w:ilvl w:val="0"/>
                <w:numId w:val="0"/>
              </w:numPr>
              <w:adjustRightInd w:val="0"/>
              <w:snapToGrid w:val="0"/>
              <w:spacing w:line="360" w:lineRule="auto"/>
              <w:ind w:firstLine="480" w:firstLineChars="200"/>
              <w:rPr>
                <w:rFonts w:hint="eastAsia" w:ascii="Times New Roman" w:hAnsi="Times New Roman"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sz w:val="24"/>
                <w:szCs w:val="24"/>
                <w:highlight w:val="none"/>
                <w:lang w:val="en-US" w:eastAsia="zh-CN"/>
              </w:rPr>
              <w:fldChar w:fldCharType="begin"/>
            </w:r>
            <w:r>
              <w:rPr>
                <w:rFonts w:hint="default" w:ascii="Times New Roman" w:hAnsi="Times New Roman" w:eastAsia="宋体" w:cs="Times New Roman"/>
                <w:b w:val="0"/>
                <w:bCs w:val="0"/>
                <w:color w:val="auto"/>
                <w:sz w:val="24"/>
                <w:szCs w:val="24"/>
                <w:highlight w:val="none"/>
                <w:lang w:val="en-US" w:eastAsia="zh-CN"/>
              </w:rPr>
              <w:instrText xml:space="preserve"> = 5 \* GB3 \* MERGEFORMAT </w:instrText>
            </w:r>
            <w:r>
              <w:rPr>
                <w:rFonts w:hint="default" w:ascii="Times New Roman" w:hAnsi="Times New Roman" w:eastAsia="宋体" w:cs="Times New Roman"/>
                <w:b w:val="0"/>
                <w:bCs w:val="0"/>
                <w:color w:val="auto"/>
                <w:sz w:val="24"/>
                <w:szCs w:val="24"/>
                <w:highlight w:val="none"/>
                <w:lang w:val="en-US" w:eastAsia="zh-CN"/>
              </w:rPr>
              <w:fldChar w:fldCharType="separate"/>
            </w:r>
            <w:r>
              <w:rPr>
                <w:rFonts w:hint="default" w:ascii="Times New Roman" w:hAnsi="Times New Roman" w:eastAsia="宋体" w:cs="Times New Roman"/>
                <w:b w:val="0"/>
                <w:bCs w:val="0"/>
                <w:color w:val="auto"/>
                <w:sz w:val="24"/>
                <w:szCs w:val="24"/>
                <w:highlight w:val="none"/>
                <w:lang w:val="en-US" w:eastAsia="zh-CN"/>
              </w:rPr>
              <w:t>⑤</w:t>
            </w:r>
            <w:r>
              <w:rPr>
                <w:rFonts w:hint="default" w:ascii="Times New Roman" w:hAnsi="Times New Roman" w:eastAsia="宋体" w:cs="Times New Roman"/>
                <w:b w:val="0"/>
                <w:bCs w:val="0"/>
                <w:color w:val="auto"/>
                <w:sz w:val="24"/>
                <w:szCs w:val="24"/>
                <w:highlight w:val="none"/>
                <w:lang w:val="en-US" w:eastAsia="zh-CN"/>
              </w:rPr>
              <w:fldChar w:fldCharType="end"/>
            </w:r>
            <w:r>
              <w:rPr>
                <w:rFonts w:hint="default" w:ascii="Times New Roman" w:hAnsi="Times New Roman" w:eastAsia="宋体" w:cs="Times New Roman"/>
                <w:color w:val="auto"/>
                <w:sz w:val="24"/>
                <w:szCs w:val="24"/>
              </w:rPr>
              <w:t>煤矸石产生量约</w:t>
            </w:r>
            <w:r>
              <w:rPr>
                <w:rFonts w:hint="eastAsia" w:cs="Times New Roman"/>
                <w:color w:val="auto"/>
                <w:sz w:val="24"/>
                <w:szCs w:val="24"/>
                <w:lang w:val="en-US" w:eastAsia="zh-CN"/>
              </w:rPr>
              <w:t>34.94</w:t>
            </w:r>
            <w:r>
              <w:rPr>
                <w:rFonts w:hint="default" w:ascii="Times New Roman" w:hAnsi="Times New Roman" w:eastAsia="宋体" w:cs="Times New Roman"/>
                <w:color w:val="auto"/>
                <w:sz w:val="24"/>
                <w:szCs w:val="24"/>
                <w:lang w:eastAsia="zh-CN"/>
              </w:rPr>
              <w:t>万</w:t>
            </w:r>
            <w:r>
              <w:rPr>
                <w:rFonts w:hint="default" w:ascii="Times New Roman" w:hAnsi="Times New Roman" w:eastAsia="宋体" w:cs="Times New Roman"/>
                <w:color w:val="auto"/>
                <w:sz w:val="24"/>
                <w:szCs w:val="24"/>
              </w:rPr>
              <w:t>t，暂存于矸石堆场后定期</w:t>
            </w:r>
            <w:r>
              <w:rPr>
                <w:rFonts w:hint="eastAsia" w:cs="Times New Roman"/>
                <w:color w:val="auto"/>
                <w:sz w:val="24"/>
                <w:szCs w:val="24"/>
                <w:highlight w:val="none"/>
                <w:lang w:eastAsia="zh-CN"/>
              </w:rPr>
              <w:t>由</w:t>
            </w:r>
            <w:r>
              <w:rPr>
                <w:rFonts w:hint="eastAsia" w:cs="Times New Roman"/>
                <w:color w:val="auto"/>
                <w:sz w:val="24"/>
                <w:szCs w:val="24"/>
                <w:highlight w:val="none"/>
                <w:vertAlign w:val="baseline"/>
                <w:lang w:val="en-US" w:eastAsia="zh-CN"/>
              </w:rPr>
              <w:t>梨树区惠隆矸石洗煤厂处置</w:t>
            </w:r>
            <w:r>
              <w:rPr>
                <w:rFonts w:hint="default" w:ascii="Times New Roman" w:hAnsi="Times New Roman" w:eastAsia="宋体" w:cs="Times New Roman"/>
                <w:color w:val="auto"/>
                <w:sz w:val="24"/>
                <w:szCs w:val="24"/>
                <w:highlight w:val="none"/>
              </w:rPr>
              <w:t>，矸石堆场占地面积</w:t>
            </w:r>
            <w:r>
              <w:rPr>
                <w:rFonts w:hint="eastAsia" w:cs="Times New Roman"/>
                <w:color w:val="auto"/>
                <w:sz w:val="24"/>
                <w:szCs w:val="24"/>
                <w:highlight w:val="none"/>
                <w:lang w:val="en-US" w:eastAsia="zh-CN"/>
              </w:rPr>
              <w:t>15</w:t>
            </w:r>
            <w:r>
              <w:rPr>
                <w:rFonts w:hint="default" w:ascii="Times New Roman" w:hAnsi="Times New Roman" w:eastAsia="宋体" w:cs="Times New Roman"/>
                <w:color w:val="auto"/>
                <w:sz w:val="24"/>
                <w:szCs w:val="24"/>
                <w:highlight w:val="none"/>
              </w:rPr>
              <w:t>00m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，地面防渗并硬化处理，</w:t>
            </w:r>
            <w:r>
              <w:rPr>
                <w:rFonts w:hint="default" w:ascii="Times New Roman" w:hAnsi="Times New Roman" w:eastAsia="宋体" w:cs="Times New Roman"/>
                <w:color w:val="auto"/>
                <w:sz w:val="24"/>
                <w:szCs w:val="24"/>
              </w:rPr>
              <w:t>最大可容纳</w:t>
            </w:r>
            <w:r>
              <w:rPr>
                <w:rFonts w:hint="eastAsia" w:cs="Times New Roman"/>
                <w:color w:val="auto"/>
                <w:sz w:val="24"/>
                <w:lang w:val="en-US" w:eastAsia="zh-CN"/>
              </w:rPr>
              <w:t>15</w:t>
            </w:r>
            <w:r>
              <w:rPr>
                <w:rFonts w:hint="default" w:ascii="Times New Roman" w:hAnsi="Times New Roman" w:eastAsia="宋体" w:cs="Times New Roman"/>
                <w:color w:val="auto"/>
                <w:sz w:val="24"/>
                <w:lang w:val="en-US" w:eastAsia="zh-CN"/>
              </w:rPr>
              <w:t>00</w:t>
            </w:r>
            <w:r>
              <w:rPr>
                <w:rFonts w:hint="default" w:ascii="Times New Roman" w:hAnsi="Times New Roman" w:eastAsia="宋体" w:cs="Times New Roman"/>
                <w:color w:val="auto"/>
                <w:sz w:val="24"/>
              </w:rPr>
              <w:t>t</w:t>
            </w:r>
            <w:r>
              <w:rPr>
                <w:rFonts w:hint="eastAsia" w:cs="Times New Roman"/>
                <w:color w:val="auto"/>
                <w:sz w:val="24"/>
                <w:lang w:eastAsia="zh-CN"/>
              </w:rPr>
              <w:t>煤矸石</w:t>
            </w:r>
            <w:r>
              <w:rPr>
                <w:rFonts w:hint="default" w:ascii="Times New Roman" w:hAnsi="Times New Roman" w:eastAsia="宋体" w:cs="Times New Roman"/>
                <w:color w:val="auto"/>
                <w:sz w:val="24"/>
              </w:rPr>
              <w:t>，堆场四周设置围堰及雨水收集渠。</w:t>
            </w:r>
          </w:p>
          <w:p w14:paraId="7F08B516">
            <w:pPr>
              <w:numPr>
                <w:ilvl w:val="0"/>
                <w:numId w:val="0"/>
              </w:numPr>
              <w:adjustRightInd w:val="0"/>
              <w:snapToGrid w:val="0"/>
              <w:spacing w:line="360" w:lineRule="auto"/>
              <w:ind w:firstLine="480" w:firstLineChars="200"/>
              <w:rPr>
                <w:rFonts w:hint="default" w:ascii="Times New Roman" w:hAnsi="Times New Roman" w:eastAsia="宋体" w:cs="Times New Roman"/>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⑥</w:t>
            </w:r>
            <w:r>
              <w:rPr>
                <w:rFonts w:hint="eastAsia" w:ascii="Times New Roman" w:hAnsi="Times New Roman" w:cs="Times New Roman"/>
                <w:b w:val="0"/>
                <w:bCs w:val="0"/>
                <w:color w:val="auto"/>
                <w:sz w:val="24"/>
                <w:szCs w:val="24"/>
                <w:highlight w:val="none"/>
                <w:lang w:val="en-US" w:eastAsia="zh-CN"/>
              </w:rPr>
              <w:t>废机油</w:t>
            </w:r>
            <w:r>
              <w:rPr>
                <w:rFonts w:hint="default" w:ascii="Times New Roman" w:hAnsi="Times New Roman" w:eastAsia="宋体" w:cs="Times New Roman"/>
                <w:b w:val="0"/>
                <w:bCs w:val="0"/>
                <w:color w:val="auto"/>
                <w:sz w:val="24"/>
                <w:szCs w:val="24"/>
                <w:highlight w:val="none"/>
                <w:lang w:val="en-US" w:eastAsia="zh-CN"/>
              </w:rPr>
              <w:t>产生量约</w:t>
            </w:r>
            <w:r>
              <w:rPr>
                <w:rFonts w:hint="eastAsia" w:ascii="Times New Roman" w:hAnsi="Times New Roman" w:cs="Times New Roman"/>
                <w:b w:val="0"/>
                <w:bCs w:val="0"/>
                <w:color w:val="auto"/>
                <w:sz w:val="24"/>
                <w:szCs w:val="24"/>
                <w:highlight w:val="none"/>
                <w:lang w:val="en-US" w:eastAsia="zh-CN"/>
              </w:rPr>
              <w:t>0.2</w:t>
            </w:r>
            <w:r>
              <w:rPr>
                <w:rFonts w:hint="default" w:ascii="Times New Roman" w:hAnsi="Times New Roman" w:eastAsia="宋体" w:cs="Times New Roman"/>
                <w:b w:val="0"/>
                <w:bCs w:val="0"/>
                <w:color w:val="auto"/>
                <w:sz w:val="24"/>
                <w:szCs w:val="24"/>
                <w:highlight w:val="none"/>
                <w:lang w:val="en-US" w:eastAsia="zh-CN"/>
              </w:rPr>
              <w:t>t/a，</w:t>
            </w:r>
            <w:r>
              <w:rPr>
                <w:rFonts w:hint="eastAsia" w:ascii="Times New Roman" w:hAnsi="Times New Roman" w:cs="Times New Roman"/>
                <w:b w:val="0"/>
                <w:bCs w:val="0"/>
                <w:color w:val="auto"/>
                <w:sz w:val="24"/>
                <w:szCs w:val="24"/>
                <w:highlight w:val="none"/>
                <w:lang w:val="en-US" w:eastAsia="zh-CN"/>
              </w:rPr>
              <w:t>暂存于危废间内，委托有资质单位处置。</w:t>
            </w:r>
          </w:p>
          <w:p w14:paraId="525167E6">
            <w:pPr>
              <w:keepNext w:val="0"/>
              <w:keepLines w:val="0"/>
              <w:pageBreakBefore w:val="0"/>
              <w:widowControl w:val="0"/>
              <w:kinsoku/>
              <w:wordWrap/>
              <w:overflowPunct/>
              <w:topLinePunct w:val="0"/>
              <w:autoSpaceDE/>
              <w:autoSpaceDN/>
              <w:bidi w:val="0"/>
              <w:adjustRightInd/>
              <w:snapToGrid/>
              <w:spacing w:line="0" w:lineRule="atLeast"/>
              <w:ind w:firstLine="422" w:firstLineChars="200"/>
              <w:jc w:val="center"/>
              <w:textAlignment w:val="auto"/>
              <w:rPr>
                <w:rFonts w:ascii="Times New Roman" w:hAnsi="Times New Roman"/>
                <w:b/>
                <w:color w:val="auto"/>
                <w:sz w:val="21"/>
                <w:szCs w:val="21"/>
                <w:highlight w:val="none"/>
              </w:rPr>
            </w:pPr>
            <w:r>
              <w:rPr>
                <w:rFonts w:hint="eastAsia" w:ascii="Times New Roman" w:hAnsi="Times New Roman"/>
                <w:b/>
                <w:color w:val="auto"/>
                <w:sz w:val="21"/>
                <w:szCs w:val="21"/>
                <w:highlight w:val="none"/>
                <w:lang w:eastAsia="zh-CN"/>
              </w:rPr>
              <w:t>表</w:t>
            </w:r>
            <w:r>
              <w:rPr>
                <w:rFonts w:hint="eastAsia" w:ascii="Times New Roman" w:hAnsi="Times New Roman"/>
                <w:b/>
                <w:color w:val="auto"/>
                <w:sz w:val="21"/>
                <w:szCs w:val="21"/>
                <w:highlight w:val="none"/>
                <w:lang w:val="en-US" w:eastAsia="zh-CN"/>
              </w:rPr>
              <w:t>4-</w:t>
            </w:r>
            <w:r>
              <w:rPr>
                <w:rFonts w:hint="eastAsia"/>
                <w:b/>
                <w:color w:val="auto"/>
                <w:sz w:val="21"/>
                <w:szCs w:val="21"/>
                <w:highlight w:val="none"/>
                <w:lang w:val="en-US" w:eastAsia="zh-CN"/>
              </w:rPr>
              <w:t>9</w:t>
            </w:r>
            <w:r>
              <w:rPr>
                <w:rFonts w:ascii="Times New Roman" w:hAnsi="Times New Roman"/>
                <w:b/>
                <w:color w:val="auto"/>
                <w:sz w:val="21"/>
                <w:szCs w:val="21"/>
                <w:highlight w:val="none"/>
              </w:rPr>
              <w:t>固体废物汇</w:t>
            </w:r>
            <w:r>
              <w:rPr>
                <w:rFonts w:hint="eastAsia" w:ascii="Times New Roman" w:hAnsi="Times New Roman"/>
                <w:b/>
                <w:color w:val="auto"/>
                <w:sz w:val="21"/>
                <w:szCs w:val="21"/>
                <w:highlight w:val="none"/>
                <w:lang w:eastAsia="zh-CN"/>
              </w:rPr>
              <w:t>一览</w:t>
            </w:r>
            <w:r>
              <w:rPr>
                <w:rFonts w:ascii="Times New Roman" w:hAnsi="Times New Roman"/>
                <w:b/>
                <w:color w:val="auto"/>
                <w:sz w:val="21"/>
                <w:szCs w:val="21"/>
                <w:highlight w:val="none"/>
              </w:rPr>
              <w:t>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2"/>
              <w:gridCol w:w="935"/>
              <w:gridCol w:w="1119"/>
              <w:gridCol w:w="889"/>
              <w:gridCol w:w="705"/>
              <w:gridCol w:w="828"/>
              <w:gridCol w:w="856"/>
              <w:gridCol w:w="836"/>
              <w:gridCol w:w="1331"/>
            </w:tblGrid>
            <w:tr w14:paraId="2D9389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434" w:type="pct"/>
                  <w:vMerge w:val="restart"/>
                  <w:vAlign w:val="center"/>
                </w:tcPr>
                <w:p w14:paraId="63DCC9B0">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工序/生产线</w:t>
                  </w:r>
                </w:p>
              </w:tc>
              <w:tc>
                <w:tcPr>
                  <w:tcW w:w="569" w:type="pct"/>
                  <w:vMerge w:val="restart"/>
                  <w:vAlign w:val="center"/>
                </w:tcPr>
                <w:p w14:paraId="22788B1A">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装置</w:t>
                  </w:r>
                </w:p>
              </w:tc>
              <w:tc>
                <w:tcPr>
                  <w:tcW w:w="681" w:type="pct"/>
                  <w:vMerge w:val="restart"/>
                  <w:shd w:val="clear" w:color="auto" w:fill="auto"/>
                  <w:vAlign w:val="center"/>
                </w:tcPr>
                <w:p w14:paraId="62198B83">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固体废物</w:t>
                  </w:r>
                </w:p>
                <w:p w14:paraId="77640E69">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名称</w:t>
                  </w:r>
                </w:p>
              </w:tc>
              <w:tc>
                <w:tcPr>
                  <w:tcW w:w="541" w:type="pct"/>
                  <w:vMerge w:val="restart"/>
                  <w:shd w:val="clear" w:color="auto" w:fill="auto"/>
                  <w:vAlign w:val="center"/>
                </w:tcPr>
                <w:p w14:paraId="453E4A2F">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固体废物属性</w:t>
                  </w:r>
                </w:p>
              </w:tc>
              <w:tc>
                <w:tcPr>
                  <w:tcW w:w="933" w:type="pct"/>
                  <w:gridSpan w:val="2"/>
                  <w:shd w:val="clear" w:color="auto" w:fill="auto"/>
                  <w:vAlign w:val="center"/>
                </w:tcPr>
                <w:p w14:paraId="513170AA">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产生情况</w:t>
                  </w:r>
                </w:p>
              </w:tc>
              <w:tc>
                <w:tcPr>
                  <w:tcW w:w="1030" w:type="pct"/>
                  <w:gridSpan w:val="2"/>
                  <w:shd w:val="clear" w:color="auto" w:fill="auto"/>
                  <w:vAlign w:val="center"/>
                </w:tcPr>
                <w:p w14:paraId="7058645F">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处置措施</w:t>
                  </w:r>
                </w:p>
              </w:tc>
              <w:tc>
                <w:tcPr>
                  <w:tcW w:w="810" w:type="pct"/>
                  <w:vMerge w:val="restart"/>
                  <w:vAlign w:val="center"/>
                </w:tcPr>
                <w:p w14:paraId="79B598AC">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最终去向</w:t>
                  </w:r>
                </w:p>
              </w:tc>
            </w:tr>
            <w:tr w14:paraId="40F96F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34" w:type="pct"/>
                  <w:vMerge w:val="continue"/>
                  <w:tcBorders>
                    <w:bottom w:val="single" w:color="auto" w:sz="4" w:space="0"/>
                  </w:tcBorders>
                  <w:vAlign w:val="center"/>
                </w:tcPr>
                <w:p w14:paraId="5C449B47">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color w:val="auto"/>
                      <w:szCs w:val="21"/>
                      <w:highlight w:val="none"/>
                    </w:rPr>
                  </w:pPr>
                </w:p>
              </w:tc>
              <w:tc>
                <w:tcPr>
                  <w:tcW w:w="569" w:type="pct"/>
                  <w:vMerge w:val="continue"/>
                  <w:tcBorders>
                    <w:bottom w:val="single" w:color="auto" w:sz="4" w:space="0"/>
                  </w:tcBorders>
                  <w:vAlign w:val="center"/>
                </w:tcPr>
                <w:p w14:paraId="75FCB3D3">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color w:val="auto"/>
                      <w:szCs w:val="21"/>
                      <w:highlight w:val="none"/>
                    </w:rPr>
                  </w:pPr>
                </w:p>
              </w:tc>
              <w:tc>
                <w:tcPr>
                  <w:tcW w:w="681" w:type="pct"/>
                  <w:vMerge w:val="continue"/>
                  <w:shd w:val="clear" w:color="auto" w:fill="auto"/>
                  <w:vAlign w:val="center"/>
                </w:tcPr>
                <w:p w14:paraId="521A8589">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color w:val="auto"/>
                      <w:szCs w:val="21"/>
                      <w:highlight w:val="none"/>
                    </w:rPr>
                  </w:pPr>
                </w:p>
              </w:tc>
              <w:tc>
                <w:tcPr>
                  <w:tcW w:w="541" w:type="pct"/>
                  <w:vMerge w:val="continue"/>
                  <w:shd w:val="clear" w:color="auto" w:fill="auto"/>
                  <w:vAlign w:val="center"/>
                </w:tcPr>
                <w:p w14:paraId="279670B9">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color w:val="auto"/>
                      <w:szCs w:val="21"/>
                      <w:highlight w:val="none"/>
                    </w:rPr>
                  </w:pPr>
                </w:p>
              </w:tc>
              <w:tc>
                <w:tcPr>
                  <w:tcW w:w="429" w:type="pct"/>
                  <w:shd w:val="clear" w:color="auto" w:fill="auto"/>
                  <w:vAlign w:val="center"/>
                </w:tcPr>
                <w:p w14:paraId="09D44564">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核算</w:t>
                  </w:r>
                </w:p>
                <w:p w14:paraId="70F94B19">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方法</w:t>
                  </w:r>
                </w:p>
              </w:tc>
              <w:tc>
                <w:tcPr>
                  <w:tcW w:w="504" w:type="pct"/>
                  <w:shd w:val="clear" w:color="auto" w:fill="auto"/>
                  <w:vAlign w:val="center"/>
                </w:tcPr>
                <w:p w14:paraId="7208FDC3">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产生量t/a</w:t>
                  </w:r>
                </w:p>
              </w:tc>
              <w:tc>
                <w:tcPr>
                  <w:tcW w:w="521" w:type="pct"/>
                  <w:shd w:val="clear" w:color="auto" w:fill="auto"/>
                  <w:vAlign w:val="center"/>
                </w:tcPr>
                <w:p w14:paraId="312955D3">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工艺</w:t>
                  </w:r>
                </w:p>
              </w:tc>
              <w:tc>
                <w:tcPr>
                  <w:tcW w:w="508" w:type="pct"/>
                  <w:shd w:val="clear" w:color="auto" w:fill="auto"/>
                  <w:vAlign w:val="center"/>
                </w:tcPr>
                <w:p w14:paraId="3E10E195">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b/>
                      <w:bCs/>
                      <w:color w:val="auto"/>
                      <w:szCs w:val="21"/>
                      <w:highlight w:val="none"/>
                    </w:rPr>
                  </w:pPr>
                  <w:r>
                    <w:rPr>
                      <w:rFonts w:hint="eastAsia" w:ascii="Times New Roman" w:hAnsi="Times New Roman"/>
                      <w:b/>
                      <w:bCs/>
                      <w:color w:val="auto"/>
                      <w:szCs w:val="21"/>
                      <w:highlight w:val="none"/>
                    </w:rPr>
                    <w:t>处置量t/a</w:t>
                  </w:r>
                </w:p>
              </w:tc>
              <w:tc>
                <w:tcPr>
                  <w:tcW w:w="810" w:type="pct"/>
                  <w:vMerge w:val="continue"/>
                  <w:vAlign w:val="center"/>
                </w:tcPr>
                <w:p w14:paraId="0D6EB015">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Times New Roman" w:hAnsi="Times New Roman"/>
                      <w:color w:val="auto"/>
                      <w:szCs w:val="21"/>
                      <w:highlight w:val="none"/>
                    </w:rPr>
                  </w:pPr>
                </w:p>
              </w:tc>
            </w:tr>
            <w:tr w14:paraId="0EEF5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434" w:type="pct"/>
                  <w:tcBorders>
                    <w:top w:val="single" w:color="auto" w:sz="4" w:space="0"/>
                  </w:tcBorders>
                  <w:shd w:val="clear" w:color="auto" w:fill="auto"/>
                  <w:vAlign w:val="center"/>
                </w:tcPr>
                <w:p w14:paraId="27840401">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除铁工序</w:t>
                  </w:r>
                </w:p>
              </w:tc>
              <w:tc>
                <w:tcPr>
                  <w:tcW w:w="569" w:type="pct"/>
                  <w:tcBorders>
                    <w:top w:val="single" w:color="auto" w:sz="4" w:space="0"/>
                  </w:tcBorders>
                  <w:shd w:val="clear" w:color="auto" w:fill="auto"/>
                  <w:vAlign w:val="center"/>
                </w:tcPr>
                <w:p w14:paraId="6806C4E4">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Cs w:val="21"/>
                      <w:highlight w:val="none"/>
                      <w:lang w:val="en-US" w:eastAsia="zh-CN"/>
                    </w:rPr>
                    <w:t>除铁器</w:t>
                  </w:r>
                </w:p>
              </w:tc>
              <w:tc>
                <w:tcPr>
                  <w:tcW w:w="681" w:type="pct"/>
                  <w:shd w:val="clear" w:color="auto" w:fill="auto"/>
                  <w:vAlign w:val="center"/>
                </w:tcPr>
                <w:p w14:paraId="0636CAC3">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Cs w:val="21"/>
                      <w:highlight w:val="none"/>
                      <w:lang w:eastAsia="zh-CN"/>
                    </w:rPr>
                    <w:t>除尘器灰尘</w:t>
                  </w:r>
                </w:p>
              </w:tc>
              <w:tc>
                <w:tcPr>
                  <w:tcW w:w="541" w:type="pct"/>
                  <w:shd w:val="clear" w:color="auto" w:fill="auto"/>
                  <w:vAlign w:val="center"/>
                </w:tcPr>
                <w:p w14:paraId="45749A88">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Cs w:val="21"/>
                      <w:highlight w:val="none"/>
                    </w:rPr>
                    <w:t>一般工业固体废物</w:t>
                  </w:r>
                </w:p>
              </w:tc>
              <w:tc>
                <w:tcPr>
                  <w:tcW w:w="429" w:type="pct"/>
                  <w:shd w:val="clear" w:color="auto" w:fill="auto"/>
                  <w:vAlign w:val="center"/>
                </w:tcPr>
                <w:p w14:paraId="4291652C">
                  <w:pPr>
                    <w:keepNext w:val="0"/>
                    <w:keepLines w:val="0"/>
                    <w:pageBreakBefore w:val="0"/>
                    <w:widowControl w:val="0"/>
                    <w:shd w:val="clear" w:color="auto" w:fill="FFFFFF"/>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Cs w:val="21"/>
                      <w:highlight w:val="none"/>
                      <w:lang w:eastAsia="zh-CN"/>
                    </w:rPr>
                    <w:t>类比法</w:t>
                  </w:r>
                </w:p>
              </w:tc>
              <w:tc>
                <w:tcPr>
                  <w:tcW w:w="504" w:type="pct"/>
                  <w:shd w:val="clear" w:color="auto" w:fill="auto"/>
                  <w:vAlign w:val="center"/>
                </w:tcPr>
                <w:p w14:paraId="0E8FF35F">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2</w:t>
                  </w:r>
                </w:p>
              </w:tc>
              <w:tc>
                <w:tcPr>
                  <w:tcW w:w="521" w:type="pct"/>
                  <w:shd w:val="clear" w:color="auto" w:fill="auto"/>
                  <w:vAlign w:val="center"/>
                </w:tcPr>
                <w:p w14:paraId="40F7D93B">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集中收集</w:t>
                  </w:r>
                </w:p>
              </w:tc>
              <w:tc>
                <w:tcPr>
                  <w:tcW w:w="508" w:type="pct"/>
                  <w:shd w:val="clear" w:color="auto" w:fill="auto"/>
                  <w:vAlign w:val="center"/>
                </w:tcPr>
                <w:p w14:paraId="6F7B9096">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2</w:t>
                  </w:r>
                </w:p>
              </w:tc>
              <w:tc>
                <w:tcPr>
                  <w:tcW w:w="810" w:type="pct"/>
                  <w:vAlign w:val="center"/>
                </w:tcPr>
                <w:p w14:paraId="65FDE8DF">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外售处理</w:t>
                  </w:r>
                </w:p>
              </w:tc>
            </w:tr>
            <w:tr w14:paraId="18038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434" w:type="pct"/>
                  <w:shd w:val="clear" w:color="auto" w:fill="auto"/>
                  <w:vAlign w:val="center"/>
                </w:tcPr>
                <w:p w14:paraId="26C9EDDA">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包装袋</w:t>
                  </w:r>
                </w:p>
              </w:tc>
              <w:tc>
                <w:tcPr>
                  <w:tcW w:w="569" w:type="pct"/>
                  <w:shd w:val="clear" w:color="auto" w:fill="auto"/>
                  <w:vAlign w:val="center"/>
                </w:tcPr>
                <w:p w14:paraId="17500715">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包装袋</w:t>
                  </w:r>
                </w:p>
              </w:tc>
              <w:tc>
                <w:tcPr>
                  <w:tcW w:w="681" w:type="pct"/>
                  <w:shd w:val="clear" w:color="auto" w:fill="auto"/>
                  <w:vAlign w:val="center"/>
                </w:tcPr>
                <w:p w14:paraId="7C90892C">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eastAsia="zh-CN"/>
                    </w:rPr>
                  </w:pPr>
                  <w:r>
                    <w:rPr>
                      <w:rFonts w:hint="eastAsia" w:ascii="Times New Roman" w:hAnsi="Times New Roman"/>
                      <w:color w:val="auto"/>
                      <w:szCs w:val="21"/>
                      <w:highlight w:val="none"/>
                      <w:lang w:eastAsia="zh-CN"/>
                    </w:rPr>
                    <w:t>絮凝剂和混凝剂包装袋</w:t>
                  </w:r>
                </w:p>
              </w:tc>
              <w:tc>
                <w:tcPr>
                  <w:tcW w:w="541" w:type="pct"/>
                  <w:shd w:val="clear" w:color="auto" w:fill="auto"/>
                  <w:vAlign w:val="center"/>
                </w:tcPr>
                <w:p w14:paraId="2B35B0B3">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olor w:val="auto"/>
                      <w:szCs w:val="21"/>
                      <w:highlight w:val="none"/>
                      <w:lang w:eastAsia="zh-CN"/>
                    </w:rPr>
                  </w:pPr>
                  <w:r>
                    <w:rPr>
                      <w:rFonts w:hint="eastAsia" w:ascii="Times New Roman" w:hAnsi="Times New Roman"/>
                      <w:color w:val="auto"/>
                      <w:szCs w:val="21"/>
                      <w:highlight w:val="none"/>
                    </w:rPr>
                    <w:t>一般工业固体废物</w:t>
                  </w:r>
                </w:p>
              </w:tc>
              <w:tc>
                <w:tcPr>
                  <w:tcW w:w="429" w:type="pct"/>
                  <w:shd w:val="clear" w:color="auto" w:fill="auto"/>
                  <w:vAlign w:val="center"/>
                </w:tcPr>
                <w:p w14:paraId="1C1DA473">
                  <w:pPr>
                    <w:keepNext w:val="0"/>
                    <w:keepLines w:val="0"/>
                    <w:pageBreakBefore w:val="0"/>
                    <w:widowControl w:val="0"/>
                    <w:shd w:val="clear" w:color="auto" w:fill="FFFFFF"/>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olor w:val="auto"/>
                      <w:szCs w:val="21"/>
                      <w:highlight w:val="none"/>
                      <w:lang w:eastAsia="zh-CN"/>
                    </w:rPr>
                  </w:pPr>
                  <w:r>
                    <w:rPr>
                      <w:rFonts w:hint="eastAsia" w:ascii="Times New Roman" w:hAnsi="Times New Roman"/>
                      <w:color w:val="auto"/>
                      <w:szCs w:val="21"/>
                      <w:highlight w:val="none"/>
                      <w:lang w:eastAsia="zh-CN"/>
                    </w:rPr>
                    <w:t>类比法</w:t>
                  </w:r>
                </w:p>
              </w:tc>
              <w:tc>
                <w:tcPr>
                  <w:tcW w:w="504" w:type="pct"/>
                  <w:shd w:val="clear" w:color="auto" w:fill="auto"/>
                  <w:vAlign w:val="center"/>
                </w:tcPr>
                <w:p w14:paraId="2A673F0F">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800个/a</w:t>
                  </w:r>
                </w:p>
              </w:tc>
              <w:tc>
                <w:tcPr>
                  <w:tcW w:w="521" w:type="pct"/>
                  <w:shd w:val="clear" w:color="auto" w:fill="auto"/>
                  <w:vAlign w:val="center"/>
                </w:tcPr>
                <w:p w14:paraId="22EBE0CD">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集中收集</w:t>
                  </w:r>
                </w:p>
              </w:tc>
              <w:tc>
                <w:tcPr>
                  <w:tcW w:w="508" w:type="pct"/>
                  <w:shd w:val="clear" w:color="auto" w:fill="auto"/>
                  <w:vAlign w:val="center"/>
                </w:tcPr>
                <w:p w14:paraId="1A03A0EE">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0.04</w:t>
                  </w:r>
                </w:p>
              </w:tc>
              <w:tc>
                <w:tcPr>
                  <w:tcW w:w="810" w:type="pct"/>
                  <w:vAlign w:val="center"/>
                </w:tcPr>
                <w:p w14:paraId="697BF0D8">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eastAsia="zh-CN"/>
                    </w:rPr>
                  </w:pPr>
                  <w:r>
                    <w:rPr>
                      <w:rFonts w:hint="eastAsia" w:ascii="Times New Roman" w:hAnsi="Times New Roman"/>
                      <w:color w:val="auto"/>
                      <w:spacing w:val="-6"/>
                      <w:szCs w:val="21"/>
                      <w:highlight w:val="none"/>
                      <w:lang w:eastAsia="zh-CN"/>
                    </w:rPr>
                    <w:t>厂家回收处理</w:t>
                  </w:r>
                </w:p>
              </w:tc>
            </w:tr>
            <w:tr w14:paraId="798794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434" w:type="pct"/>
                  <w:shd w:val="clear" w:color="auto" w:fill="auto"/>
                  <w:vAlign w:val="center"/>
                </w:tcPr>
                <w:p w14:paraId="458E4544">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煤泥</w:t>
                  </w:r>
                </w:p>
              </w:tc>
              <w:tc>
                <w:tcPr>
                  <w:tcW w:w="569" w:type="pct"/>
                  <w:shd w:val="clear" w:color="auto" w:fill="auto"/>
                  <w:vAlign w:val="center"/>
                </w:tcPr>
                <w:p w14:paraId="353DC6EA">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压滤机</w:t>
                  </w:r>
                </w:p>
              </w:tc>
              <w:tc>
                <w:tcPr>
                  <w:tcW w:w="681" w:type="pct"/>
                  <w:shd w:val="clear" w:color="auto" w:fill="auto"/>
                  <w:vAlign w:val="center"/>
                </w:tcPr>
                <w:p w14:paraId="1C6705B3">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eastAsia="zh-CN"/>
                    </w:rPr>
                  </w:pPr>
                  <w:r>
                    <w:rPr>
                      <w:rFonts w:hint="eastAsia" w:ascii="Times New Roman" w:hAnsi="Times New Roman"/>
                      <w:color w:val="auto"/>
                      <w:szCs w:val="21"/>
                      <w:highlight w:val="none"/>
                      <w:lang w:eastAsia="zh-CN"/>
                    </w:rPr>
                    <w:t>煤泥</w:t>
                  </w:r>
                </w:p>
              </w:tc>
              <w:tc>
                <w:tcPr>
                  <w:tcW w:w="541" w:type="pct"/>
                  <w:shd w:val="clear" w:color="auto" w:fill="auto"/>
                  <w:vAlign w:val="center"/>
                </w:tcPr>
                <w:p w14:paraId="0AAE06D4">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rPr>
                  </w:pPr>
                  <w:r>
                    <w:rPr>
                      <w:rFonts w:hint="eastAsia" w:ascii="Times New Roman" w:hAnsi="Times New Roman"/>
                      <w:color w:val="auto"/>
                      <w:szCs w:val="21"/>
                      <w:highlight w:val="none"/>
                    </w:rPr>
                    <w:t>一般工业固体废物</w:t>
                  </w:r>
                </w:p>
              </w:tc>
              <w:tc>
                <w:tcPr>
                  <w:tcW w:w="429" w:type="pct"/>
                  <w:shd w:val="clear" w:color="auto" w:fill="auto"/>
                  <w:vAlign w:val="center"/>
                </w:tcPr>
                <w:p w14:paraId="43C959BC">
                  <w:pPr>
                    <w:keepNext w:val="0"/>
                    <w:keepLines w:val="0"/>
                    <w:pageBreakBefore w:val="0"/>
                    <w:widowControl w:val="0"/>
                    <w:shd w:val="clear" w:color="auto" w:fill="FFFFFF"/>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eastAsia="zh-CN"/>
                    </w:rPr>
                  </w:pPr>
                  <w:r>
                    <w:rPr>
                      <w:rFonts w:hint="eastAsia" w:ascii="Times New Roman" w:hAnsi="Times New Roman"/>
                      <w:color w:val="auto"/>
                      <w:szCs w:val="21"/>
                      <w:highlight w:val="none"/>
                      <w:lang w:eastAsia="zh-CN"/>
                    </w:rPr>
                    <w:t>类比法</w:t>
                  </w:r>
                </w:p>
              </w:tc>
              <w:tc>
                <w:tcPr>
                  <w:tcW w:w="504" w:type="pct"/>
                  <w:shd w:val="clear" w:color="auto" w:fill="auto"/>
                  <w:vAlign w:val="center"/>
                </w:tcPr>
                <w:p w14:paraId="597015A8">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130804</w:t>
                  </w:r>
                </w:p>
              </w:tc>
              <w:tc>
                <w:tcPr>
                  <w:tcW w:w="521" w:type="pct"/>
                  <w:shd w:val="clear" w:color="auto" w:fill="auto"/>
                  <w:vAlign w:val="center"/>
                </w:tcPr>
                <w:p w14:paraId="37668BF7">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集中收集</w:t>
                  </w:r>
                </w:p>
              </w:tc>
              <w:tc>
                <w:tcPr>
                  <w:tcW w:w="508" w:type="pct"/>
                  <w:shd w:val="clear" w:color="auto" w:fill="auto"/>
                  <w:vAlign w:val="center"/>
                </w:tcPr>
                <w:p w14:paraId="50EE71B9">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130804</w:t>
                  </w:r>
                </w:p>
              </w:tc>
              <w:tc>
                <w:tcPr>
                  <w:tcW w:w="810" w:type="pct"/>
                  <w:vAlign w:val="center"/>
                </w:tcPr>
                <w:p w14:paraId="4FDF50E0">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pacing w:val="-6"/>
                      <w:szCs w:val="21"/>
                      <w:highlight w:val="none"/>
                      <w:lang w:eastAsia="zh-CN"/>
                    </w:rPr>
                  </w:pPr>
                  <w:r>
                    <w:rPr>
                      <w:rFonts w:hint="eastAsia" w:ascii="Times New Roman" w:hAnsi="Times New Roman"/>
                      <w:color w:val="auto"/>
                      <w:spacing w:val="-6"/>
                      <w:szCs w:val="21"/>
                      <w:highlight w:val="none"/>
                      <w:lang w:eastAsia="zh-CN"/>
                    </w:rPr>
                    <w:t>外售综合利用</w:t>
                  </w:r>
                </w:p>
              </w:tc>
            </w:tr>
            <w:tr w14:paraId="38143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740" w:type="dxa"/>
                  <w:shd w:val="clear" w:color="auto" w:fill="auto"/>
                  <w:vAlign w:val="center"/>
                </w:tcPr>
                <w:p w14:paraId="0C99D87E">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color w:val="auto"/>
                      <w:szCs w:val="21"/>
                      <w:highlight w:val="none"/>
                      <w:lang w:val="en-US" w:eastAsia="zh-CN"/>
                    </w:rPr>
                    <w:t>矸石</w:t>
                  </w:r>
                </w:p>
              </w:tc>
              <w:tc>
                <w:tcPr>
                  <w:tcW w:w="971" w:type="dxa"/>
                  <w:shd w:val="clear" w:color="auto" w:fill="auto"/>
                  <w:vAlign w:val="center"/>
                </w:tcPr>
                <w:p w14:paraId="46BF4777">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color w:val="auto"/>
                      <w:szCs w:val="21"/>
                      <w:highlight w:val="none"/>
                      <w:lang w:val="en-US" w:eastAsia="zh-CN"/>
                    </w:rPr>
                    <w:t>生产系统</w:t>
                  </w:r>
                </w:p>
              </w:tc>
              <w:tc>
                <w:tcPr>
                  <w:tcW w:w="1162" w:type="dxa"/>
                  <w:shd w:val="clear" w:color="auto" w:fill="auto"/>
                  <w:vAlign w:val="center"/>
                </w:tcPr>
                <w:p w14:paraId="040860D0">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eastAsia="zh-CN"/>
                    </w:rPr>
                  </w:pPr>
                  <w:r>
                    <w:rPr>
                      <w:rFonts w:hint="eastAsia"/>
                      <w:color w:val="auto"/>
                      <w:szCs w:val="21"/>
                      <w:highlight w:val="none"/>
                      <w:lang w:eastAsia="zh-CN"/>
                    </w:rPr>
                    <w:t>煤矸石</w:t>
                  </w:r>
                </w:p>
              </w:tc>
              <w:tc>
                <w:tcPr>
                  <w:tcW w:w="923" w:type="dxa"/>
                  <w:shd w:val="clear" w:color="auto" w:fill="auto"/>
                  <w:vAlign w:val="center"/>
                </w:tcPr>
                <w:p w14:paraId="6D316829">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rPr>
                  </w:pPr>
                  <w:r>
                    <w:rPr>
                      <w:rFonts w:hint="eastAsia" w:ascii="Times New Roman" w:hAnsi="Times New Roman"/>
                      <w:color w:val="auto"/>
                      <w:szCs w:val="21"/>
                      <w:highlight w:val="none"/>
                    </w:rPr>
                    <w:t>一般工业固体废物</w:t>
                  </w:r>
                </w:p>
              </w:tc>
              <w:tc>
                <w:tcPr>
                  <w:tcW w:w="732" w:type="dxa"/>
                  <w:shd w:val="clear" w:color="auto" w:fill="auto"/>
                  <w:vAlign w:val="center"/>
                </w:tcPr>
                <w:p w14:paraId="2A695ED4">
                  <w:pPr>
                    <w:keepNext w:val="0"/>
                    <w:keepLines w:val="0"/>
                    <w:pageBreakBefore w:val="0"/>
                    <w:widowControl w:val="0"/>
                    <w:shd w:val="clear" w:color="auto" w:fill="FFFFFF"/>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eastAsia="zh-CN"/>
                    </w:rPr>
                  </w:pPr>
                  <w:r>
                    <w:rPr>
                      <w:rFonts w:hint="eastAsia" w:ascii="Times New Roman" w:hAnsi="Times New Roman"/>
                      <w:color w:val="auto"/>
                      <w:szCs w:val="21"/>
                      <w:highlight w:val="none"/>
                      <w:lang w:eastAsia="zh-CN"/>
                    </w:rPr>
                    <w:t>类比法</w:t>
                  </w:r>
                </w:p>
              </w:tc>
              <w:tc>
                <w:tcPr>
                  <w:tcW w:w="860" w:type="dxa"/>
                  <w:shd w:val="clear" w:color="auto" w:fill="auto"/>
                  <w:vAlign w:val="center"/>
                </w:tcPr>
                <w:p w14:paraId="130C1A6E">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color w:val="auto"/>
                      <w:szCs w:val="21"/>
                      <w:highlight w:val="none"/>
                      <w:lang w:val="en-US" w:eastAsia="zh-CN"/>
                    </w:rPr>
                    <w:t>349400</w:t>
                  </w:r>
                </w:p>
              </w:tc>
              <w:tc>
                <w:tcPr>
                  <w:tcW w:w="889" w:type="dxa"/>
                  <w:shd w:val="clear" w:color="auto" w:fill="auto"/>
                  <w:vAlign w:val="center"/>
                </w:tcPr>
                <w:p w14:paraId="3CEF52B4">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集中收集</w:t>
                  </w:r>
                </w:p>
              </w:tc>
              <w:tc>
                <w:tcPr>
                  <w:tcW w:w="868" w:type="dxa"/>
                  <w:shd w:val="clear" w:color="auto" w:fill="auto"/>
                  <w:vAlign w:val="center"/>
                </w:tcPr>
                <w:p w14:paraId="5D8D0AD0">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color w:val="auto"/>
                      <w:szCs w:val="21"/>
                      <w:highlight w:val="none"/>
                      <w:lang w:val="en-US" w:eastAsia="zh-CN"/>
                    </w:rPr>
                    <w:t>349400</w:t>
                  </w:r>
                </w:p>
              </w:tc>
              <w:tc>
                <w:tcPr>
                  <w:tcW w:w="1382" w:type="dxa"/>
                  <w:vAlign w:val="center"/>
                </w:tcPr>
                <w:p w14:paraId="7082D9C7">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pacing w:val="-6"/>
                      <w:szCs w:val="21"/>
                      <w:highlight w:val="none"/>
                      <w:lang w:eastAsia="zh-CN"/>
                    </w:rPr>
                  </w:pPr>
                  <w:r>
                    <w:rPr>
                      <w:rFonts w:hint="eastAsia" w:ascii="Times New Roman" w:hAnsi="Times New Roman"/>
                      <w:color w:val="auto"/>
                      <w:spacing w:val="-6"/>
                      <w:szCs w:val="21"/>
                      <w:highlight w:val="none"/>
                      <w:lang w:eastAsia="zh-CN"/>
                    </w:rPr>
                    <w:t>外售综合利用</w:t>
                  </w:r>
                </w:p>
              </w:tc>
            </w:tr>
            <w:tr w14:paraId="33BDD8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434" w:type="pct"/>
                  <w:shd w:val="clear" w:color="auto" w:fill="auto"/>
                  <w:vAlign w:val="center"/>
                </w:tcPr>
                <w:p w14:paraId="6EDE65CE">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员工生活</w:t>
                  </w:r>
                </w:p>
              </w:tc>
              <w:tc>
                <w:tcPr>
                  <w:tcW w:w="569" w:type="pct"/>
                  <w:shd w:val="clear" w:color="auto" w:fill="auto"/>
                  <w:vAlign w:val="center"/>
                </w:tcPr>
                <w:p w14:paraId="04EEC276">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员工生活</w:t>
                  </w:r>
                </w:p>
              </w:tc>
              <w:tc>
                <w:tcPr>
                  <w:tcW w:w="681" w:type="pct"/>
                  <w:shd w:val="clear" w:color="auto" w:fill="auto"/>
                  <w:vAlign w:val="center"/>
                </w:tcPr>
                <w:p w14:paraId="2C5CD1C9">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eastAsia="zh-CN"/>
                    </w:rPr>
                  </w:pPr>
                  <w:r>
                    <w:rPr>
                      <w:rFonts w:hint="eastAsia" w:ascii="Times New Roman" w:hAnsi="Times New Roman"/>
                      <w:color w:val="auto"/>
                      <w:szCs w:val="21"/>
                      <w:highlight w:val="none"/>
                      <w:lang w:eastAsia="zh-CN"/>
                    </w:rPr>
                    <w:t>生活垃圾</w:t>
                  </w:r>
                </w:p>
              </w:tc>
              <w:tc>
                <w:tcPr>
                  <w:tcW w:w="541" w:type="pct"/>
                  <w:shd w:val="clear" w:color="auto" w:fill="auto"/>
                  <w:vAlign w:val="center"/>
                </w:tcPr>
                <w:p w14:paraId="0DEEE84F">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eastAsia="zh-CN"/>
                    </w:rPr>
                  </w:pPr>
                  <w:r>
                    <w:rPr>
                      <w:rFonts w:hint="eastAsia" w:ascii="Times New Roman" w:hAnsi="Times New Roman"/>
                      <w:color w:val="auto"/>
                      <w:szCs w:val="21"/>
                      <w:highlight w:val="none"/>
                    </w:rPr>
                    <w:t>一般工业固体废物</w:t>
                  </w:r>
                </w:p>
              </w:tc>
              <w:tc>
                <w:tcPr>
                  <w:tcW w:w="429" w:type="pct"/>
                  <w:shd w:val="clear" w:color="auto" w:fill="auto"/>
                  <w:vAlign w:val="center"/>
                </w:tcPr>
                <w:p w14:paraId="6974B913">
                  <w:pPr>
                    <w:keepNext w:val="0"/>
                    <w:keepLines w:val="0"/>
                    <w:pageBreakBefore w:val="0"/>
                    <w:widowControl w:val="0"/>
                    <w:shd w:val="clear" w:color="auto" w:fill="FFFFFF"/>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Cs w:val="21"/>
                      <w:highlight w:val="none"/>
                    </w:rPr>
                    <w:t>系数法</w:t>
                  </w:r>
                </w:p>
              </w:tc>
              <w:tc>
                <w:tcPr>
                  <w:tcW w:w="504" w:type="pct"/>
                  <w:shd w:val="clear" w:color="auto" w:fill="auto"/>
                  <w:vAlign w:val="center"/>
                </w:tcPr>
                <w:p w14:paraId="3A336F2F">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7.39</w:t>
                  </w:r>
                </w:p>
              </w:tc>
              <w:tc>
                <w:tcPr>
                  <w:tcW w:w="521" w:type="pct"/>
                  <w:shd w:val="clear" w:color="auto" w:fill="auto"/>
                  <w:vAlign w:val="center"/>
                </w:tcPr>
                <w:p w14:paraId="37598C78">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pacing w:val="-6"/>
                      <w:szCs w:val="21"/>
                      <w:highlight w:val="none"/>
                      <w:lang w:eastAsia="zh-CN"/>
                    </w:rPr>
                  </w:pPr>
                  <w:r>
                    <w:rPr>
                      <w:rFonts w:hint="eastAsia" w:ascii="Times New Roman" w:hAnsi="Times New Roman"/>
                      <w:color w:val="auto"/>
                      <w:szCs w:val="21"/>
                      <w:highlight w:val="none"/>
                      <w:lang w:val="en-US" w:eastAsia="zh-CN"/>
                    </w:rPr>
                    <w:t>集中收集</w:t>
                  </w:r>
                </w:p>
              </w:tc>
              <w:tc>
                <w:tcPr>
                  <w:tcW w:w="508" w:type="pct"/>
                  <w:shd w:val="clear" w:color="auto" w:fill="auto"/>
                  <w:vAlign w:val="center"/>
                </w:tcPr>
                <w:p w14:paraId="0D959B94">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7.39</w:t>
                  </w:r>
                </w:p>
              </w:tc>
              <w:tc>
                <w:tcPr>
                  <w:tcW w:w="810" w:type="pct"/>
                  <w:vAlign w:val="center"/>
                </w:tcPr>
                <w:p w14:paraId="6BA80411">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pacing w:val="-6"/>
                      <w:szCs w:val="21"/>
                      <w:highlight w:val="none"/>
                      <w:lang w:eastAsia="zh-CN"/>
                    </w:rPr>
                  </w:pPr>
                  <w:r>
                    <w:rPr>
                      <w:rFonts w:hint="eastAsia" w:ascii="Times New Roman" w:hAnsi="Times New Roman"/>
                      <w:color w:val="auto"/>
                      <w:szCs w:val="21"/>
                      <w:highlight w:val="none"/>
                      <w:lang w:eastAsia="zh-CN"/>
                    </w:rPr>
                    <w:t>生活垃圾委托环卫部门定时清运</w:t>
                  </w:r>
                </w:p>
              </w:tc>
            </w:tr>
            <w:tr w14:paraId="0737B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434" w:type="pct"/>
                  <w:shd w:val="clear" w:color="auto" w:fill="auto"/>
                  <w:vAlign w:val="center"/>
                </w:tcPr>
                <w:p w14:paraId="26EC1173">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维修设备</w:t>
                  </w:r>
                </w:p>
              </w:tc>
              <w:tc>
                <w:tcPr>
                  <w:tcW w:w="569" w:type="pct"/>
                  <w:shd w:val="clear" w:color="auto" w:fill="auto"/>
                  <w:vAlign w:val="center"/>
                </w:tcPr>
                <w:p w14:paraId="21C83743">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设备</w:t>
                  </w:r>
                </w:p>
              </w:tc>
              <w:tc>
                <w:tcPr>
                  <w:tcW w:w="681" w:type="pct"/>
                  <w:shd w:val="clear" w:color="auto" w:fill="auto"/>
                  <w:vAlign w:val="center"/>
                </w:tcPr>
                <w:p w14:paraId="72068B8E">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eastAsia="zh-CN"/>
                    </w:rPr>
                  </w:pPr>
                  <w:r>
                    <w:rPr>
                      <w:rFonts w:hint="eastAsia" w:ascii="Times New Roman" w:hAnsi="Times New Roman"/>
                      <w:color w:val="auto"/>
                      <w:szCs w:val="21"/>
                      <w:highlight w:val="none"/>
                      <w:lang w:val="en-US" w:eastAsia="zh-CN"/>
                    </w:rPr>
                    <w:t>废机油</w:t>
                  </w:r>
                </w:p>
              </w:tc>
              <w:tc>
                <w:tcPr>
                  <w:tcW w:w="541" w:type="pct"/>
                  <w:shd w:val="clear" w:color="auto" w:fill="auto"/>
                  <w:vAlign w:val="center"/>
                </w:tcPr>
                <w:p w14:paraId="3BB2A68F">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olor w:val="auto"/>
                      <w:szCs w:val="21"/>
                      <w:highlight w:val="none"/>
                      <w:lang w:eastAsia="zh-CN"/>
                    </w:rPr>
                  </w:pPr>
                  <w:r>
                    <w:rPr>
                      <w:rFonts w:hint="eastAsia" w:ascii="Times New Roman" w:hAnsi="Times New Roman"/>
                      <w:color w:val="auto"/>
                      <w:szCs w:val="21"/>
                      <w:highlight w:val="none"/>
                      <w:lang w:eastAsia="zh-CN"/>
                    </w:rPr>
                    <w:t>危险废物</w:t>
                  </w:r>
                </w:p>
              </w:tc>
              <w:tc>
                <w:tcPr>
                  <w:tcW w:w="429" w:type="pct"/>
                  <w:shd w:val="clear" w:color="auto" w:fill="auto"/>
                  <w:vAlign w:val="center"/>
                </w:tcPr>
                <w:p w14:paraId="1B141101">
                  <w:pPr>
                    <w:keepNext w:val="0"/>
                    <w:keepLines w:val="0"/>
                    <w:pageBreakBefore w:val="0"/>
                    <w:widowControl w:val="0"/>
                    <w:shd w:val="clear" w:color="auto" w:fill="FFFFFF"/>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rPr>
                  </w:pPr>
                  <w:r>
                    <w:rPr>
                      <w:rFonts w:hint="eastAsia" w:ascii="Times New Roman" w:hAnsi="Times New Roman"/>
                      <w:color w:val="auto"/>
                      <w:szCs w:val="21"/>
                      <w:highlight w:val="none"/>
                      <w:lang w:eastAsia="zh-CN"/>
                    </w:rPr>
                    <w:t>类比法</w:t>
                  </w:r>
                </w:p>
              </w:tc>
              <w:tc>
                <w:tcPr>
                  <w:tcW w:w="504" w:type="pct"/>
                  <w:shd w:val="clear" w:color="auto" w:fill="auto"/>
                  <w:vAlign w:val="center"/>
                </w:tcPr>
                <w:p w14:paraId="3DA539BB">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0.2</w:t>
                  </w:r>
                </w:p>
              </w:tc>
              <w:tc>
                <w:tcPr>
                  <w:tcW w:w="521" w:type="pct"/>
                  <w:shd w:val="clear" w:color="auto" w:fill="auto"/>
                  <w:vAlign w:val="center"/>
                </w:tcPr>
                <w:p w14:paraId="4470A4E1">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集中收集</w:t>
                  </w:r>
                </w:p>
              </w:tc>
              <w:tc>
                <w:tcPr>
                  <w:tcW w:w="508" w:type="pct"/>
                  <w:shd w:val="clear" w:color="auto" w:fill="auto"/>
                  <w:vAlign w:val="center"/>
                </w:tcPr>
                <w:p w14:paraId="614124B2">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0.2</w:t>
                  </w:r>
                </w:p>
              </w:tc>
              <w:tc>
                <w:tcPr>
                  <w:tcW w:w="810" w:type="pct"/>
                  <w:vAlign w:val="center"/>
                </w:tcPr>
                <w:p w14:paraId="240A6C01">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eastAsia="zh-CN"/>
                    </w:rPr>
                  </w:pPr>
                  <w:r>
                    <w:rPr>
                      <w:rFonts w:hint="eastAsia" w:ascii="Times New Roman" w:hAnsi="Times New Roman"/>
                      <w:color w:val="auto"/>
                      <w:szCs w:val="21"/>
                      <w:highlight w:val="none"/>
                      <w:lang w:eastAsia="zh-CN"/>
                    </w:rPr>
                    <w:t>暂存至危废间内，由有资质单位处置</w:t>
                  </w:r>
                </w:p>
              </w:tc>
            </w:tr>
          </w:tbl>
          <w:p w14:paraId="3C1560FB">
            <w:pPr>
              <w:adjustRightInd w:val="0"/>
              <w:snapToGrid w:val="0"/>
              <w:spacing w:line="360" w:lineRule="auto"/>
              <w:ind w:firstLine="480" w:firstLineChars="200"/>
              <w:rPr>
                <w:rFonts w:hint="default" w:ascii="Times New Roman" w:hAnsi="Times New Roman" w:eastAsia="宋体"/>
                <w:b w:val="0"/>
                <w:bCs w:val="0"/>
                <w:color w:val="auto"/>
                <w:sz w:val="24"/>
                <w:szCs w:val="24"/>
                <w:highlight w:val="none"/>
                <w:lang w:val="en-US" w:eastAsia="zh-CN"/>
              </w:rPr>
            </w:pPr>
            <w:r>
              <w:rPr>
                <w:rFonts w:hint="eastAsia" w:ascii="Times New Roman" w:hAnsi="Times New Roman" w:eastAsia="宋体"/>
                <w:b w:val="0"/>
                <w:bCs w:val="0"/>
                <w:color w:val="auto"/>
                <w:sz w:val="24"/>
                <w:szCs w:val="24"/>
                <w:highlight w:val="none"/>
                <w:lang w:val="en-US" w:eastAsia="zh-CN"/>
              </w:rPr>
              <w:t>（2）环境管理要求</w:t>
            </w:r>
          </w:p>
          <w:p w14:paraId="0A991736">
            <w:pPr>
              <w:spacing w:line="360" w:lineRule="auto"/>
              <w:ind w:firstLine="480" w:firstLineChars="200"/>
              <w:contextualSpacing/>
              <w:rPr>
                <w:rFonts w:hint="default" w:ascii="Times New Roman" w:hAnsi="Times New Roman" w:cs="Times New Roman"/>
                <w:color w:val="auto"/>
                <w:sz w:val="24"/>
                <w:szCs w:val="22"/>
                <w:highlight w:val="none"/>
              </w:rPr>
            </w:pPr>
            <w:r>
              <w:rPr>
                <w:rFonts w:hint="eastAsia" w:ascii="Times New Roman" w:hAnsi="Times New Roman" w:cs="Times New Roman"/>
                <w:color w:val="auto"/>
                <w:sz w:val="24"/>
                <w:szCs w:val="22"/>
                <w:highlight w:val="none"/>
                <w:lang w:val="en-US" w:eastAsia="zh-CN"/>
              </w:rPr>
              <w:t>1）</w:t>
            </w:r>
            <w:r>
              <w:rPr>
                <w:rFonts w:hint="default" w:ascii="Times New Roman" w:hAnsi="Times New Roman" w:cs="Times New Roman"/>
                <w:color w:val="auto"/>
                <w:sz w:val="24"/>
                <w:szCs w:val="22"/>
                <w:highlight w:val="none"/>
              </w:rPr>
              <w:t>工业固体废物</w:t>
            </w:r>
          </w:p>
          <w:p w14:paraId="7E56ACC3">
            <w:pPr>
              <w:spacing w:line="360" w:lineRule="auto"/>
              <w:ind w:firstLine="480" w:firstLineChars="200"/>
              <w:contextualSpacing/>
              <w:rPr>
                <w:rFonts w:hint="default" w:ascii="Times New Roman" w:hAnsi="Times New Roman" w:cs="Times New Roman"/>
                <w:color w:val="auto"/>
                <w:sz w:val="24"/>
                <w:szCs w:val="22"/>
                <w:highlight w:val="none"/>
              </w:rPr>
            </w:pPr>
            <w:r>
              <w:rPr>
                <w:rFonts w:hint="default" w:ascii="Times New Roman" w:hAnsi="Times New Roman" w:eastAsia="宋体" w:cs="Times New Roman"/>
                <w:color w:val="auto"/>
                <w:sz w:val="24"/>
                <w:szCs w:val="22"/>
                <w:highlight w:val="none"/>
              </w:rPr>
              <w:fldChar w:fldCharType="begin"/>
            </w:r>
            <w:r>
              <w:rPr>
                <w:rFonts w:hint="default" w:ascii="Times New Roman" w:hAnsi="Times New Roman" w:eastAsia="宋体" w:cs="Times New Roman"/>
                <w:color w:val="auto"/>
                <w:sz w:val="24"/>
                <w:szCs w:val="22"/>
                <w:highlight w:val="none"/>
              </w:rPr>
              <w:instrText xml:space="preserve"> = 1 \* GB3 </w:instrText>
            </w:r>
            <w:r>
              <w:rPr>
                <w:rFonts w:hint="default" w:ascii="Times New Roman" w:hAnsi="Times New Roman" w:eastAsia="宋体" w:cs="Times New Roman"/>
                <w:color w:val="auto"/>
                <w:sz w:val="24"/>
                <w:szCs w:val="22"/>
                <w:highlight w:val="none"/>
              </w:rPr>
              <w:fldChar w:fldCharType="separate"/>
            </w:r>
            <w:r>
              <w:rPr>
                <w:rFonts w:hint="default" w:ascii="Times New Roman" w:hAnsi="Times New Roman" w:eastAsia="宋体" w:cs="Times New Roman"/>
                <w:color w:val="auto"/>
                <w:sz w:val="24"/>
                <w:szCs w:val="22"/>
                <w:highlight w:val="none"/>
              </w:rPr>
              <w:t>①</w:t>
            </w:r>
            <w:r>
              <w:rPr>
                <w:rFonts w:hint="default" w:ascii="Times New Roman" w:hAnsi="Times New Roman" w:eastAsia="宋体" w:cs="Times New Roman"/>
                <w:color w:val="auto"/>
                <w:sz w:val="24"/>
                <w:szCs w:val="22"/>
                <w:highlight w:val="none"/>
              </w:rPr>
              <w:fldChar w:fldCharType="end"/>
            </w:r>
            <w:r>
              <w:rPr>
                <w:rFonts w:hint="default" w:ascii="Times New Roman" w:hAnsi="Times New Roman" w:cs="Times New Roman"/>
                <w:color w:val="auto"/>
                <w:sz w:val="24"/>
                <w:szCs w:val="22"/>
                <w:highlight w:val="none"/>
              </w:rPr>
              <w:t>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5EBBD5E6">
            <w:pPr>
              <w:spacing w:line="360" w:lineRule="auto"/>
              <w:ind w:firstLine="480" w:firstLineChars="200"/>
              <w:contextualSpacing/>
              <w:rPr>
                <w:rFonts w:hint="default" w:ascii="Times New Roman" w:hAnsi="Times New Roman" w:cs="Times New Roman"/>
                <w:color w:val="auto"/>
                <w:sz w:val="24"/>
                <w:szCs w:val="22"/>
                <w:highlight w:val="none"/>
              </w:rPr>
            </w:pPr>
            <w:r>
              <w:rPr>
                <w:rFonts w:hint="default" w:ascii="Times New Roman" w:hAnsi="Times New Roman" w:eastAsia="宋体" w:cs="Times New Roman"/>
                <w:color w:val="auto"/>
                <w:sz w:val="24"/>
                <w:szCs w:val="22"/>
                <w:highlight w:val="none"/>
              </w:rPr>
              <w:fldChar w:fldCharType="begin"/>
            </w:r>
            <w:r>
              <w:rPr>
                <w:rFonts w:hint="default" w:ascii="Times New Roman" w:hAnsi="Times New Roman" w:eastAsia="宋体" w:cs="Times New Roman"/>
                <w:color w:val="auto"/>
                <w:sz w:val="24"/>
                <w:szCs w:val="22"/>
                <w:highlight w:val="none"/>
              </w:rPr>
              <w:instrText xml:space="preserve"> = 2 \* GB3 </w:instrText>
            </w:r>
            <w:r>
              <w:rPr>
                <w:rFonts w:hint="default" w:ascii="Times New Roman" w:hAnsi="Times New Roman" w:eastAsia="宋体" w:cs="Times New Roman"/>
                <w:color w:val="auto"/>
                <w:sz w:val="24"/>
                <w:szCs w:val="22"/>
                <w:highlight w:val="none"/>
              </w:rPr>
              <w:fldChar w:fldCharType="separate"/>
            </w:r>
            <w:r>
              <w:rPr>
                <w:rFonts w:hint="default" w:ascii="Times New Roman" w:hAnsi="Times New Roman" w:eastAsia="宋体" w:cs="Times New Roman"/>
                <w:color w:val="auto"/>
                <w:sz w:val="24"/>
                <w:szCs w:val="22"/>
                <w:highlight w:val="none"/>
              </w:rPr>
              <w:t>②</w:t>
            </w:r>
            <w:r>
              <w:rPr>
                <w:rFonts w:hint="default" w:ascii="Times New Roman" w:hAnsi="Times New Roman" w:eastAsia="宋体" w:cs="Times New Roman"/>
                <w:color w:val="auto"/>
                <w:sz w:val="24"/>
                <w:szCs w:val="22"/>
                <w:highlight w:val="none"/>
              </w:rPr>
              <w:fldChar w:fldCharType="end"/>
            </w:r>
            <w:r>
              <w:rPr>
                <w:rFonts w:hint="default" w:ascii="Times New Roman" w:hAnsi="Times New Roman" w:cs="Times New Roman"/>
                <w:color w:val="auto"/>
                <w:sz w:val="24"/>
                <w:szCs w:val="22"/>
                <w:highlight w:val="none"/>
              </w:rPr>
              <w:t>禁止向生活垃圾收集设施中投放工业固体废物。</w:t>
            </w:r>
          </w:p>
          <w:p w14:paraId="2452AB60">
            <w:pPr>
              <w:autoSpaceDE w:val="0"/>
              <w:autoSpaceDN w:val="0"/>
              <w:spacing w:line="360" w:lineRule="auto"/>
              <w:ind w:firstLine="480" w:firstLineChars="200"/>
              <w:contextualSpacing/>
              <w:rPr>
                <w:rFonts w:hint="default" w:ascii="Times New Roman" w:hAnsi="Times New Roman" w:cs="Times New Roman"/>
                <w:bCs/>
                <w:color w:val="auto"/>
                <w:sz w:val="24"/>
                <w:highlight w:val="none"/>
              </w:rPr>
            </w:pPr>
            <w:r>
              <w:rPr>
                <w:rFonts w:hint="default" w:ascii="Times New Roman" w:hAnsi="Times New Roman" w:eastAsia="宋体" w:cs="Times New Roman"/>
                <w:color w:val="auto"/>
                <w:sz w:val="24"/>
                <w:szCs w:val="22"/>
                <w:highlight w:val="none"/>
              </w:rPr>
              <w:fldChar w:fldCharType="begin"/>
            </w:r>
            <w:r>
              <w:rPr>
                <w:rFonts w:hint="default" w:ascii="Times New Roman" w:hAnsi="Times New Roman" w:eastAsia="宋体" w:cs="Times New Roman"/>
                <w:color w:val="auto"/>
                <w:sz w:val="24"/>
                <w:szCs w:val="22"/>
                <w:highlight w:val="none"/>
              </w:rPr>
              <w:instrText xml:space="preserve"> = 3 \* GB3 </w:instrText>
            </w:r>
            <w:r>
              <w:rPr>
                <w:rFonts w:hint="default" w:ascii="Times New Roman" w:hAnsi="Times New Roman" w:eastAsia="宋体" w:cs="Times New Roman"/>
                <w:color w:val="auto"/>
                <w:sz w:val="24"/>
                <w:szCs w:val="22"/>
                <w:highlight w:val="none"/>
              </w:rPr>
              <w:fldChar w:fldCharType="separate"/>
            </w:r>
            <w:r>
              <w:rPr>
                <w:rFonts w:hint="default" w:ascii="Times New Roman" w:hAnsi="Times New Roman" w:eastAsia="宋体" w:cs="Times New Roman"/>
                <w:color w:val="auto"/>
                <w:sz w:val="24"/>
                <w:szCs w:val="22"/>
                <w:highlight w:val="none"/>
              </w:rPr>
              <w:t>③</w:t>
            </w:r>
            <w:r>
              <w:rPr>
                <w:rFonts w:hint="default" w:ascii="Times New Roman" w:hAnsi="Times New Roman" w:eastAsia="宋体" w:cs="Times New Roman"/>
                <w:color w:val="auto"/>
                <w:sz w:val="24"/>
                <w:szCs w:val="22"/>
                <w:highlight w:val="none"/>
              </w:rPr>
              <w:fldChar w:fldCharType="end"/>
            </w:r>
            <w:r>
              <w:rPr>
                <w:rFonts w:hint="default" w:ascii="Times New Roman" w:hAnsi="Times New Roman" w:cs="Times New Roman"/>
                <w:color w:val="auto"/>
                <w:sz w:val="24"/>
                <w:szCs w:val="22"/>
                <w:highlight w:val="none"/>
              </w:rPr>
              <w:t>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r>
              <w:rPr>
                <w:rFonts w:hint="default" w:ascii="Times New Roman" w:hAnsi="Times New Roman" w:cs="Times New Roman"/>
                <w:bCs/>
                <w:color w:val="auto"/>
                <w:sz w:val="24"/>
                <w:highlight w:val="none"/>
              </w:rPr>
              <w:t>。</w:t>
            </w:r>
          </w:p>
          <w:p w14:paraId="524A96D3">
            <w:pPr>
              <w:autoSpaceDE w:val="0"/>
              <w:autoSpaceDN w:val="0"/>
              <w:spacing w:line="360" w:lineRule="auto"/>
              <w:ind w:firstLine="480" w:firstLineChars="200"/>
              <w:contextualSpacing/>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2）生活垃圾</w:t>
            </w:r>
          </w:p>
          <w:p w14:paraId="47756699">
            <w:pPr>
              <w:spacing w:line="360" w:lineRule="auto"/>
              <w:ind w:firstLine="480" w:firstLineChars="200"/>
              <w:contextualSpacing/>
              <w:rPr>
                <w:rFonts w:hint="default" w:ascii="Times New Roman" w:hAnsi="Times New Roman" w:cs="Times New Roman"/>
                <w:color w:val="auto"/>
                <w:sz w:val="24"/>
                <w:szCs w:val="22"/>
                <w:highlight w:val="none"/>
              </w:rPr>
            </w:pPr>
            <w:r>
              <w:rPr>
                <w:rFonts w:hint="default" w:ascii="Times New Roman" w:hAnsi="Times New Roman" w:eastAsia="宋体" w:cs="Times New Roman"/>
                <w:color w:val="auto"/>
                <w:sz w:val="24"/>
                <w:szCs w:val="22"/>
                <w:highlight w:val="none"/>
              </w:rPr>
              <w:fldChar w:fldCharType="begin"/>
            </w:r>
            <w:r>
              <w:rPr>
                <w:rFonts w:hint="default" w:ascii="Times New Roman" w:hAnsi="Times New Roman" w:eastAsia="宋体" w:cs="Times New Roman"/>
                <w:color w:val="auto"/>
                <w:sz w:val="24"/>
                <w:szCs w:val="22"/>
                <w:highlight w:val="none"/>
              </w:rPr>
              <w:instrText xml:space="preserve"> = 1 \* GB3 </w:instrText>
            </w:r>
            <w:r>
              <w:rPr>
                <w:rFonts w:hint="default" w:ascii="Times New Roman" w:hAnsi="Times New Roman" w:eastAsia="宋体" w:cs="Times New Roman"/>
                <w:color w:val="auto"/>
                <w:sz w:val="24"/>
                <w:szCs w:val="22"/>
                <w:highlight w:val="none"/>
              </w:rPr>
              <w:fldChar w:fldCharType="separate"/>
            </w:r>
            <w:r>
              <w:rPr>
                <w:rFonts w:hint="default" w:ascii="Times New Roman" w:hAnsi="Times New Roman" w:eastAsia="宋体" w:cs="Times New Roman"/>
                <w:color w:val="auto"/>
                <w:sz w:val="24"/>
                <w:szCs w:val="22"/>
                <w:highlight w:val="none"/>
              </w:rPr>
              <w:t>①</w:t>
            </w:r>
            <w:r>
              <w:rPr>
                <w:rFonts w:hint="default" w:ascii="Times New Roman" w:hAnsi="Times New Roman" w:eastAsia="宋体" w:cs="Times New Roman"/>
                <w:color w:val="auto"/>
                <w:sz w:val="24"/>
                <w:szCs w:val="22"/>
                <w:highlight w:val="none"/>
              </w:rPr>
              <w:fldChar w:fldCharType="end"/>
            </w:r>
            <w:r>
              <w:rPr>
                <w:rFonts w:hint="default" w:ascii="Times New Roman" w:hAnsi="Times New Roman" w:cs="Times New Roman"/>
                <w:color w:val="auto"/>
                <w:sz w:val="24"/>
                <w:szCs w:val="22"/>
                <w:highlight w:val="none"/>
              </w:rPr>
              <w:t>任何单位和个人都应当依法在指定的地点分类投放生活垃圾。禁止随意倾倒、抛撒、堆放或者焚烧生活垃圾。</w:t>
            </w:r>
          </w:p>
          <w:p w14:paraId="4B7731AD">
            <w:pPr>
              <w:autoSpaceDE w:val="0"/>
              <w:autoSpaceDN w:val="0"/>
              <w:spacing w:line="360" w:lineRule="auto"/>
              <w:ind w:firstLine="480" w:firstLineChars="200"/>
              <w:contextualSpacing/>
              <w:rPr>
                <w:rFonts w:hint="default" w:ascii="Times New Roman" w:hAnsi="Times New Roman" w:cs="Times New Roman"/>
                <w:bCs/>
                <w:color w:val="auto"/>
                <w:sz w:val="24"/>
                <w:highlight w:val="none"/>
              </w:rPr>
            </w:pPr>
            <w:r>
              <w:rPr>
                <w:rFonts w:hint="default" w:ascii="Times New Roman" w:hAnsi="Times New Roman" w:eastAsia="宋体" w:cs="Times New Roman"/>
                <w:color w:val="auto"/>
                <w:sz w:val="24"/>
                <w:szCs w:val="22"/>
                <w:highlight w:val="none"/>
              </w:rPr>
              <w:fldChar w:fldCharType="begin"/>
            </w:r>
            <w:r>
              <w:rPr>
                <w:rFonts w:hint="default" w:ascii="Times New Roman" w:hAnsi="Times New Roman" w:eastAsia="宋体" w:cs="Times New Roman"/>
                <w:color w:val="auto"/>
                <w:sz w:val="24"/>
                <w:szCs w:val="22"/>
                <w:highlight w:val="none"/>
              </w:rPr>
              <w:instrText xml:space="preserve"> = 2 \* GB3 </w:instrText>
            </w:r>
            <w:r>
              <w:rPr>
                <w:rFonts w:hint="default" w:ascii="Times New Roman" w:hAnsi="Times New Roman" w:eastAsia="宋体" w:cs="Times New Roman"/>
                <w:color w:val="auto"/>
                <w:sz w:val="24"/>
                <w:szCs w:val="22"/>
                <w:highlight w:val="none"/>
              </w:rPr>
              <w:fldChar w:fldCharType="separate"/>
            </w:r>
            <w:r>
              <w:rPr>
                <w:rFonts w:hint="default" w:ascii="Times New Roman" w:hAnsi="Times New Roman" w:eastAsia="宋体" w:cs="Times New Roman"/>
                <w:color w:val="auto"/>
                <w:sz w:val="24"/>
                <w:szCs w:val="22"/>
                <w:highlight w:val="none"/>
              </w:rPr>
              <w:t>②</w:t>
            </w:r>
            <w:r>
              <w:rPr>
                <w:rFonts w:hint="default" w:ascii="Times New Roman" w:hAnsi="Times New Roman" w:eastAsia="宋体" w:cs="Times New Roman"/>
                <w:color w:val="auto"/>
                <w:sz w:val="24"/>
                <w:szCs w:val="22"/>
                <w:highlight w:val="none"/>
              </w:rPr>
              <w:fldChar w:fldCharType="end"/>
            </w:r>
            <w:r>
              <w:rPr>
                <w:rFonts w:hint="default" w:ascii="Times New Roman" w:hAnsi="Times New Roman" w:cs="Times New Roman"/>
                <w:color w:val="auto"/>
                <w:sz w:val="24"/>
                <w:szCs w:val="22"/>
                <w:highlight w:val="none"/>
              </w:rPr>
              <w:t>已经分类投放的生活垃圾，应当按照规定分类收集、分类运输、分类处理。</w:t>
            </w:r>
          </w:p>
          <w:p w14:paraId="655A6440">
            <w:pPr>
              <w:spacing w:line="360" w:lineRule="auto"/>
              <w:ind w:firstLine="480" w:firstLineChars="200"/>
              <w:contextualSpacing/>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综上所述，本项目产生的固体废物经过妥善处理后，处置率达到100%不会影响周边环境。</w:t>
            </w:r>
          </w:p>
          <w:p w14:paraId="55C5D80C">
            <w:pPr>
              <w:spacing w:line="360" w:lineRule="auto"/>
              <w:ind w:firstLine="480" w:firstLineChars="200"/>
              <w:contextualSpacing/>
              <w:rPr>
                <w:rFonts w:hint="eastAsia" w:ascii="Times New Roman" w:hAnsi="Times New Roman" w:eastAsia="宋体" w:cs="Times New Roman"/>
                <w:color w:val="auto"/>
                <w:sz w:val="24"/>
                <w:szCs w:val="22"/>
                <w:highlight w:val="none"/>
                <w:lang w:val="en-US" w:eastAsia="zh-CN"/>
              </w:rPr>
            </w:pPr>
            <w:r>
              <w:rPr>
                <w:rFonts w:hint="default" w:ascii="Times New Roman" w:hAnsi="Times New Roman" w:cs="Times New Roman"/>
                <w:color w:val="auto"/>
                <w:sz w:val="24"/>
                <w:szCs w:val="22"/>
                <w:highlight w:val="none"/>
              </w:rPr>
              <w:t>3）危险废物</w:t>
            </w:r>
            <w:r>
              <w:rPr>
                <w:rFonts w:hint="eastAsia" w:ascii="Times New Roman" w:hAnsi="Times New Roman" w:cs="Times New Roman"/>
                <w:color w:val="auto"/>
                <w:sz w:val="24"/>
                <w:szCs w:val="22"/>
                <w:highlight w:val="none"/>
                <w:lang w:val="en-US" w:eastAsia="zh-CN"/>
              </w:rPr>
              <w:t xml:space="preserve"> </w:t>
            </w:r>
          </w:p>
          <w:p w14:paraId="3162E2BE">
            <w:pPr>
              <w:spacing w:line="360" w:lineRule="auto"/>
              <w:ind w:firstLine="480" w:firstLineChars="200"/>
              <w:rPr>
                <w:rFonts w:hint="eastAsia" w:ascii="Times New Roman" w:hAnsi="Times New Roman" w:eastAsia="宋体" w:cs="Times New Roman"/>
                <w:color w:val="auto"/>
                <w:sz w:val="24"/>
                <w:szCs w:val="22"/>
                <w:highlight w:val="none"/>
                <w:lang w:eastAsia="zh-CN"/>
              </w:rPr>
            </w:pPr>
            <w:r>
              <w:rPr>
                <w:rFonts w:hint="default" w:ascii="Times New Roman" w:hAnsi="Times New Roman" w:eastAsia="宋体" w:cs="Times New Roman"/>
                <w:color w:val="auto"/>
                <w:sz w:val="24"/>
                <w:szCs w:val="22"/>
                <w:highlight w:val="none"/>
              </w:rPr>
              <w:t>本项目</w:t>
            </w:r>
            <w:r>
              <w:rPr>
                <w:rFonts w:hint="eastAsia" w:cs="Times New Roman"/>
                <w:color w:val="auto"/>
                <w:sz w:val="24"/>
                <w:szCs w:val="22"/>
                <w:highlight w:val="none"/>
                <w:lang w:eastAsia="zh-CN"/>
              </w:rPr>
              <w:t>建设完成</w:t>
            </w:r>
            <w:r>
              <w:rPr>
                <w:rFonts w:hint="eastAsia" w:ascii="Times New Roman" w:hAnsi="Times New Roman" w:eastAsia="宋体" w:cs="Times New Roman"/>
                <w:color w:val="auto"/>
                <w:sz w:val="24"/>
                <w:szCs w:val="22"/>
                <w:highlight w:val="none"/>
                <w:lang w:eastAsia="zh-CN"/>
              </w:rPr>
              <w:t>后，</w:t>
            </w:r>
            <w:r>
              <w:rPr>
                <w:rFonts w:hint="default" w:ascii="Times New Roman" w:hAnsi="Times New Roman" w:eastAsia="宋体" w:cs="Times New Roman"/>
                <w:color w:val="auto"/>
                <w:sz w:val="24"/>
                <w:szCs w:val="22"/>
                <w:highlight w:val="none"/>
              </w:rPr>
              <w:t>危险废物暂存于厂区</w:t>
            </w:r>
            <w:r>
              <w:rPr>
                <w:rFonts w:hint="eastAsia" w:ascii="Times New Roman" w:hAnsi="Times New Roman" w:eastAsia="宋体" w:cs="Times New Roman"/>
                <w:color w:val="auto"/>
                <w:sz w:val="24"/>
                <w:szCs w:val="22"/>
                <w:highlight w:val="none"/>
                <w:lang w:eastAsia="zh-CN"/>
              </w:rPr>
              <w:t>东</w:t>
            </w:r>
            <w:r>
              <w:rPr>
                <w:rFonts w:hint="default" w:ascii="Times New Roman" w:hAnsi="Times New Roman" w:eastAsia="宋体" w:cs="Times New Roman"/>
                <w:color w:val="auto"/>
                <w:sz w:val="24"/>
                <w:szCs w:val="22"/>
                <w:highlight w:val="none"/>
              </w:rPr>
              <w:t>侧</w:t>
            </w:r>
            <w:r>
              <w:rPr>
                <w:rFonts w:hint="eastAsia" w:ascii="Times New Roman" w:hAnsi="Times New Roman" w:eastAsia="宋体" w:cs="Times New Roman"/>
                <w:color w:val="auto"/>
                <w:sz w:val="24"/>
                <w:szCs w:val="22"/>
                <w:highlight w:val="none"/>
                <w:lang w:eastAsia="zh-CN"/>
              </w:rPr>
              <w:t>的</w:t>
            </w:r>
            <w:r>
              <w:rPr>
                <w:rFonts w:hint="eastAsia" w:ascii="Times New Roman" w:hAnsi="Times New Roman" w:eastAsia="宋体" w:cs="Times New Roman"/>
                <w:color w:val="auto"/>
                <w:sz w:val="24"/>
                <w:szCs w:val="22"/>
                <w:highlight w:val="none"/>
                <w:lang w:val="en-US" w:eastAsia="zh-CN"/>
              </w:rPr>
              <w:t>3</w:t>
            </w:r>
            <w:r>
              <w:rPr>
                <w:rFonts w:hint="default" w:ascii="Times New Roman" w:hAnsi="Times New Roman" w:eastAsia="宋体" w:cs="Times New Roman"/>
                <w:color w:val="auto"/>
                <w:sz w:val="24"/>
                <w:szCs w:val="22"/>
                <w:highlight w:val="none"/>
              </w:rPr>
              <w:t>m</w:t>
            </w:r>
            <w:r>
              <w:rPr>
                <w:rFonts w:hint="default" w:ascii="Times New Roman" w:hAnsi="Times New Roman" w:eastAsia="宋体" w:cs="Times New Roman"/>
                <w:color w:val="auto"/>
                <w:sz w:val="24"/>
                <w:szCs w:val="22"/>
                <w:highlight w:val="none"/>
                <w:vertAlign w:val="superscript"/>
              </w:rPr>
              <w:t>2</w:t>
            </w:r>
            <w:r>
              <w:rPr>
                <w:rFonts w:hint="eastAsia" w:ascii="Times New Roman" w:hAnsi="Times New Roman" w:eastAsia="宋体" w:cs="Times New Roman"/>
                <w:color w:val="auto"/>
                <w:sz w:val="24"/>
                <w:szCs w:val="22"/>
                <w:highlight w:val="none"/>
                <w:lang w:eastAsia="zh-CN"/>
              </w:rPr>
              <w:t>的危废暂存间内，项目</w:t>
            </w:r>
            <w:r>
              <w:rPr>
                <w:rFonts w:hint="default" w:ascii="Times New Roman" w:hAnsi="Times New Roman" w:eastAsia="宋体" w:cs="Times New Roman"/>
                <w:color w:val="auto"/>
                <w:sz w:val="24"/>
                <w:szCs w:val="22"/>
                <w:highlight w:val="none"/>
              </w:rPr>
              <w:t>危险废物产生量较少</w:t>
            </w:r>
            <w:r>
              <w:rPr>
                <w:rFonts w:hint="eastAsia" w:ascii="Times New Roman" w:hAnsi="Times New Roman" w:eastAsia="宋体" w:cs="Times New Roman"/>
                <w:color w:val="auto"/>
                <w:sz w:val="24"/>
                <w:szCs w:val="22"/>
                <w:highlight w:val="none"/>
                <w:lang w:eastAsia="zh-CN"/>
              </w:rPr>
              <w:t>，危险废物贮存基本情况见下表</w:t>
            </w:r>
            <w:r>
              <w:rPr>
                <w:rFonts w:hint="eastAsia" w:ascii="Times New Roman" w:hAnsi="Times New Roman" w:eastAsia="宋体" w:cs="Times New Roman"/>
                <w:color w:val="auto"/>
                <w:sz w:val="24"/>
                <w:szCs w:val="22"/>
                <w:highlight w:val="none"/>
                <w:lang w:val="en-US" w:eastAsia="zh-CN"/>
              </w:rPr>
              <w:t>,</w:t>
            </w:r>
            <w:r>
              <w:rPr>
                <w:rFonts w:hint="eastAsia" w:ascii="Times New Roman" w:hAnsi="Times New Roman" w:eastAsia="宋体" w:cs="Times New Roman"/>
                <w:color w:val="auto"/>
                <w:sz w:val="24"/>
                <w:szCs w:val="22"/>
                <w:highlight w:val="none"/>
                <w:lang w:eastAsia="zh-CN"/>
              </w:rPr>
              <w:t>。</w:t>
            </w:r>
          </w:p>
          <w:p w14:paraId="178345B7">
            <w:pPr>
              <w:pStyle w:val="80"/>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表4-1</w:t>
            </w:r>
            <w:r>
              <w:rPr>
                <w:rFonts w:hint="eastAsia" w:eastAsia="宋体" w:cs="Times New Roman"/>
                <w:b/>
                <w:color w:val="auto"/>
                <w:kern w:val="2"/>
                <w:sz w:val="21"/>
                <w:szCs w:val="21"/>
                <w:highlight w:val="none"/>
                <w:lang w:val="en-US" w:eastAsia="zh-CN" w:bidi="ar-SA"/>
              </w:rPr>
              <w:t>0</w:t>
            </w:r>
            <w:r>
              <w:rPr>
                <w:rFonts w:hint="default" w:ascii="Times New Roman" w:hAnsi="Times New Roman" w:eastAsia="宋体" w:cs="Times New Roman"/>
                <w:b/>
                <w:color w:val="auto"/>
                <w:kern w:val="2"/>
                <w:sz w:val="21"/>
                <w:szCs w:val="21"/>
                <w:highlight w:val="none"/>
                <w:lang w:val="en-US" w:eastAsia="zh-CN" w:bidi="ar-SA"/>
              </w:rPr>
              <w:t xml:space="preserve"> 本项目危险废物贮存场所（设施）基本情况</w:t>
            </w:r>
          </w:p>
          <w:tbl>
            <w:tblPr>
              <w:tblStyle w:val="31"/>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8"/>
              <w:gridCol w:w="1005"/>
              <w:gridCol w:w="813"/>
              <w:gridCol w:w="844"/>
              <w:gridCol w:w="1296"/>
              <w:gridCol w:w="611"/>
              <w:gridCol w:w="678"/>
              <w:gridCol w:w="881"/>
              <w:gridCol w:w="736"/>
              <w:gridCol w:w="852"/>
            </w:tblGrid>
            <w:tr w14:paraId="3531B3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7" w:type="pct"/>
                  <w:tcBorders>
                    <w:tl2br w:val="nil"/>
                    <w:tr2bl w:val="nil"/>
                  </w:tcBorders>
                  <w:vAlign w:val="center"/>
                </w:tcPr>
                <w:p w14:paraId="2E934CDB">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序号</w:t>
                  </w:r>
                </w:p>
              </w:tc>
              <w:tc>
                <w:tcPr>
                  <w:tcW w:w="612" w:type="pct"/>
                  <w:tcBorders>
                    <w:tl2br w:val="nil"/>
                    <w:tr2bl w:val="nil"/>
                  </w:tcBorders>
                  <w:vAlign w:val="center"/>
                </w:tcPr>
                <w:p w14:paraId="7204735E">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贮存场所（设施）名称</w:t>
                  </w:r>
                </w:p>
              </w:tc>
              <w:tc>
                <w:tcPr>
                  <w:tcW w:w="495" w:type="pct"/>
                  <w:tcBorders>
                    <w:tl2br w:val="nil"/>
                    <w:tr2bl w:val="nil"/>
                  </w:tcBorders>
                  <w:vAlign w:val="center"/>
                </w:tcPr>
                <w:p w14:paraId="5B1A830C">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危险废物名称</w:t>
                  </w:r>
                </w:p>
              </w:tc>
              <w:tc>
                <w:tcPr>
                  <w:tcW w:w="514" w:type="pct"/>
                  <w:tcBorders>
                    <w:tl2br w:val="nil"/>
                    <w:tr2bl w:val="nil"/>
                  </w:tcBorders>
                  <w:vAlign w:val="center"/>
                </w:tcPr>
                <w:p w14:paraId="1735F6D5">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危险废物类别</w:t>
                  </w:r>
                </w:p>
              </w:tc>
              <w:tc>
                <w:tcPr>
                  <w:tcW w:w="789" w:type="pct"/>
                  <w:tcBorders>
                    <w:tl2br w:val="nil"/>
                    <w:tr2bl w:val="nil"/>
                  </w:tcBorders>
                  <w:vAlign w:val="center"/>
                </w:tcPr>
                <w:p w14:paraId="2AEC73A9">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危险废物代码</w:t>
                  </w:r>
                </w:p>
              </w:tc>
              <w:tc>
                <w:tcPr>
                  <w:tcW w:w="372" w:type="pct"/>
                  <w:tcBorders>
                    <w:tl2br w:val="nil"/>
                    <w:tr2bl w:val="nil"/>
                  </w:tcBorders>
                  <w:vAlign w:val="center"/>
                </w:tcPr>
                <w:p w14:paraId="1852FD54">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位置</w:t>
                  </w:r>
                </w:p>
              </w:tc>
              <w:tc>
                <w:tcPr>
                  <w:tcW w:w="413" w:type="pct"/>
                  <w:tcBorders>
                    <w:tl2br w:val="nil"/>
                    <w:tr2bl w:val="nil"/>
                  </w:tcBorders>
                  <w:vAlign w:val="center"/>
                </w:tcPr>
                <w:p w14:paraId="4B3E28B9">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占地面积</w:t>
                  </w:r>
                </w:p>
              </w:tc>
              <w:tc>
                <w:tcPr>
                  <w:tcW w:w="536" w:type="pct"/>
                  <w:tcBorders>
                    <w:tl2br w:val="nil"/>
                    <w:tr2bl w:val="nil"/>
                  </w:tcBorders>
                  <w:vAlign w:val="center"/>
                </w:tcPr>
                <w:p w14:paraId="2E3AC0E6">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贮存</w:t>
                  </w:r>
                </w:p>
                <w:p w14:paraId="4B3F1464">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方式</w:t>
                  </w:r>
                </w:p>
              </w:tc>
              <w:tc>
                <w:tcPr>
                  <w:tcW w:w="448" w:type="pct"/>
                  <w:tcBorders>
                    <w:tl2br w:val="nil"/>
                    <w:tr2bl w:val="nil"/>
                  </w:tcBorders>
                  <w:vAlign w:val="center"/>
                </w:tcPr>
                <w:p w14:paraId="61DD4F74">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贮存</w:t>
                  </w:r>
                </w:p>
                <w:p w14:paraId="30C89043">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能力</w:t>
                  </w:r>
                </w:p>
              </w:tc>
              <w:tc>
                <w:tcPr>
                  <w:tcW w:w="518" w:type="pct"/>
                  <w:tcBorders>
                    <w:tl2br w:val="nil"/>
                    <w:tr2bl w:val="nil"/>
                  </w:tcBorders>
                  <w:vAlign w:val="center"/>
                </w:tcPr>
                <w:p w14:paraId="74043011">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贮存</w:t>
                  </w:r>
                </w:p>
                <w:p w14:paraId="29399A3E">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周期</w:t>
                  </w:r>
                </w:p>
              </w:tc>
            </w:tr>
            <w:tr w14:paraId="4D043F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7" w:type="pct"/>
                  <w:tcBorders>
                    <w:tl2br w:val="nil"/>
                    <w:tr2bl w:val="nil"/>
                  </w:tcBorders>
                  <w:vAlign w:val="center"/>
                </w:tcPr>
                <w:p w14:paraId="01130CD1">
                  <w:pPr>
                    <w:topLinePunct/>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612" w:type="pct"/>
                  <w:tcBorders>
                    <w:tl2br w:val="nil"/>
                    <w:tr2bl w:val="nil"/>
                  </w:tcBorders>
                  <w:vAlign w:val="center"/>
                </w:tcPr>
                <w:p w14:paraId="286F7E2A">
                  <w:pPr>
                    <w:topLinePunct/>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危险废物暂存间</w:t>
                  </w:r>
                </w:p>
              </w:tc>
              <w:tc>
                <w:tcPr>
                  <w:tcW w:w="495" w:type="pct"/>
                  <w:tcBorders>
                    <w:tl2br w:val="nil"/>
                    <w:tr2bl w:val="nil"/>
                  </w:tcBorders>
                  <w:vAlign w:val="center"/>
                </w:tcPr>
                <w:p w14:paraId="1EAC37BB">
                  <w:pPr>
                    <w:topLinePunct/>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废机油</w:t>
                  </w:r>
                </w:p>
              </w:tc>
              <w:tc>
                <w:tcPr>
                  <w:tcW w:w="514" w:type="pct"/>
                  <w:tcBorders>
                    <w:tl2br w:val="nil"/>
                    <w:tr2bl w:val="nil"/>
                  </w:tcBorders>
                  <w:vAlign w:val="center"/>
                </w:tcPr>
                <w:p w14:paraId="4715385D">
                  <w:pPr>
                    <w:topLinePunct/>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HW08</w:t>
                  </w:r>
                </w:p>
              </w:tc>
              <w:tc>
                <w:tcPr>
                  <w:tcW w:w="789" w:type="pct"/>
                  <w:tcBorders>
                    <w:tl2br w:val="nil"/>
                    <w:tr2bl w:val="nil"/>
                  </w:tcBorders>
                  <w:vAlign w:val="center"/>
                </w:tcPr>
                <w:p w14:paraId="7A40039A">
                  <w:pPr>
                    <w:topLinePunct/>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900-214-08</w:t>
                  </w:r>
                </w:p>
              </w:tc>
              <w:tc>
                <w:tcPr>
                  <w:tcW w:w="372" w:type="pct"/>
                  <w:tcBorders>
                    <w:tl2br w:val="nil"/>
                    <w:tr2bl w:val="nil"/>
                  </w:tcBorders>
                  <w:vAlign w:val="center"/>
                </w:tcPr>
                <w:p w14:paraId="2132C42D">
                  <w:pPr>
                    <w:topLinePunct/>
                    <w:spacing w:line="240" w:lineRule="auto"/>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cs="Times New Roman"/>
                      <w:color w:val="auto"/>
                      <w:kern w:val="0"/>
                      <w:sz w:val="21"/>
                      <w:szCs w:val="21"/>
                      <w:highlight w:val="none"/>
                      <w:lang w:eastAsia="zh-CN"/>
                    </w:rPr>
                    <w:t>危废暂存间</w:t>
                  </w:r>
                </w:p>
              </w:tc>
              <w:tc>
                <w:tcPr>
                  <w:tcW w:w="413" w:type="pct"/>
                  <w:tcBorders>
                    <w:tl2br w:val="nil"/>
                    <w:tr2bl w:val="nil"/>
                  </w:tcBorders>
                  <w:vAlign w:val="center"/>
                </w:tcPr>
                <w:p w14:paraId="2823F832">
                  <w:pPr>
                    <w:topLinePunct/>
                    <w:spacing w:line="240" w:lineRule="auto"/>
                    <w:jc w:val="center"/>
                    <w:rPr>
                      <w:rFonts w:hint="default" w:ascii="Times New Roman" w:hAnsi="Times New Roman" w:eastAsia="宋体"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vertAlign w:val="superscript"/>
                    </w:rPr>
                    <w:t>2</w:t>
                  </w:r>
                </w:p>
              </w:tc>
              <w:tc>
                <w:tcPr>
                  <w:tcW w:w="536" w:type="pct"/>
                  <w:tcBorders>
                    <w:tl2br w:val="nil"/>
                    <w:tr2bl w:val="nil"/>
                  </w:tcBorders>
                  <w:vAlign w:val="center"/>
                </w:tcPr>
                <w:p w14:paraId="683C156F">
                  <w:pPr>
                    <w:topLinePunct/>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桶装</w:t>
                  </w:r>
                </w:p>
              </w:tc>
              <w:tc>
                <w:tcPr>
                  <w:tcW w:w="448" w:type="pct"/>
                  <w:tcBorders>
                    <w:tl2br w:val="nil"/>
                    <w:tr2bl w:val="nil"/>
                  </w:tcBorders>
                  <w:vAlign w:val="center"/>
                </w:tcPr>
                <w:p w14:paraId="498C184B">
                  <w:pPr>
                    <w:topLinePunct/>
                    <w:spacing w:line="240" w:lineRule="auto"/>
                    <w:jc w:val="center"/>
                    <w:rPr>
                      <w:rFonts w:hint="default" w:ascii="Times New Roman" w:hAnsi="Times New Roman" w:eastAsia="宋体"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t</w:t>
                  </w:r>
                </w:p>
              </w:tc>
              <w:tc>
                <w:tcPr>
                  <w:tcW w:w="518" w:type="pct"/>
                  <w:tcBorders>
                    <w:tl2br w:val="nil"/>
                    <w:tr2bl w:val="nil"/>
                  </w:tcBorders>
                  <w:vAlign w:val="center"/>
                </w:tcPr>
                <w:p w14:paraId="45DA5436">
                  <w:pPr>
                    <w:topLinePunct/>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半年</w:t>
                  </w:r>
                </w:p>
              </w:tc>
            </w:tr>
          </w:tbl>
          <w:p w14:paraId="0C72BB5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szCs w:val="22"/>
                <w:highlight w:val="none"/>
              </w:rPr>
              <w:t>危险废物暂存间贮存应按照《危险</w:t>
            </w:r>
            <w:r>
              <w:rPr>
                <w:rFonts w:hint="default" w:ascii="Times New Roman" w:hAnsi="Times New Roman" w:cs="Times New Roman"/>
                <w:color w:val="auto"/>
                <w:sz w:val="24"/>
                <w:highlight w:val="none"/>
              </w:rPr>
              <w:t>废物贮存污染控制标准》（GB18597-2023）的相关要求，主要包括：</w:t>
            </w:r>
          </w:p>
          <w:p w14:paraId="2943EA8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①在项目内建设贮存暂存间，在厂区的</w:t>
            </w:r>
            <w:r>
              <w:rPr>
                <w:rFonts w:hint="eastAsia" w:ascii="Times New Roman" w:hAnsi="Times New Roman" w:cs="Times New Roman"/>
                <w:color w:val="auto"/>
                <w:sz w:val="24"/>
                <w:highlight w:val="none"/>
                <w:lang w:eastAsia="zh-CN"/>
              </w:rPr>
              <w:t>东侧</w:t>
            </w:r>
            <w:r>
              <w:rPr>
                <w:rFonts w:hint="default" w:ascii="Times New Roman" w:hAnsi="Times New Roman" w:cs="Times New Roman"/>
                <w:color w:val="auto"/>
                <w:sz w:val="24"/>
                <w:highlight w:val="none"/>
              </w:rPr>
              <w:t>，危险废物暂存危废暂存间，定期交有资质单位处理。</w:t>
            </w:r>
          </w:p>
          <w:p w14:paraId="1BB49421">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②危险废物采用合适的相容容器存放。</w:t>
            </w:r>
          </w:p>
          <w:p w14:paraId="077DC41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③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cs="Times New Roman"/>
                <w:color w:val="auto"/>
                <w:sz w:val="24"/>
                <w:highlight w:val="none"/>
                <w:vertAlign w:val="superscript"/>
              </w:rPr>
              <w:t>-7</w:t>
            </w:r>
            <w:r>
              <w:rPr>
                <w:rFonts w:hint="default" w:ascii="Times New Roman" w:hAnsi="Times New Roman" w:cs="Times New Roman"/>
                <w:color w:val="auto"/>
                <w:sz w:val="24"/>
                <w:highlight w:val="none"/>
              </w:rPr>
              <w:t>cm/s），或至少2mm厚高密度聚乙烯膜等人工防渗材料（渗透系数不大于10</w:t>
            </w:r>
            <w:r>
              <w:rPr>
                <w:rFonts w:hint="default" w:ascii="Times New Roman" w:hAnsi="Times New Roman" w:cs="Times New Roman"/>
                <w:color w:val="auto"/>
                <w:sz w:val="24"/>
                <w:highlight w:val="none"/>
                <w:vertAlign w:val="superscript"/>
              </w:rPr>
              <w:t>-10</w:t>
            </w:r>
            <w:r>
              <w:rPr>
                <w:rFonts w:hint="default" w:ascii="Times New Roman" w:hAnsi="Times New Roman" w:cs="Times New Roman"/>
                <w:color w:val="auto"/>
                <w:sz w:val="24"/>
                <w:highlight w:val="none"/>
              </w:rPr>
              <w:t>cm/s），或其他防渗性能等效的材料。</w:t>
            </w:r>
          </w:p>
          <w:p w14:paraId="649073E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④贮存设施应根据危险废物的形态、物理化学性质、包装形式和污染物迁移途径，采取必要的防风、防晒、防雨、防漏、防渗、防腐以及其他环境污染防治措施，不应露天堆放危险废物。</w:t>
            </w:r>
          </w:p>
          <w:p w14:paraId="2A4C656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⑤贮存设施或场所、容器和包装物应按HJ1276要求设置危险废物贮存设施或场所标志、危险废物贮存分区标志和危险废物标签等危险废物识别标志。</w:t>
            </w:r>
          </w:p>
          <w:p w14:paraId="7FA3C291">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⑥贮存危险废物应根据危险废物的类别、形态、物理化学性质和污染防治要求进行分类贮存，且应避免危险废物与不相容的物质或材料接触。</w:t>
            </w:r>
          </w:p>
          <w:p w14:paraId="7C2BD63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cs="Times New Roman"/>
                <w:color w:val="auto"/>
                <w:sz w:val="24"/>
                <w:highlight w:val="none"/>
              </w:rPr>
              <w:t>⑦贮存点环境管理要求：贮存点应具有固定的区域边界，并应采取与其他区域进行隔离的措施。贮存点应采取防风、防雨、防晒和防止危险废物流失、扬散等措施。贮存点贮存的危险废物应置于容器或包装物中，不应直接散堆。</w:t>
            </w:r>
          </w:p>
          <w:p w14:paraId="074974E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kern w:val="2"/>
                <w:sz w:val="24"/>
                <w:szCs w:val="24"/>
                <w:lang w:val="en-US" w:eastAsia="zh-CN" w:bidi="ar-SA"/>
              </w:rPr>
              <w:t>5、</w:t>
            </w:r>
            <w:r>
              <w:rPr>
                <w:rFonts w:hint="eastAsia" w:ascii="Times New Roman" w:hAnsi="Times New Roman" w:eastAsia="宋体" w:cs="Times New Roman"/>
                <w:b/>
                <w:bCs/>
                <w:color w:val="auto"/>
                <w:sz w:val="24"/>
                <w:szCs w:val="24"/>
                <w:highlight w:val="none"/>
                <w:lang w:val="en-US" w:eastAsia="zh-CN"/>
              </w:rPr>
              <w:t>地下水、土壤</w:t>
            </w:r>
          </w:p>
          <w:p w14:paraId="4DE7BF6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olor w:val="auto"/>
                <w:sz w:val="24"/>
                <w:szCs w:val="24"/>
                <w:highlight w:val="none"/>
              </w:rPr>
            </w:pPr>
            <w:r>
              <w:rPr>
                <w:rFonts w:hint="eastAsia" w:ascii="Times New Roman" w:hAnsi="Times New Roman"/>
                <w:color w:val="auto"/>
                <w:sz w:val="24"/>
                <w:szCs w:val="24"/>
                <w:highlight w:val="none"/>
              </w:rPr>
              <w:t>（1）</w:t>
            </w:r>
            <w:r>
              <w:rPr>
                <w:rFonts w:ascii="Times New Roman" w:hAnsi="Times New Roman"/>
                <w:color w:val="auto"/>
                <w:sz w:val="24"/>
                <w:szCs w:val="24"/>
                <w:highlight w:val="none"/>
              </w:rPr>
              <w:t>源头控制措施</w:t>
            </w:r>
          </w:p>
          <w:p w14:paraId="1DA3CEE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本项目生产废水经处理后全部回用不外排，</w:t>
            </w:r>
            <w:r>
              <w:rPr>
                <w:rFonts w:hint="eastAsia"/>
                <w:color w:val="auto"/>
                <w:sz w:val="24"/>
                <w:szCs w:val="24"/>
                <w:highlight w:val="none"/>
                <w:lang w:eastAsia="zh-CN"/>
              </w:rPr>
              <w:t>生活污水排入防渗旱厕，定期清掏，外运至污水处理厂</w:t>
            </w:r>
            <w:r>
              <w:rPr>
                <w:rFonts w:ascii="Times New Roman" w:hAnsi="Times New Roman"/>
                <w:color w:val="auto"/>
                <w:sz w:val="24"/>
                <w:szCs w:val="24"/>
                <w:highlight w:val="none"/>
              </w:rPr>
              <w:t>。</w:t>
            </w:r>
          </w:p>
          <w:p w14:paraId="7C8F021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各物料堆场均设置围堰及排水渠，排水渠互相连通，将临时排水排至循环水池循环使用不外排。</w:t>
            </w:r>
          </w:p>
          <w:p w14:paraId="6C284F8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olor w:val="auto"/>
                <w:sz w:val="24"/>
                <w:szCs w:val="24"/>
                <w:highlight w:val="none"/>
                <w:lang w:eastAsia="zh-CN"/>
              </w:rPr>
            </w:pPr>
            <w:r>
              <w:rPr>
                <w:rFonts w:hint="eastAsia" w:ascii="Times New Roman" w:hAnsi="Times New Roman"/>
                <w:color w:val="auto"/>
                <w:sz w:val="24"/>
                <w:szCs w:val="24"/>
                <w:highlight w:val="none"/>
                <w:lang w:eastAsia="zh-CN"/>
              </w:rPr>
              <w:t>废机油暂存于危废间后委托有资质单位处置。</w:t>
            </w:r>
          </w:p>
          <w:p w14:paraId="2EECE4E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本项目在建设过程中均采取相应防渗措施，防止和降低污染物跑、冒、滴、漏，将污染物泄漏的环境风险事故降到最低程度。</w:t>
            </w:r>
          </w:p>
          <w:p w14:paraId="75D71B3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olor w:val="auto"/>
                <w:sz w:val="24"/>
                <w:szCs w:val="24"/>
                <w:highlight w:val="none"/>
              </w:rPr>
            </w:pPr>
            <w:r>
              <w:rPr>
                <w:rFonts w:hint="eastAsia" w:ascii="Times New Roman" w:hAnsi="Times New Roman"/>
                <w:color w:val="auto"/>
                <w:sz w:val="24"/>
                <w:szCs w:val="24"/>
                <w:highlight w:val="none"/>
              </w:rPr>
              <w:t>（2）</w:t>
            </w:r>
            <w:r>
              <w:rPr>
                <w:rFonts w:ascii="Times New Roman" w:hAnsi="Times New Roman"/>
                <w:color w:val="auto"/>
                <w:sz w:val="24"/>
                <w:szCs w:val="24"/>
                <w:highlight w:val="none"/>
              </w:rPr>
              <w:t>分区防渗措施</w:t>
            </w:r>
          </w:p>
          <w:p w14:paraId="34B62C5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olor w:val="auto"/>
                <w:sz w:val="24"/>
                <w:szCs w:val="24"/>
                <w:highlight w:val="none"/>
              </w:rPr>
            </w:pPr>
            <w:r>
              <w:rPr>
                <w:rFonts w:ascii="Times New Roman" w:hAnsi="Times New Roman"/>
                <w:color w:val="auto"/>
                <w:sz w:val="24"/>
                <w:szCs w:val="24"/>
                <w:highlight w:val="none"/>
              </w:rPr>
              <w:t>根据《环境影响评价技术导则 地下水环境》（HJ610-2016）表7设置本项目防渗分区，详见</w:t>
            </w:r>
            <w:r>
              <w:rPr>
                <w:rFonts w:hint="eastAsia" w:ascii="Times New Roman" w:hAnsi="Times New Roman"/>
                <w:color w:val="auto"/>
                <w:sz w:val="24"/>
                <w:szCs w:val="24"/>
                <w:highlight w:val="none"/>
                <w:lang w:eastAsia="zh-CN"/>
              </w:rPr>
              <w:t>下</w:t>
            </w:r>
            <w:r>
              <w:rPr>
                <w:rFonts w:ascii="Times New Roman" w:hAnsi="Times New Roman"/>
                <w:color w:val="auto"/>
                <w:sz w:val="24"/>
                <w:szCs w:val="24"/>
                <w:highlight w:val="none"/>
              </w:rPr>
              <w:t>表。</w:t>
            </w:r>
          </w:p>
          <w:p w14:paraId="77FEB3C9">
            <w:pPr>
              <w:keepNext w:val="0"/>
              <w:keepLines w:val="0"/>
              <w:pageBreakBefore w:val="0"/>
              <w:widowControl w:val="0"/>
              <w:kinsoku/>
              <w:wordWrap/>
              <w:overflowPunct/>
              <w:topLinePunct w:val="0"/>
              <w:autoSpaceDE/>
              <w:autoSpaceDN/>
              <w:bidi w:val="0"/>
              <w:adjustRightInd/>
              <w:snapToGrid/>
              <w:spacing w:line="0" w:lineRule="atLeast"/>
              <w:ind w:firstLine="422" w:firstLineChars="200"/>
              <w:jc w:val="center"/>
              <w:textAlignment w:val="auto"/>
              <w:rPr>
                <w:rFonts w:hint="eastAsia" w:ascii="Times New Roman" w:hAnsi="Times New Roman" w:cs="Times New Roman"/>
                <w:b/>
                <w:color w:val="auto"/>
                <w:sz w:val="21"/>
                <w:szCs w:val="21"/>
                <w:highlight w:val="none"/>
                <w:lang w:eastAsia="zh-CN"/>
              </w:rPr>
            </w:pPr>
            <w:r>
              <w:rPr>
                <w:rFonts w:hint="eastAsia" w:ascii="Times New Roman" w:hAnsi="Times New Roman" w:cs="Times New Roman"/>
                <w:b/>
                <w:color w:val="auto"/>
                <w:sz w:val="21"/>
                <w:szCs w:val="21"/>
                <w:highlight w:val="none"/>
                <w:lang w:eastAsia="zh-CN"/>
              </w:rPr>
              <w:t>表</w:t>
            </w:r>
            <w:r>
              <w:rPr>
                <w:rFonts w:hint="eastAsia" w:ascii="Times New Roman" w:hAnsi="Times New Roman" w:cs="Times New Roman"/>
                <w:b/>
                <w:color w:val="auto"/>
                <w:sz w:val="21"/>
                <w:szCs w:val="21"/>
                <w:highlight w:val="none"/>
                <w:lang w:val="en-US" w:eastAsia="zh-CN"/>
              </w:rPr>
              <w:t>4-</w:t>
            </w:r>
            <w:r>
              <w:rPr>
                <w:rFonts w:hint="eastAsia" w:cs="Times New Roman"/>
                <w:b/>
                <w:color w:val="auto"/>
                <w:sz w:val="21"/>
                <w:szCs w:val="21"/>
                <w:highlight w:val="none"/>
                <w:lang w:val="en-US" w:eastAsia="zh-CN"/>
              </w:rPr>
              <w:t>11</w:t>
            </w:r>
            <w:r>
              <w:rPr>
                <w:rFonts w:hint="eastAsia" w:ascii="Times New Roman" w:hAnsi="Times New Roman" w:cs="Times New Roman"/>
                <w:b/>
                <w:color w:val="auto"/>
                <w:sz w:val="21"/>
                <w:szCs w:val="21"/>
                <w:highlight w:val="none"/>
                <w:lang w:eastAsia="zh-CN"/>
              </w:rPr>
              <w:t>地下水污染防渗分区参照表</w:t>
            </w:r>
          </w:p>
          <w:tbl>
            <w:tblPr>
              <w:tblStyle w:val="31"/>
              <w:tblW w:w="4998"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236"/>
              <w:gridCol w:w="1152"/>
              <w:gridCol w:w="1507"/>
              <w:gridCol w:w="3129"/>
            </w:tblGrid>
            <w:tr w14:paraId="6FF354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723" w:type="pct"/>
                  <w:tcBorders>
                    <w:tl2br w:val="nil"/>
                    <w:tr2bl w:val="nil"/>
                  </w:tcBorders>
                  <w:noWrap w:val="0"/>
                  <w:vAlign w:val="center"/>
                </w:tcPr>
                <w:p w14:paraId="150C5A9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b/>
                      <w:bCs/>
                      <w:color w:val="auto"/>
                      <w:kern w:val="0"/>
                      <w:szCs w:val="21"/>
                      <w:highlight w:val="none"/>
                    </w:rPr>
                  </w:pPr>
                  <w:r>
                    <w:rPr>
                      <w:rFonts w:ascii="Times New Roman" w:hAnsi="Times New Roman"/>
                      <w:b/>
                      <w:bCs/>
                      <w:color w:val="auto"/>
                      <w:kern w:val="0"/>
                      <w:szCs w:val="21"/>
                      <w:highlight w:val="none"/>
                    </w:rPr>
                    <w:t>防渗分区</w:t>
                  </w:r>
                </w:p>
              </w:tc>
              <w:tc>
                <w:tcPr>
                  <w:tcW w:w="752" w:type="pct"/>
                  <w:tcBorders>
                    <w:tl2br w:val="nil"/>
                    <w:tr2bl w:val="nil"/>
                  </w:tcBorders>
                  <w:noWrap w:val="0"/>
                  <w:vAlign w:val="center"/>
                </w:tcPr>
                <w:p w14:paraId="741EBA9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b/>
                      <w:bCs/>
                      <w:color w:val="auto"/>
                      <w:kern w:val="0"/>
                      <w:szCs w:val="21"/>
                      <w:highlight w:val="none"/>
                    </w:rPr>
                  </w:pPr>
                  <w:r>
                    <w:rPr>
                      <w:rFonts w:ascii="Times New Roman" w:hAnsi="Times New Roman"/>
                      <w:b/>
                      <w:bCs/>
                      <w:color w:val="auto"/>
                      <w:kern w:val="0"/>
                      <w:szCs w:val="21"/>
                      <w:highlight w:val="none"/>
                    </w:rPr>
                    <w:t>天然包气带防污性能</w:t>
                  </w:r>
                </w:p>
              </w:tc>
              <w:tc>
                <w:tcPr>
                  <w:tcW w:w="701" w:type="pct"/>
                  <w:tcBorders>
                    <w:tl2br w:val="nil"/>
                    <w:tr2bl w:val="nil"/>
                  </w:tcBorders>
                  <w:noWrap w:val="0"/>
                  <w:vAlign w:val="center"/>
                </w:tcPr>
                <w:p w14:paraId="4E65D3C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b/>
                      <w:bCs/>
                      <w:color w:val="auto"/>
                      <w:kern w:val="0"/>
                      <w:szCs w:val="21"/>
                      <w:highlight w:val="none"/>
                    </w:rPr>
                  </w:pPr>
                  <w:r>
                    <w:rPr>
                      <w:rFonts w:ascii="Times New Roman" w:hAnsi="Times New Roman"/>
                      <w:b/>
                      <w:bCs/>
                      <w:color w:val="auto"/>
                      <w:kern w:val="0"/>
                      <w:szCs w:val="21"/>
                      <w:highlight w:val="none"/>
                    </w:rPr>
                    <w:t>污染控制难易程度</w:t>
                  </w:r>
                </w:p>
              </w:tc>
              <w:tc>
                <w:tcPr>
                  <w:tcW w:w="917" w:type="pct"/>
                  <w:tcBorders>
                    <w:tl2br w:val="nil"/>
                    <w:tr2bl w:val="nil"/>
                  </w:tcBorders>
                  <w:noWrap w:val="0"/>
                  <w:vAlign w:val="center"/>
                </w:tcPr>
                <w:p w14:paraId="68E00CC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b/>
                      <w:bCs/>
                      <w:color w:val="auto"/>
                      <w:kern w:val="0"/>
                      <w:szCs w:val="21"/>
                      <w:highlight w:val="none"/>
                    </w:rPr>
                  </w:pPr>
                  <w:r>
                    <w:rPr>
                      <w:rFonts w:ascii="Times New Roman" w:hAnsi="Times New Roman"/>
                      <w:b/>
                      <w:bCs/>
                      <w:color w:val="auto"/>
                      <w:kern w:val="0"/>
                      <w:szCs w:val="21"/>
                      <w:highlight w:val="none"/>
                    </w:rPr>
                    <w:t>污染物类型</w:t>
                  </w:r>
                </w:p>
              </w:tc>
              <w:tc>
                <w:tcPr>
                  <w:tcW w:w="1904" w:type="pct"/>
                  <w:tcBorders>
                    <w:tl2br w:val="nil"/>
                    <w:tr2bl w:val="nil"/>
                  </w:tcBorders>
                  <w:noWrap w:val="0"/>
                  <w:vAlign w:val="center"/>
                </w:tcPr>
                <w:p w14:paraId="40C497F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b/>
                      <w:bCs/>
                      <w:color w:val="auto"/>
                      <w:kern w:val="0"/>
                      <w:szCs w:val="21"/>
                      <w:highlight w:val="none"/>
                    </w:rPr>
                  </w:pPr>
                  <w:r>
                    <w:rPr>
                      <w:rFonts w:ascii="Times New Roman" w:hAnsi="Times New Roman"/>
                      <w:b/>
                      <w:bCs/>
                      <w:color w:val="auto"/>
                      <w:kern w:val="0"/>
                      <w:szCs w:val="21"/>
                      <w:highlight w:val="none"/>
                    </w:rPr>
                    <w:t>防渗技术要求</w:t>
                  </w:r>
                </w:p>
              </w:tc>
            </w:tr>
            <w:tr w14:paraId="68BF89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723" w:type="pct"/>
                  <w:vMerge w:val="restart"/>
                  <w:tcBorders>
                    <w:tl2br w:val="nil"/>
                    <w:tr2bl w:val="nil"/>
                  </w:tcBorders>
                  <w:noWrap w:val="0"/>
                  <w:vAlign w:val="center"/>
                </w:tcPr>
                <w:p w14:paraId="3FCBBF6E">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重点防</w:t>
                  </w:r>
                </w:p>
                <w:p w14:paraId="71C74052">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渗区</w:t>
                  </w:r>
                </w:p>
              </w:tc>
              <w:tc>
                <w:tcPr>
                  <w:tcW w:w="752" w:type="pct"/>
                  <w:tcBorders>
                    <w:tl2br w:val="nil"/>
                    <w:tr2bl w:val="nil"/>
                  </w:tcBorders>
                  <w:noWrap w:val="0"/>
                  <w:vAlign w:val="center"/>
                </w:tcPr>
                <w:p w14:paraId="4685EB58">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弱</w:t>
                  </w:r>
                </w:p>
              </w:tc>
              <w:tc>
                <w:tcPr>
                  <w:tcW w:w="701" w:type="pct"/>
                  <w:tcBorders>
                    <w:tl2br w:val="nil"/>
                    <w:tr2bl w:val="nil"/>
                  </w:tcBorders>
                  <w:noWrap w:val="0"/>
                  <w:vAlign w:val="center"/>
                </w:tcPr>
                <w:p w14:paraId="11A1F5EB">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难</w:t>
                  </w:r>
                </w:p>
              </w:tc>
              <w:tc>
                <w:tcPr>
                  <w:tcW w:w="917" w:type="pct"/>
                  <w:vMerge w:val="restart"/>
                  <w:tcBorders>
                    <w:tl2br w:val="nil"/>
                    <w:tr2bl w:val="nil"/>
                  </w:tcBorders>
                  <w:noWrap w:val="0"/>
                  <w:vAlign w:val="center"/>
                </w:tcPr>
                <w:p w14:paraId="0B5B680C">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重金属、持久性有机污染物</w:t>
                  </w:r>
                </w:p>
              </w:tc>
              <w:tc>
                <w:tcPr>
                  <w:tcW w:w="1904" w:type="pct"/>
                  <w:vMerge w:val="restart"/>
                  <w:tcBorders>
                    <w:tl2br w:val="nil"/>
                    <w:tr2bl w:val="nil"/>
                  </w:tcBorders>
                  <w:noWrap w:val="0"/>
                  <w:vAlign w:val="center"/>
                </w:tcPr>
                <w:p w14:paraId="06572FB1">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等效黏土防渗层 Mb≥6.0m，K≤10</w:t>
                  </w:r>
                  <w:r>
                    <w:rPr>
                      <w:rFonts w:ascii="Times New Roman" w:hAnsi="Times New Roman"/>
                      <w:color w:val="auto"/>
                      <w:kern w:val="0"/>
                      <w:szCs w:val="21"/>
                      <w:highlight w:val="none"/>
                      <w:vertAlign w:val="superscript"/>
                    </w:rPr>
                    <w:t>-7</w:t>
                  </w:r>
                  <w:r>
                    <w:rPr>
                      <w:rFonts w:ascii="Times New Roman" w:hAnsi="Times New Roman"/>
                      <w:color w:val="auto"/>
                      <w:kern w:val="0"/>
                      <w:szCs w:val="21"/>
                      <w:highlight w:val="none"/>
                    </w:rPr>
                    <w:t>cm/s；或参照GB18598执行</w:t>
                  </w:r>
                </w:p>
              </w:tc>
            </w:tr>
            <w:tr w14:paraId="3F4DB8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723" w:type="pct"/>
                  <w:vMerge w:val="continue"/>
                  <w:tcBorders>
                    <w:tl2br w:val="nil"/>
                    <w:tr2bl w:val="nil"/>
                  </w:tcBorders>
                  <w:noWrap w:val="0"/>
                  <w:vAlign w:val="center"/>
                </w:tcPr>
                <w:p w14:paraId="2A1435E8">
                  <w:pPr>
                    <w:widowControl/>
                    <w:spacing w:line="360" w:lineRule="exact"/>
                    <w:jc w:val="center"/>
                    <w:rPr>
                      <w:rFonts w:ascii="Times New Roman" w:hAnsi="Times New Roman"/>
                      <w:color w:val="auto"/>
                      <w:kern w:val="0"/>
                      <w:szCs w:val="21"/>
                      <w:highlight w:val="none"/>
                    </w:rPr>
                  </w:pPr>
                </w:p>
              </w:tc>
              <w:tc>
                <w:tcPr>
                  <w:tcW w:w="752" w:type="pct"/>
                  <w:tcBorders>
                    <w:tl2br w:val="nil"/>
                    <w:tr2bl w:val="nil"/>
                  </w:tcBorders>
                  <w:noWrap w:val="0"/>
                  <w:vAlign w:val="center"/>
                </w:tcPr>
                <w:p w14:paraId="4E9C8C43">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中-强</w:t>
                  </w:r>
                </w:p>
              </w:tc>
              <w:tc>
                <w:tcPr>
                  <w:tcW w:w="701" w:type="pct"/>
                  <w:tcBorders>
                    <w:tl2br w:val="nil"/>
                    <w:tr2bl w:val="nil"/>
                  </w:tcBorders>
                  <w:noWrap w:val="0"/>
                  <w:vAlign w:val="center"/>
                </w:tcPr>
                <w:p w14:paraId="64187B95">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难</w:t>
                  </w:r>
                </w:p>
              </w:tc>
              <w:tc>
                <w:tcPr>
                  <w:tcW w:w="917" w:type="pct"/>
                  <w:vMerge w:val="continue"/>
                  <w:tcBorders>
                    <w:tl2br w:val="nil"/>
                    <w:tr2bl w:val="nil"/>
                  </w:tcBorders>
                  <w:noWrap w:val="0"/>
                  <w:vAlign w:val="center"/>
                </w:tcPr>
                <w:p w14:paraId="5351FC33">
                  <w:pPr>
                    <w:widowControl/>
                    <w:spacing w:line="360" w:lineRule="exact"/>
                    <w:jc w:val="center"/>
                    <w:rPr>
                      <w:rFonts w:ascii="Times New Roman" w:hAnsi="Times New Roman"/>
                      <w:color w:val="auto"/>
                      <w:kern w:val="0"/>
                      <w:szCs w:val="21"/>
                      <w:highlight w:val="none"/>
                    </w:rPr>
                  </w:pPr>
                </w:p>
              </w:tc>
              <w:tc>
                <w:tcPr>
                  <w:tcW w:w="1904" w:type="pct"/>
                  <w:vMerge w:val="continue"/>
                  <w:tcBorders>
                    <w:tl2br w:val="nil"/>
                    <w:tr2bl w:val="nil"/>
                  </w:tcBorders>
                  <w:noWrap w:val="0"/>
                  <w:vAlign w:val="center"/>
                </w:tcPr>
                <w:p w14:paraId="2D6E2D50">
                  <w:pPr>
                    <w:widowControl/>
                    <w:spacing w:line="360" w:lineRule="exact"/>
                    <w:jc w:val="center"/>
                    <w:rPr>
                      <w:rFonts w:ascii="Times New Roman" w:hAnsi="Times New Roman"/>
                      <w:color w:val="auto"/>
                      <w:kern w:val="0"/>
                      <w:szCs w:val="21"/>
                      <w:highlight w:val="none"/>
                    </w:rPr>
                  </w:pPr>
                </w:p>
              </w:tc>
            </w:tr>
            <w:tr w14:paraId="2293FE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723" w:type="pct"/>
                  <w:vMerge w:val="continue"/>
                  <w:tcBorders>
                    <w:tl2br w:val="nil"/>
                    <w:tr2bl w:val="nil"/>
                  </w:tcBorders>
                  <w:noWrap w:val="0"/>
                  <w:vAlign w:val="center"/>
                </w:tcPr>
                <w:p w14:paraId="291E84CF">
                  <w:pPr>
                    <w:widowControl/>
                    <w:spacing w:line="360" w:lineRule="exact"/>
                    <w:jc w:val="center"/>
                    <w:rPr>
                      <w:rFonts w:ascii="Times New Roman" w:hAnsi="Times New Roman"/>
                      <w:color w:val="auto"/>
                      <w:kern w:val="0"/>
                      <w:szCs w:val="21"/>
                      <w:highlight w:val="none"/>
                    </w:rPr>
                  </w:pPr>
                </w:p>
              </w:tc>
              <w:tc>
                <w:tcPr>
                  <w:tcW w:w="752" w:type="pct"/>
                  <w:tcBorders>
                    <w:tl2br w:val="nil"/>
                    <w:tr2bl w:val="nil"/>
                  </w:tcBorders>
                  <w:noWrap w:val="0"/>
                  <w:vAlign w:val="center"/>
                </w:tcPr>
                <w:p w14:paraId="70FD5581">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弱</w:t>
                  </w:r>
                </w:p>
              </w:tc>
              <w:tc>
                <w:tcPr>
                  <w:tcW w:w="701" w:type="pct"/>
                  <w:tcBorders>
                    <w:tl2br w:val="nil"/>
                    <w:tr2bl w:val="nil"/>
                  </w:tcBorders>
                  <w:noWrap w:val="0"/>
                  <w:vAlign w:val="center"/>
                </w:tcPr>
                <w:p w14:paraId="526C43AD">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易</w:t>
                  </w:r>
                </w:p>
              </w:tc>
              <w:tc>
                <w:tcPr>
                  <w:tcW w:w="917" w:type="pct"/>
                  <w:vMerge w:val="continue"/>
                  <w:tcBorders>
                    <w:tl2br w:val="nil"/>
                    <w:tr2bl w:val="nil"/>
                  </w:tcBorders>
                  <w:noWrap w:val="0"/>
                  <w:vAlign w:val="center"/>
                </w:tcPr>
                <w:p w14:paraId="4E212486">
                  <w:pPr>
                    <w:widowControl/>
                    <w:spacing w:line="360" w:lineRule="exact"/>
                    <w:jc w:val="center"/>
                    <w:rPr>
                      <w:rFonts w:ascii="Times New Roman" w:hAnsi="Times New Roman"/>
                      <w:color w:val="auto"/>
                      <w:kern w:val="0"/>
                      <w:szCs w:val="21"/>
                      <w:highlight w:val="none"/>
                    </w:rPr>
                  </w:pPr>
                </w:p>
              </w:tc>
              <w:tc>
                <w:tcPr>
                  <w:tcW w:w="1904" w:type="pct"/>
                  <w:vMerge w:val="continue"/>
                  <w:tcBorders>
                    <w:tl2br w:val="nil"/>
                    <w:tr2bl w:val="nil"/>
                  </w:tcBorders>
                  <w:noWrap w:val="0"/>
                  <w:vAlign w:val="center"/>
                </w:tcPr>
                <w:p w14:paraId="6C16513E">
                  <w:pPr>
                    <w:widowControl/>
                    <w:spacing w:line="360" w:lineRule="exact"/>
                    <w:jc w:val="center"/>
                    <w:rPr>
                      <w:rFonts w:ascii="Times New Roman" w:hAnsi="Times New Roman"/>
                      <w:color w:val="auto"/>
                      <w:kern w:val="0"/>
                      <w:szCs w:val="21"/>
                      <w:highlight w:val="none"/>
                    </w:rPr>
                  </w:pPr>
                </w:p>
              </w:tc>
            </w:tr>
            <w:tr w14:paraId="4DFE36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723" w:type="pct"/>
                  <w:vMerge w:val="restart"/>
                  <w:tcBorders>
                    <w:tl2br w:val="nil"/>
                    <w:tr2bl w:val="nil"/>
                  </w:tcBorders>
                  <w:noWrap w:val="0"/>
                  <w:vAlign w:val="center"/>
                </w:tcPr>
                <w:p w14:paraId="03B1130B">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一般防</w:t>
                  </w:r>
                </w:p>
                <w:p w14:paraId="5F276AF3">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渗区</w:t>
                  </w:r>
                </w:p>
              </w:tc>
              <w:tc>
                <w:tcPr>
                  <w:tcW w:w="752" w:type="pct"/>
                  <w:tcBorders>
                    <w:tl2br w:val="nil"/>
                    <w:tr2bl w:val="nil"/>
                  </w:tcBorders>
                  <w:noWrap w:val="0"/>
                  <w:vAlign w:val="center"/>
                </w:tcPr>
                <w:p w14:paraId="28B57872">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弱</w:t>
                  </w:r>
                </w:p>
              </w:tc>
              <w:tc>
                <w:tcPr>
                  <w:tcW w:w="701" w:type="pct"/>
                  <w:tcBorders>
                    <w:tl2br w:val="nil"/>
                    <w:tr2bl w:val="nil"/>
                  </w:tcBorders>
                  <w:noWrap w:val="0"/>
                  <w:vAlign w:val="center"/>
                </w:tcPr>
                <w:p w14:paraId="1E250849">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易-难</w:t>
                  </w:r>
                </w:p>
              </w:tc>
              <w:tc>
                <w:tcPr>
                  <w:tcW w:w="917" w:type="pct"/>
                  <w:vMerge w:val="restart"/>
                  <w:tcBorders>
                    <w:tl2br w:val="nil"/>
                    <w:tr2bl w:val="nil"/>
                  </w:tcBorders>
                  <w:noWrap w:val="0"/>
                  <w:vAlign w:val="center"/>
                </w:tcPr>
                <w:p w14:paraId="1BFE416D">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其他类型</w:t>
                  </w:r>
                </w:p>
              </w:tc>
              <w:tc>
                <w:tcPr>
                  <w:tcW w:w="1904" w:type="pct"/>
                  <w:vMerge w:val="restart"/>
                  <w:tcBorders>
                    <w:tl2br w:val="nil"/>
                    <w:tr2bl w:val="nil"/>
                  </w:tcBorders>
                  <w:noWrap w:val="0"/>
                  <w:vAlign w:val="center"/>
                </w:tcPr>
                <w:p w14:paraId="5D59C2C7">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等效黏土防渗层 Mb≥1.5m，K≤10</w:t>
                  </w:r>
                  <w:r>
                    <w:rPr>
                      <w:rFonts w:ascii="Times New Roman" w:hAnsi="Times New Roman"/>
                      <w:color w:val="auto"/>
                      <w:kern w:val="0"/>
                      <w:szCs w:val="21"/>
                      <w:highlight w:val="none"/>
                      <w:vertAlign w:val="superscript"/>
                    </w:rPr>
                    <w:t>-7</w:t>
                  </w:r>
                  <w:r>
                    <w:rPr>
                      <w:rFonts w:ascii="Times New Roman" w:hAnsi="Times New Roman"/>
                      <w:color w:val="auto"/>
                      <w:kern w:val="0"/>
                      <w:szCs w:val="21"/>
                      <w:highlight w:val="none"/>
                    </w:rPr>
                    <w:t>cm/s；或参照GB18598执行</w:t>
                  </w:r>
                </w:p>
              </w:tc>
            </w:tr>
            <w:tr w14:paraId="3EA1FE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723" w:type="pct"/>
                  <w:vMerge w:val="continue"/>
                  <w:tcBorders>
                    <w:tl2br w:val="nil"/>
                    <w:tr2bl w:val="nil"/>
                  </w:tcBorders>
                  <w:noWrap w:val="0"/>
                  <w:vAlign w:val="center"/>
                </w:tcPr>
                <w:p w14:paraId="2317BEFC">
                  <w:pPr>
                    <w:widowControl/>
                    <w:spacing w:line="360" w:lineRule="exact"/>
                    <w:jc w:val="center"/>
                    <w:rPr>
                      <w:rFonts w:ascii="Times New Roman" w:hAnsi="Times New Roman"/>
                      <w:color w:val="auto"/>
                      <w:kern w:val="0"/>
                      <w:szCs w:val="21"/>
                      <w:highlight w:val="none"/>
                    </w:rPr>
                  </w:pPr>
                </w:p>
              </w:tc>
              <w:tc>
                <w:tcPr>
                  <w:tcW w:w="752" w:type="pct"/>
                  <w:tcBorders>
                    <w:tl2br w:val="nil"/>
                    <w:tr2bl w:val="nil"/>
                  </w:tcBorders>
                  <w:noWrap w:val="0"/>
                  <w:vAlign w:val="center"/>
                </w:tcPr>
                <w:p w14:paraId="57C2C97E">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中-强</w:t>
                  </w:r>
                </w:p>
              </w:tc>
              <w:tc>
                <w:tcPr>
                  <w:tcW w:w="701" w:type="pct"/>
                  <w:tcBorders>
                    <w:tl2br w:val="nil"/>
                    <w:tr2bl w:val="nil"/>
                  </w:tcBorders>
                  <w:noWrap w:val="0"/>
                  <w:vAlign w:val="center"/>
                </w:tcPr>
                <w:p w14:paraId="4BECDEC0">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难</w:t>
                  </w:r>
                </w:p>
              </w:tc>
              <w:tc>
                <w:tcPr>
                  <w:tcW w:w="917" w:type="pct"/>
                  <w:vMerge w:val="continue"/>
                  <w:tcBorders>
                    <w:tl2br w:val="nil"/>
                    <w:tr2bl w:val="nil"/>
                  </w:tcBorders>
                  <w:noWrap w:val="0"/>
                  <w:vAlign w:val="center"/>
                </w:tcPr>
                <w:p w14:paraId="7ABA91CA">
                  <w:pPr>
                    <w:widowControl/>
                    <w:spacing w:line="360" w:lineRule="exact"/>
                    <w:jc w:val="center"/>
                    <w:rPr>
                      <w:rFonts w:ascii="Times New Roman" w:hAnsi="Times New Roman"/>
                      <w:color w:val="auto"/>
                      <w:kern w:val="0"/>
                      <w:szCs w:val="21"/>
                      <w:highlight w:val="none"/>
                    </w:rPr>
                  </w:pPr>
                </w:p>
              </w:tc>
              <w:tc>
                <w:tcPr>
                  <w:tcW w:w="1904" w:type="pct"/>
                  <w:vMerge w:val="continue"/>
                  <w:tcBorders>
                    <w:tl2br w:val="nil"/>
                    <w:tr2bl w:val="nil"/>
                  </w:tcBorders>
                  <w:noWrap w:val="0"/>
                  <w:vAlign w:val="center"/>
                </w:tcPr>
                <w:p w14:paraId="0BEC9B31">
                  <w:pPr>
                    <w:widowControl/>
                    <w:spacing w:line="360" w:lineRule="exact"/>
                    <w:jc w:val="center"/>
                    <w:rPr>
                      <w:rFonts w:ascii="Times New Roman" w:hAnsi="Times New Roman"/>
                      <w:color w:val="auto"/>
                      <w:kern w:val="0"/>
                      <w:szCs w:val="21"/>
                      <w:highlight w:val="none"/>
                    </w:rPr>
                  </w:pPr>
                </w:p>
              </w:tc>
            </w:tr>
            <w:tr w14:paraId="3599F4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723" w:type="pct"/>
                  <w:vMerge w:val="continue"/>
                  <w:tcBorders>
                    <w:tl2br w:val="nil"/>
                    <w:tr2bl w:val="nil"/>
                  </w:tcBorders>
                  <w:noWrap w:val="0"/>
                  <w:vAlign w:val="center"/>
                </w:tcPr>
                <w:p w14:paraId="55C6B675">
                  <w:pPr>
                    <w:widowControl/>
                    <w:spacing w:line="360" w:lineRule="exact"/>
                    <w:jc w:val="center"/>
                    <w:rPr>
                      <w:rFonts w:ascii="Times New Roman" w:hAnsi="Times New Roman"/>
                      <w:color w:val="auto"/>
                      <w:kern w:val="0"/>
                      <w:szCs w:val="21"/>
                      <w:highlight w:val="none"/>
                    </w:rPr>
                  </w:pPr>
                </w:p>
              </w:tc>
              <w:tc>
                <w:tcPr>
                  <w:tcW w:w="752" w:type="pct"/>
                  <w:tcBorders>
                    <w:tl2br w:val="nil"/>
                    <w:tr2bl w:val="nil"/>
                  </w:tcBorders>
                  <w:noWrap w:val="0"/>
                  <w:vAlign w:val="center"/>
                </w:tcPr>
                <w:p w14:paraId="49AEDA54">
                  <w:pPr>
                    <w:widowControl/>
                    <w:spacing w:line="360" w:lineRule="exact"/>
                    <w:jc w:val="center"/>
                    <w:rPr>
                      <w:rFonts w:ascii="Times New Roman" w:hAnsi="Times New Roman"/>
                      <w:b/>
                      <w:color w:val="auto"/>
                      <w:kern w:val="0"/>
                      <w:szCs w:val="21"/>
                      <w:highlight w:val="none"/>
                    </w:rPr>
                  </w:pPr>
                  <w:r>
                    <w:rPr>
                      <w:rFonts w:ascii="Times New Roman" w:hAnsi="Times New Roman"/>
                      <w:b/>
                      <w:color w:val="auto"/>
                      <w:kern w:val="0"/>
                      <w:szCs w:val="21"/>
                      <w:highlight w:val="none"/>
                    </w:rPr>
                    <w:t>中</w:t>
                  </w:r>
                </w:p>
              </w:tc>
              <w:tc>
                <w:tcPr>
                  <w:tcW w:w="701" w:type="pct"/>
                  <w:tcBorders>
                    <w:tl2br w:val="nil"/>
                    <w:tr2bl w:val="nil"/>
                  </w:tcBorders>
                  <w:noWrap w:val="0"/>
                  <w:vAlign w:val="center"/>
                </w:tcPr>
                <w:p w14:paraId="3448BC02">
                  <w:pPr>
                    <w:widowControl/>
                    <w:spacing w:line="360" w:lineRule="exact"/>
                    <w:jc w:val="center"/>
                    <w:rPr>
                      <w:rFonts w:ascii="Times New Roman" w:hAnsi="Times New Roman"/>
                      <w:b/>
                      <w:color w:val="auto"/>
                      <w:kern w:val="0"/>
                      <w:szCs w:val="21"/>
                      <w:highlight w:val="none"/>
                    </w:rPr>
                  </w:pPr>
                  <w:r>
                    <w:rPr>
                      <w:rFonts w:ascii="Times New Roman" w:hAnsi="Times New Roman"/>
                      <w:b/>
                      <w:color w:val="auto"/>
                      <w:kern w:val="0"/>
                      <w:szCs w:val="21"/>
                      <w:highlight w:val="none"/>
                    </w:rPr>
                    <w:t>易</w:t>
                  </w:r>
                </w:p>
              </w:tc>
              <w:tc>
                <w:tcPr>
                  <w:tcW w:w="917" w:type="pct"/>
                  <w:vMerge w:val="restart"/>
                  <w:tcBorders>
                    <w:tl2br w:val="nil"/>
                    <w:tr2bl w:val="nil"/>
                  </w:tcBorders>
                  <w:noWrap w:val="0"/>
                  <w:vAlign w:val="center"/>
                </w:tcPr>
                <w:p w14:paraId="4500C25D">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重金属、持久性有机污染物</w:t>
                  </w:r>
                </w:p>
              </w:tc>
              <w:tc>
                <w:tcPr>
                  <w:tcW w:w="1904" w:type="pct"/>
                  <w:vMerge w:val="continue"/>
                  <w:tcBorders>
                    <w:tl2br w:val="nil"/>
                    <w:tr2bl w:val="nil"/>
                  </w:tcBorders>
                  <w:noWrap w:val="0"/>
                  <w:vAlign w:val="center"/>
                </w:tcPr>
                <w:p w14:paraId="0F3EB362">
                  <w:pPr>
                    <w:widowControl/>
                    <w:spacing w:line="360" w:lineRule="exact"/>
                    <w:jc w:val="center"/>
                    <w:rPr>
                      <w:rFonts w:ascii="Times New Roman" w:hAnsi="Times New Roman"/>
                      <w:color w:val="auto"/>
                      <w:kern w:val="0"/>
                      <w:szCs w:val="21"/>
                      <w:highlight w:val="none"/>
                    </w:rPr>
                  </w:pPr>
                </w:p>
              </w:tc>
            </w:tr>
            <w:tr w14:paraId="7EAFE6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723" w:type="pct"/>
                  <w:vMerge w:val="continue"/>
                  <w:tcBorders>
                    <w:tl2br w:val="nil"/>
                    <w:tr2bl w:val="nil"/>
                  </w:tcBorders>
                  <w:noWrap w:val="0"/>
                  <w:vAlign w:val="center"/>
                </w:tcPr>
                <w:p w14:paraId="40389676">
                  <w:pPr>
                    <w:widowControl/>
                    <w:spacing w:line="360" w:lineRule="exact"/>
                    <w:jc w:val="center"/>
                    <w:rPr>
                      <w:rFonts w:ascii="Times New Roman" w:hAnsi="Times New Roman"/>
                      <w:color w:val="auto"/>
                      <w:kern w:val="0"/>
                      <w:szCs w:val="21"/>
                      <w:highlight w:val="none"/>
                    </w:rPr>
                  </w:pPr>
                </w:p>
              </w:tc>
              <w:tc>
                <w:tcPr>
                  <w:tcW w:w="752" w:type="pct"/>
                  <w:tcBorders>
                    <w:tl2br w:val="nil"/>
                    <w:tr2bl w:val="nil"/>
                  </w:tcBorders>
                  <w:noWrap w:val="0"/>
                  <w:vAlign w:val="center"/>
                </w:tcPr>
                <w:p w14:paraId="5A5B9367">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强</w:t>
                  </w:r>
                </w:p>
              </w:tc>
              <w:tc>
                <w:tcPr>
                  <w:tcW w:w="701" w:type="pct"/>
                  <w:tcBorders>
                    <w:tl2br w:val="nil"/>
                    <w:tr2bl w:val="nil"/>
                  </w:tcBorders>
                  <w:noWrap w:val="0"/>
                  <w:vAlign w:val="center"/>
                </w:tcPr>
                <w:p w14:paraId="0D5CAE31">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易</w:t>
                  </w:r>
                </w:p>
              </w:tc>
              <w:tc>
                <w:tcPr>
                  <w:tcW w:w="917" w:type="pct"/>
                  <w:vMerge w:val="continue"/>
                  <w:tcBorders>
                    <w:tl2br w:val="nil"/>
                    <w:tr2bl w:val="nil"/>
                  </w:tcBorders>
                  <w:noWrap w:val="0"/>
                  <w:vAlign w:val="center"/>
                </w:tcPr>
                <w:p w14:paraId="1AD8DE2A">
                  <w:pPr>
                    <w:widowControl/>
                    <w:spacing w:line="360" w:lineRule="exact"/>
                    <w:jc w:val="center"/>
                    <w:rPr>
                      <w:rFonts w:ascii="Times New Roman" w:hAnsi="Times New Roman"/>
                      <w:color w:val="auto"/>
                      <w:kern w:val="0"/>
                      <w:szCs w:val="21"/>
                      <w:highlight w:val="none"/>
                    </w:rPr>
                  </w:pPr>
                </w:p>
              </w:tc>
              <w:tc>
                <w:tcPr>
                  <w:tcW w:w="1904" w:type="pct"/>
                  <w:vMerge w:val="continue"/>
                  <w:tcBorders>
                    <w:tl2br w:val="nil"/>
                    <w:tr2bl w:val="nil"/>
                  </w:tcBorders>
                  <w:noWrap w:val="0"/>
                  <w:vAlign w:val="center"/>
                </w:tcPr>
                <w:p w14:paraId="796C406B">
                  <w:pPr>
                    <w:widowControl/>
                    <w:spacing w:line="360" w:lineRule="exact"/>
                    <w:jc w:val="center"/>
                    <w:rPr>
                      <w:rFonts w:ascii="Times New Roman" w:hAnsi="Times New Roman"/>
                      <w:color w:val="auto"/>
                      <w:kern w:val="0"/>
                      <w:szCs w:val="21"/>
                      <w:highlight w:val="none"/>
                    </w:rPr>
                  </w:pPr>
                </w:p>
              </w:tc>
            </w:tr>
            <w:tr w14:paraId="247420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723" w:type="pct"/>
                  <w:tcBorders>
                    <w:tl2br w:val="nil"/>
                    <w:tr2bl w:val="nil"/>
                  </w:tcBorders>
                  <w:noWrap w:val="0"/>
                  <w:vAlign w:val="center"/>
                </w:tcPr>
                <w:p w14:paraId="2D2D106D">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简单防渗区</w:t>
                  </w:r>
                </w:p>
              </w:tc>
              <w:tc>
                <w:tcPr>
                  <w:tcW w:w="752" w:type="pct"/>
                  <w:tcBorders>
                    <w:tl2br w:val="nil"/>
                    <w:tr2bl w:val="nil"/>
                  </w:tcBorders>
                  <w:noWrap w:val="0"/>
                  <w:vAlign w:val="center"/>
                </w:tcPr>
                <w:p w14:paraId="000CC2C0">
                  <w:pPr>
                    <w:widowControl/>
                    <w:spacing w:line="360" w:lineRule="exact"/>
                    <w:jc w:val="center"/>
                    <w:rPr>
                      <w:rFonts w:ascii="Times New Roman" w:hAnsi="Times New Roman"/>
                      <w:b/>
                      <w:color w:val="auto"/>
                      <w:kern w:val="0"/>
                      <w:szCs w:val="21"/>
                      <w:highlight w:val="none"/>
                    </w:rPr>
                  </w:pPr>
                  <w:r>
                    <w:rPr>
                      <w:rFonts w:ascii="Times New Roman" w:hAnsi="Times New Roman"/>
                      <w:b/>
                      <w:color w:val="auto"/>
                      <w:kern w:val="0"/>
                      <w:szCs w:val="21"/>
                      <w:highlight w:val="none"/>
                    </w:rPr>
                    <w:t>中-强</w:t>
                  </w:r>
                </w:p>
              </w:tc>
              <w:tc>
                <w:tcPr>
                  <w:tcW w:w="701" w:type="pct"/>
                  <w:tcBorders>
                    <w:tl2br w:val="nil"/>
                    <w:tr2bl w:val="nil"/>
                  </w:tcBorders>
                  <w:noWrap w:val="0"/>
                  <w:vAlign w:val="center"/>
                </w:tcPr>
                <w:p w14:paraId="2FA9D7E7">
                  <w:pPr>
                    <w:widowControl/>
                    <w:spacing w:line="360" w:lineRule="exact"/>
                    <w:jc w:val="center"/>
                    <w:rPr>
                      <w:rFonts w:ascii="Times New Roman" w:hAnsi="Times New Roman"/>
                      <w:b/>
                      <w:color w:val="auto"/>
                      <w:kern w:val="0"/>
                      <w:szCs w:val="21"/>
                      <w:highlight w:val="none"/>
                    </w:rPr>
                  </w:pPr>
                  <w:r>
                    <w:rPr>
                      <w:rFonts w:ascii="Times New Roman" w:hAnsi="Times New Roman"/>
                      <w:b/>
                      <w:color w:val="auto"/>
                      <w:kern w:val="0"/>
                      <w:szCs w:val="21"/>
                      <w:highlight w:val="none"/>
                    </w:rPr>
                    <w:t>易</w:t>
                  </w:r>
                </w:p>
              </w:tc>
              <w:tc>
                <w:tcPr>
                  <w:tcW w:w="917" w:type="pct"/>
                  <w:tcBorders>
                    <w:tl2br w:val="nil"/>
                    <w:tr2bl w:val="nil"/>
                  </w:tcBorders>
                  <w:noWrap w:val="0"/>
                  <w:vAlign w:val="center"/>
                </w:tcPr>
                <w:p w14:paraId="144CCD9A">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其他类型</w:t>
                  </w:r>
                </w:p>
              </w:tc>
              <w:tc>
                <w:tcPr>
                  <w:tcW w:w="1904" w:type="pct"/>
                  <w:tcBorders>
                    <w:tl2br w:val="nil"/>
                    <w:tr2bl w:val="nil"/>
                  </w:tcBorders>
                  <w:noWrap w:val="0"/>
                  <w:vAlign w:val="center"/>
                </w:tcPr>
                <w:p w14:paraId="0FE7A56F">
                  <w:pPr>
                    <w:widowControl/>
                    <w:spacing w:line="360" w:lineRule="exact"/>
                    <w:jc w:val="center"/>
                    <w:rPr>
                      <w:rFonts w:ascii="Times New Roman" w:hAnsi="Times New Roman"/>
                      <w:color w:val="auto"/>
                      <w:kern w:val="0"/>
                      <w:szCs w:val="21"/>
                      <w:highlight w:val="none"/>
                    </w:rPr>
                  </w:pPr>
                  <w:r>
                    <w:rPr>
                      <w:rFonts w:ascii="Times New Roman" w:hAnsi="Times New Roman"/>
                      <w:color w:val="auto"/>
                      <w:kern w:val="0"/>
                      <w:szCs w:val="21"/>
                      <w:highlight w:val="none"/>
                    </w:rPr>
                    <w:t>一般地面硬化</w:t>
                  </w:r>
                </w:p>
              </w:tc>
            </w:tr>
          </w:tbl>
          <w:p w14:paraId="10BFE78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olor w:val="auto"/>
                <w:sz w:val="24"/>
                <w:szCs w:val="24"/>
                <w:highlight w:val="none"/>
                <w:lang w:eastAsia="zh-CN"/>
              </w:rPr>
            </w:pPr>
            <w:r>
              <w:rPr>
                <w:rFonts w:ascii="Times New Roman" w:hAnsi="Times New Roman"/>
                <w:color w:val="auto"/>
                <w:sz w:val="24"/>
                <w:szCs w:val="24"/>
                <w:highlight w:val="none"/>
              </w:rPr>
              <w:fldChar w:fldCharType="begin"/>
            </w:r>
            <w:r>
              <w:rPr>
                <w:rFonts w:ascii="Times New Roman" w:hAnsi="Times New Roman"/>
                <w:color w:val="auto"/>
                <w:sz w:val="24"/>
                <w:szCs w:val="24"/>
                <w:highlight w:val="none"/>
              </w:rPr>
              <w:instrText xml:space="preserve"> = 1 \* GB3 \* MERGEFORMAT </w:instrText>
            </w:r>
            <w:r>
              <w:rPr>
                <w:rFonts w:ascii="Times New Roman" w:hAnsi="Times New Roman"/>
                <w:color w:val="auto"/>
                <w:sz w:val="24"/>
                <w:szCs w:val="24"/>
                <w:highlight w:val="none"/>
              </w:rPr>
              <w:fldChar w:fldCharType="separate"/>
            </w:r>
            <w:r>
              <w:rPr>
                <w:rFonts w:ascii="Times New Roman" w:hAnsi="Times New Roman"/>
                <w:color w:val="auto"/>
                <w:sz w:val="24"/>
                <w:szCs w:val="24"/>
                <w:highlight w:val="none"/>
              </w:rPr>
              <w:t>①</w:t>
            </w:r>
            <w:r>
              <w:rPr>
                <w:rFonts w:ascii="Times New Roman" w:hAnsi="Times New Roman"/>
                <w:color w:val="auto"/>
                <w:sz w:val="24"/>
                <w:szCs w:val="24"/>
                <w:highlight w:val="none"/>
              </w:rPr>
              <w:fldChar w:fldCharType="end"/>
            </w:r>
            <w:r>
              <w:rPr>
                <w:rFonts w:hint="eastAsia" w:ascii="Times New Roman" w:hAnsi="Times New Roman"/>
                <w:color w:val="auto"/>
                <w:sz w:val="24"/>
                <w:szCs w:val="24"/>
                <w:highlight w:val="none"/>
                <w:lang w:eastAsia="zh-CN"/>
              </w:rPr>
              <w:t>重点防渗区</w:t>
            </w:r>
          </w:p>
          <w:p w14:paraId="6BB9BEC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olor w:val="auto"/>
                <w:sz w:val="24"/>
                <w:szCs w:val="24"/>
                <w:highlight w:val="none"/>
                <w:lang w:eastAsia="zh-CN"/>
              </w:rPr>
            </w:pPr>
            <w:r>
              <w:rPr>
                <w:rFonts w:hint="eastAsia" w:ascii="Times New Roman" w:hAnsi="Times New Roman"/>
                <w:color w:val="auto"/>
                <w:sz w:val="24"/>
                <w:szCs w:val="24"/>
                <w:highlight w:val="none"/>
                <w:lang w:eastAsia="zh-CN"/>
              </w:rPr>
              <w:t>危废间采取重点防渗措施，等效黏土防渗层 Mb≥6.0m，K≤10-7cm/s；或参照GB18598执行。</w:t>
            </w:r>
          </w:p>
          <w:p w14:paraId="4B06EC2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olor w:val="auto"/>
                <w:sz w:val="24"/>
                <w:szCs w:val="24"/>
                <w:highlight w:val="none"/>
              </w:rPr>
            </w:pPr>
            <w:r>
              <w:rPr>
                <w:rFonts w:ascii="Times New Roman" w:hAnsi="Times New Roman"/>
                <w:color w:val="auto"/>
                <w:sz w:val="24"/>
                <w:szCs w:val="24"/>
                <w:highlight w:val="none"/>
              </w:rPr>
              <w:fldChar w:fldCharType="begin"/>
            </w:r>
            <w:r>
              <w:rPr>
                <w:rFonts w:ascii="Times New Roman" w:hAnsi="Times New Roman"/>
                <w:color w:val="auto"/>
                <w:sz w:val="24"/>
                <w:szCs w:val="24"/>
                <w:highlight w:val="none"/>
              </w:rPr>
              <w:instrText xml:space="preserve"> = 2 \* GB3 \* MERGEFORMAT </w:instrText>
            </w:r>
            <w:r>
              <w:rPr>
                <w:rFonts w:ascii="Times New Roman" w:hAnsi="Times New Roman"/>
                <w:color w:val="auto"/>
                <w:sz w:val="24"/>
                <w:szCs w:val="24"/>
                <w:highlight w:val="none"/>
              </w:rPr>
              <w:fldChar w:fldCharType="separate"/>
            </w:r>
            <w:r>
              <w:rPr>
                <w:rFonts w:ascii="Times New Roman" w:hAnsi="Times New Roman"/>
                <w:color w:val="auto"/>
                <w:sz w:val="24"/>
                <w:szCs w:val="24"/>
                <w:highlight w:val="none"/>
              </w:rPr>
              <w:t>②</w:t>
            </w:r>
            <w:r>
              <w:rPr>
                <w:rFonts w:ascii="Times New Roman" w:hAnsi="Times New Roman"/>
                <w:color w:val="auto"/>
                <w:sz w:val="24"/>
                <w:szCs w:val="24"/>
                <w:highlight w:val="none"/>
              </w:rPr>
              <w:fldChar w:fldCharType="end"/>
            </w:r>
            <w:r>
              <w:rPr>
                <w:rFonts w:ascii="Times New Roman" w:hAnsi="Times New Roman"/>
                <w:color w:val="auto"/>
                <w:sz w:val="24"/>
                <w:szCs w:val="24"/>
                <w:highlight w:val="none"/>
              </w:rPr>
              <w:t>一般防渗区</w:t>
            </w:r>
          </w:p>
          <w:p w14:paraId="1373AD5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olor w:val="auto"/>
                <w:sz w:val="24"/>
                <w:szCs w:val="24"/>
                <w:highlight w:val="none"/>
              </w:rPr>
            </w:pPr>
            <w:r>
              <w:rPr>
                <w:rFonts w:ascii="Times New Roman" w:hAnsi="Times New Roman"/>
                <w:color w:val="auto"/>
                <w:sz w:val="24"/>
                <w:szCs w:val="24"/>
                <w:highlight w:val="none"/>
              </w:rPr>
              <w:t>原料堆场、中煤堆场、煤泥堆场、矸石堆场、生产车间、受煤坑、循环水池、事故池、</w:t>
            </w:r>
            <w:r>
              <w:rPr>
                <w:rFonts w:hint="eastAsia" w:ascii="Times New Roman" w:hAnsi="Times New Roman"/>
                <w:color w:val="auto"/>
                <w:sz w:val="24"/>
                <w:szCs w:val="24"/>
                <w:highlight w:val="none"/>
                <w:lang w:eastAsia="zh-CN"/>
              </w:rPr>
              <w:t>沉淀池</w:t>
            </w:r>
            <w:r>
              <w:rPr>
                <w:rFonts w:ascii="Times New Roman" w:hAnsi="Times New Roman"/>
                <w:color w:val="auto"/>
                <w:sz w:val="24"/>
                <w:szCs w:val="24"/>
                <w:highlight w:val="none"/>
              </w:rPr>
              <w:t>等建构筑物采取一般防渗措施。</w:t>
            </w:r>
          </w:p>
          <w:p w14:paraId="2EFF68B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olor w:val="auto"/>
                <w:sz w:val="24"/>
                <w:szCs w:val="24"/>
                <w:highlight w:val="none"/>
              </w:rPr>
            </w:pPr>
            <w:r>
              <w:rPr>
                <w:rFonts w:ascii="Times New Roman" w:hAnsi="Times New Roman"/>
                <w:color w:val="auto"/>
                <w:sz w:val="24"/>
                <w:szCs w:val="24"/>
                <w:highlight w:val="none"/>
              </w:rPr>
              <w:t>采用抗渗钢纤维混凝土面，层中掺水泥基透结晶型防水剂，其下粘土务实，单位面积防渗能力达到等效黏土防渗层Mb≥1.5m，渗透系数≤1×10</w:t>
            </w:r>
            <w:r>
              <w:rPr>
                <w:rFonts w:ascii="Times New Roman" w:hAnsi="Times New Roman"/>
                <w:color w:val="auto"/>
                <w:sz w:val="24"/>
                <w:szCs w:val="24"/>
                <w:highlight w:val="none"/>
                <w:vertAlign w:val="superscript"/>
              </w:rPr>
              <w:t>-7</w:t>
            </w:r>
            <w:r>
              <w:rPr>
                <w:rFonts w:ascii="Times New Roman" w:hAnsi="Times New Roman"/>
                <w:color w:val="auto"/>
                <w:sz w:val="24"/>
                <w:szCs w:val="24"/>
                <w:highlight w:val="none"/>
              </w:rPr>
              <w:t>cm/s，符合《环境影响评价技术导则  地下水环境》（HJ 610-2016）一般防渗区要求。</w:t>
            </w:r>
          </w:p>
          <w:p w14:paraId="2FEF49E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olor w:val="auto"/>
                <w:sz w:val="24"/>
                <w:szCs w:val="24"/>
                <w:highlight w:val="none"/>
              </w:rPr>
            </w:pPr>
            <w:r>
              <w:rPr>
                <w:rFonts w:ascii="Times New Roman" w:hAnsi="Times New Roman"/>
                <w:color w:val="auto"/>
                <w:sz w:val="24"/>
                <w:szCs w:val="24"/>
                <w:highlight w:val="none"/>
              </w:rPr>
              <w:fldChar w:fldCharType="begin"/>
            </w:r>
            <w:r>
              <w:rPr>
                <w:rFonts w:ascii="Times New Roman" w:hAnsi="Times New Roman"/>
                <w:color w:val="auto"/>
                <w:sz w:val="24"/>
                <w:szCs w:val="24"/>
                <w:highlight w:val="none"/>
              </w:rPr>
              <w:instrText xml:space="preserve"> = 3 \* GB3 \* MERGEFORMAT </w:instrText>
            </w:r>
            <w:r>
              <w:rPr>
                <w:rFonts w:ascii="Times New Roman" w:hAnsi="Times New Roman"/>
                <w:color w:val="auto"/>
                <w:sz w:val="24"/>
                <w:szCs w:val="24"/>
                <w:highlight w:val="none"/>
              </w:rPr>
              <w:fldChar w:fldCharType="separate"/>
            </w:r>
            <w:r>
              <w:rPr>
                <w:rFonts w:ascii="Times New Roman" w:hAnsi="Times New Roman"/>
                <w:color w:val="auto"/>
                <w:sz w:val="24"/>
                <w:szCs w:val="24"/>
                <w:highlight w:val="none"/>
              </w:rPr>
              <w:t>③</w:t>
            </w:r>
            <w:r>
              <w:rPr>
                <w:rFonts w:ascii="Times New Roman" w:hAnsi="Times New Roman"/>
                <w:color w:val="auto"/>
                <w:sz w:val="24"/>
                <w:szCs w:val="24"/>
                <w:highlight w:val="none"/>
              </w:rPr>
              <w:fldChar w:fldCharType="end"/>
            </w:r>
            <w:r>
              <w:rPr>
                <w:rFonts w:ascii="Times New Roman" w:hAnsi="Times New Roman"/>
                <w:color w:val="auto"/>
                <w:sz w:val="24"/>
                <w:szCs w:val="24"/>
                <w:highlight w:val="none"/>
              </w:rPr>
              <w:t>简单防渗区</w:t>
            </w:r>
          </w:p>
          <w:p w14:paraId="1E49407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olor w:val="auto"/>
                <w:sz w:val="24"/>
                <w:szCs w:val="24"/>
                <w:highlight w:val="none"/>
              </w:rPr>
            </w:pPr>
            <w:r>
              <w:rPr>
                <w:rFonts w:ascii="Times New Roman" w:hAnsi="Times New Roman"/>
                <w:color w:val="auto"/>
                <w:sz w:val="24"/>
                <w:szCs w:val="24"/>
                <w:highlight w:val="none"/>
              </w:rPr>
              <w:t>除一般防渗区以外，其他</w:t>
            </w:r>
            <w:r>
              <w:rPr>
                <w:rFonts w:hint="eastAsia" w:ascii="Times New Roman" w:hAnsi="Times New Roman"/>
                <w:color w:val="auto"/>
                <w:sz w:val="24"/>
                <w:szCs w:val="24"/>
                <w:highlight w:val="none"/>
                <w:lang w:eastAsia="zh-CN"/>
              </w:rPr>
              <w:t>厂房</w:t>
            </w:r>
            <w:r>
              <w:rPr>
                <w:rFonts w:ascii="Times New Roman" w:hAnsi="Times New Roman"/>
                <w:color w:val="auto"/>
                <w:sz w:val="24"/>
                <w:szCs w:val="24"/>
                <w:highlight w:val="none"/>
              </w:rPr>
              <w:t>为简单防渗区，采取水泥地面硬化。</w:t>
            </w:r>
          </w:p>
          <w:p w14:paraId="30D11924">
            <w:pPr>
              <w:pStyle w:val="73"/>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ascii="Times New Roman" w:hAnsi="Times New Roman"/>
                <w:color w:val="auto"/>
                <w:sz w:val="24"/>
                <w:szCs w:val="24"/>
                <w:highlight w:val="none"/>
              </w:rPr>
            </w:pPr>
            <w:r>
              <w:rPr>
                <w:rFonts w:ascii="Times New Roman" w:hAnsi="Times New Roman"/>
                <w:color w:val="auto"/>
                <w:sz w:val="24"/>
                <w:szCs w:val="24"/>
                <w:highlight w:val="none"/>
              </w:rPr>
              <w:t>综上所述，本项目循环水池、事故池采取严格的防渗措施，可有效避免由于污水下渗造成的地下水环境污染。</w:t>
            </w:r>
          </w:p>
          <w:p w14:paraId="1A816525">
            <w:pPr>
              <w:pStyle w:val="73"/>
              <w:spacing w:line="240" w:lineRule="auto"/>
              <w:ind w:firstLine="0" w:firstLineChars="0"/>
              <w:jc w:val="center"/>
              <w:rPr>
                <w:rFonts w:hint="eastAsia" w:ascii="Times New Roman" w:hAnsi="Times New Roman" w:eastAsia="宋体"/>
                <w:color w:val="auto"/>
                <w:sz w:val="24"/>
                <w:highlight w:val="none"/>
                <w:lang w:eastAsia="zh-CN"/>
              </w:rPr>
            </w:pPr>
            <w:r>
              <w:rPr>
                <w:color w:val="auto"/>
              </w:rPr>
              <w:drawing>
                <wp:inline distT="0" distB="0" distL="114300" distR="114300">
                  <wp:extent cx="5212715" cy="4034790"/>
                  <wp:effectExtent l="0" t="0" r="6985" b="3810"/>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32"/>
                          <a:stretch>
                            <a:fillRect/>
                          </a:stretch>
                        </pic:blipFill>
                        <pic:spPr>
                          <a:xfrm>
                            <a:off x="0" y="0"/>
                            <a:ext cx="5212715" cy="4034790"/>
                          </a:xfrm>
                          <a:prstGeom prst="rect">
                            <a:avLst/>
                          </a:prstGeom>
                          <a:noFill/>
                          <a:ln>
                            <a:noFill/>
                          </a:ln>
                        </pic:spPr>
                      </pic:pic>
                    </a:graphicData>
                  </a:graphic>
                </wp:inline>
              </w:drawing>
            </w:r>
          </w:p>
          <w:p w14:paraId="2CA70D20">
            <w:pPr>
              <w:spacing w:line="500" w:lineRule="exact"/>
              <w:jc w:val="center"/>
              <w:rPr>
                <w:rFonts w:ascii="Times New Roman" w:hAnsi="Times New Roman" w:eastAsia="黑体"/>
                <w:color w:val="auto"/>
                <w:sz w:val="24"/>
                <w:szCs w:val="24"/>
                <w:highlight w:val="none"/>
              </w:rPr>
            </w:pPr>
            <w:r>
              <w:rPr>
                <w:rFonts w:ascii="Times New Roman" w:hAnsi="Times New Roman" w:eastAsia="黑体"/>
                <w:b/>
                <w:bCs/>
                <w:color w:val="auto"/>
                <w:sz w:val="24"/>
                <w:szCs w:val="24"/>
                <w:highlight w:val="none"/>
              </w:rPr>
              <w:t>图</w:t>
            </w:r>
            <w:r>
              <w:rPr>
                <w:rFonts w:hint="eastAsia" w:eastAsia="黑体"/>
                <w:b/>
                <w:bCs/>
                <w:color w:val="auto"/>
                <w:sz w:val="24"/>
                <w:szCs w:val="24"/>
                <w:highlight w:val="none"/>
                <w:lang w:val="en-US" w:eastAsia="zh-CN"/>
              </w:rPr>
              <w:t>4-1</w:t>
            </w:r>
            <w:r>
              <w:rPr>
                <w:rFonts w:ascii="Times New Roman" w:hAnsi="Times New Roman" w:eastAsia="黑体"/>
                <w:b/>
                <w:bCs/>
                <w:color w:val="auto"/>
                <w:sz w:val="24"/>
                <w:szCs w:val="24"/>
                <w:highlight w:val="none"/>
              </w:rPr>
              <w:t xml:space="preserve">  分区防渗图</w:t>
            </w:r>
          </w:p>
          <w:p w14:paraId="26D31B72">
            <w:pPr>
              <w:spacing w:line="480" w:lineRule="exact"/>
              <w:ind w:firstLine="480" w:firstLineChars="200"/>
              <w:jc w:val="left"/>
              <w:rPr>
                <w:rFonts w:ascii="Times New Roman" w:hAnsi="Times New Roman"/>
                <w:color w:val="auto"/>
                <w:sz w:val="24"/>
                <w:szCs w:val="24"/>
                <w:highlight w:val="none"/>
              </w:rPr>
            </w:pPr>
            <w:r>
              <w:rPr>
                <w:rFonts w:hint="eastAsia" w:ascii="Times New Roman" w:hAnsi="Times New Roman"/>
                <w:color w:val="auto"/>
                <w:sz w:val="24"/>
                <w:szCs w:val="24"/>
                <w:highlight w:val="none"/>
              </w:rPr>
              <w:t>（</w:t>
            </w:r>
            <w:r>
              <w:rPr>
                <w:rFonts w:hint="eastAsia" w:ascii="Times New Roman" w:hAnsi="Times New Roman"/>
                <w:color w:val="auto"/>
                <w:sz w:val="24"/>
                <w:szCs w:val="24"/>
                <w:highlight w:val="none"/>
                <w:lang w:val="en-US" w:eastAsia="zh-CN"/>
              </w:rPr>
              <w:t>3</w:t>
            </w:r>
            <w:r>
              <w:rPr>
                <w:rFonts w:hint="eastAsia" w:ascii="Times New Roman" w:hAnsi="Times New Roman"/>
                <w:color w:val="auto"/>
                <w:sz w:val="24"/>
                <w:szCs w:val="24"/>
                <w:highlight w:val="none"/>
              </w:rPr>
              <w:t>）</w:t>
            </w:r>
            <w:r>
              <w:rPr>
                <w:rFonts w:ascii="Times New Roman" w:hAnsi="Times New Roman"/>
                <w:color w:val="auto"/>
                <w:sz w:val="24"/>
                <w:szCs w:val="24"/>
                <w:highlight w:val="none"/>
              </w:rPr>
              <w:t>应急响应措施</w:t>
            </w:r>
          </w:p>
          <w:p w14:paraId="47E1E3E3">
            <w:pPr>
              <w:spacing w:line="480" w:lineRule="exact"/>
              <w:ind w:firstLine="480" w:firstLineChars="200"/>
              <w:jc w:val="left"/>
              <w:rPr>
                <w:rFonts w:ascii="Times New Roman" w:hAnsi="Times New Roman"/>
                <w:color w:val="auto"/>
                <w:sz w:val="24"/>
                <w:szCs w:val="24"/>
                <w:highlight w:val="none"/>
              </w:rPr>
            </w:pPr>
            <w:r>
              <w:rPr>
                <w:rFonts w:ascii="Times New Roman" w:hAnsi="Times New Roman"/>
                <w:color w:val="auto"/>
                <w:sz w:val="24"/>
                <w:szCs w:val="24"/>
                <w:highlight w:val="none"/>
              </w:rPr>
              <w:t>本项目生产工艺洗煤过程产生的废水排入循环水池，废水循环使用，不外排，本项目设置1个容积为</w:t>
            </w:r>
            <w:r>
              <w:rPr>
                <w:rFonts w:hint="eastAsia" w:ascii="Times New Roman" w:hAnsi="Times New Roman"/>
                <w:color w:val="auto"/>
                <w:sz w:val="24"/>
                <w:szCs w:val="24"/>
                <w:highlight w:val="none"/>
                <w:lang w:val="en-US" w:eastAsia="zh-CN"/>
              </w:rPr>
              <w:t>300</w:t>
            </w:r>
            <w:r>
              <w:rPr>
                <w:rFonts w:ascii="Times New Roman" w:hAnsi="Times New Roman"/>
                <w:color w:val="auto"/>
                <w:sz w:val="24"/>
                <w:szCs w:val="24"/>
                <w:highlight w:val="none"/>
              </w:rPr>
              <w:t>m</w:t>
            </w:r>
            <w:r>
              <w:rPr>
                <w:rFonts w:ascii="Times New Roman" w:hAnsi="Times New Roman"/>
                <w:color w:val="auto"/>
                <w:sz w:val="24"/>
                <w:szCs w:val="24"/>
                <w:highlight w:val="none"/>
                <w:vertAlign w:val="superscript"/>
              </w:rPr>
              <w:t>3</w:t>
            </w:r>
            <w:r>
              <w:rPr>
                <w:rFonts w:ascii="Times New Roman" w:hAnsi="Times New Roman"/>
                <w:color w:val="auto"/>
                <w:sz w:val="24"/>
                <w:szCs w:val="24"/>
                <w:highlight w:val="none"/>
              </w:rPr>
              <w:t>循环水池，本项目按非正常状况下其中一座循环水池发生渗漏考虑，设置一座容积为</w:t>
            </w:r>
            <w:r>
              <w:rPr>
                <w:rFonts w:hint="eastAsia" w:ascii="Times New Roman" w:hAnsi="Times New Roman"/>
                <w:color w:val="auto"/>
                <w:sz w:val="24"/>
                <w:szCs w:val="24"/>
                <w:highlight w:val="none"/>
                <w:lang w:val="en-US" w:eastAsia="zh-CN"/>
              </w:rPr>
              <w:t>500</w:t>
            </w:r>
            <w:r>
              <w:rPr>
                <w:rFonts w:ascii="Times New Roman" w:hAnsi="Times New Roman"/>
                <w:color w:val="auto"/>
                <w:sz w:val="24"/>
                <w:szCs w:val="24"/>
                <w:highlight w:val="none"/>
              </w:rPr>
              <w:t>m</w:t>
            </w:r>
            <w:r>
              <w:rPr>
                <w:rFonts w:ascii="Times New Roman" w:hAnsi="Times New Roman"/>
                <w:color w:val="auto"/>
                <w:sz w:val="24"/>
                <w:szCs w:val="24"/>
                <w:highlight w:val="none"/>
                <w:vertAlign w:val="superscript"/>
              </w:rPr>
              <w:t>3</w:t>
            </w:r>
            <w:r>
              <w:rPr>
                <w:rFonts w:ascii="Times New Roman" w:hAnsi="Times New Roman"/>
                <w:color w:val="auto"/>
                <w:sz w:val="24"/>
                <w:szCs w:val="24"/>
                <w:highlight w:val="none"/>
              </w:rPr>
              <w:t>的</w:t>
            </w:r>
            <w:r>
              <w:rPr>
                <w:rFonts w:hint="eastAsia" w:ascii="Times New Roman" w:hAnsi="Times New Roman"/>
                <w:color w:val="auto"/>
                <w:sz w:val="24"/>
                <w:szCs w:val="24"/>
                <w:highlight w:val="none"/>
              </w:rPr>
              <w:t>事故池</w:t>
            </w:r>
            <w:r>
              <w:rPr>
                <w:rFonts w:ascii="Times New Roman" w:hAnsi="Times New Roman"/>
                <w:color w:val="auto"/>
                <w:sz w:val="24"/>
                <w:szCs w:val="24"/>
                <w:highlight w:val="none"/>
              </w:rPr>
              <w:t>，确保非正常状况下事故废水不下渗、事故废水不外排。</w:t>
            </w:r>
          </w:p>
          <w:p w14:paraId="753DCE97">
            <w:pPr>
              <w:pStyle w:val="29"/>
              <w:spacing w:line="500" w:lineRule="exact"/>
              <w:ind w:firstLineChars="200"/>
              <w:rPr>
                <w:rFonts w:ascii="Times New Roman" w:hAnsi="Times New Roman"/>
                <w:color w:val="auto"/>
                <w:sz w:val="24"/>
                <w:szCs w:val="24"/>
                <w:highlight w:val="none"/>
              </w:rPr>
            </w:pPr>
            <w:r>
              <w:rPr>
                <w:rFonts w:ascii="Times New Roman" w:hAnsi="Times New Roman"/>
                <w:color w:val="auto"/>
                <w:sz w:val="24"/>
                <w:szCs w:val="24"/>
                <w:highlight w:val="none"/>
              </w:rPr>
              <w:t>由于污水渗漏事故发生具有隐蔽性，建设单位应认真落实地下水跟踪监测职责。如果在跟踪监测的过程出现超标情况，则说明有可能污水发生渗漏。建设单位应组织开展检查工作确定是否发生污水渗漏事故。当明确发生污水渗漏事故时，应查明渗漏原因，对其进行修复，同时应委托具有专业资质的环境监测单位进行更全面的地下水污染跟踪监测，以便明确泄漏事故的范围和程度。建设单位应将泄漏事故上报给环境主管部门。同时应并委托有专业技术能力的机构进行地下水影响的修复工作。</w:t>
            </w:r>
          </w:p>
          <w:p w14:paraId="0382298A">
            <w:pPr>
              <w:pStyle w:val="73"/>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ascii="Times New Roman" w:hAnsi="Times New Roman"/>
                <w:color w:val="auto"/>
                <w:sz w:val="24"/>
                <w:szCs w:val="24"/>
                <w:highlight w:val="none"/>
              </w:rPr>
            </w:pPr>
            <w:r>
              <w:rPr>
                <w:rFonts w:hint="eastAsia" w:ascii="Times New Roman" w:hAnsi="Times New Roman"/>
                <w:color w:val="auto"/>
                <w:sz w:val="24"/>
                <w:szCs w:val="24"/>
                <w:highlight w:val="none"/>
              </w:rPr>
              <w:t>（</w:t>
            </w:r>
            <w:r>
              <w:rPr>
                <w:rFonts w:hint="eastAsia" w:ascii="Times New Roman" w:hAnsi="Times New Roman"/>
                <w:color w:val="auto"/>
                <w:sz w:val="24"/>
                <w:szCs w:val="24"/>
                <w:highlight w:val="none"/>
                <w:lang w:val="en-US" w:eastAsia="zh-CN"/>
              </w:rPr>
              <w:t>4</w:t>
            </w:r>
            <w:r>
              <w:rPr>
                <w:rFonts w:hint="eastAsia" w:ascii="Times New Roman" w:hAnsi="Times New Roman"/>
                <w:color w:val="auto"/>
                <w:sz w:val="24"/>
                <w:szCs w:val="24"/>
                <w:highlight w:val="none"/>
              </w:rPr>
              <w:t>）小结</w:t>
            </w:r>
          </w:p>
          <w:p w14:paraId="120D1727">
            <w:pPr>
              <w:pStyle w:val="73"/>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ascii="Times New Roman" w:hAnsi="Times New Roman"/>
                <w:color w:val="auto"/>
                <w:sz w:val="24"/>
                <w:szCs w:val="24"/>
                <w:highlight w:val="none"/>
              </w:rPr>
            </w:pPr>
            <w:r>
              <w:rPr>
                <w:rFonts w:hint="eastAsia" w:ascii="Times New Roman" w:hAnsi="Times New Roman"/>
                <w:color w:val="auto"/>
                <w:sz w:val="24"/>
                <w:szCs w:val="24"/>
                <w:highlight w:val="none"/>
              </w:rPr>
              <w:t>通过采取本报告提出的措施后，本项目对地下水影响较小，可以接受。</w:t>
            </w:r>
          </w:p>
          <w:p w14:paraId="4A55FBB8">
            <w:pPr>
              <w:keepNext w:val="0"/>
              <w:keepLines w:val="0"/>
              <w:pageBreakBefore w:val="0"/>
              <w:numPr>
                <w:ilvl w:val="0"/>
                <w:numId w:val="0"/>
              </w:numPr>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kern w:val="2"/>
                <w:sz w:val="24"/>
                <w:szCs w:val="24"/>
                <w:lang w:val="en-US" w:eastAsia="zh-CN" w:bidi="ar-SA"/>
              </w:rPr>
              <w:t>6、</w:t>
            </w:r>
            <w:r>
              <w:rPr>
                <w:rFonts w:hint="eastAsia" w:ascii="Times New Roman" w:hAnsi="Times New Roman" w:cs="Times New Roman"/>
                <w:b/>
                <w:bCs/>
                <w:color w:val="auto"/>
                <w:sz w:val="24"/>
                <w:szCs w:val="24"/>
                <w:highlight w:val="none"/>
                <w:lang w:val="en-US" w:eastAsia="zh-CN"/>
              </w:rPr>
              <w:t>生态</w:t>
            </w:r>
          </w:p>
          <w:p w14:paraId="363D4B82">
            <w:pPr>
              <w:pStyle w:val="86"/>
              <w:keepNext w:val="0"/>
              <w:keepLines w:val="0"/>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本项目占地范围内不含生态环境保护目标，废气采用合理的处理措施，能够达标排放，</w:t>
            </w:r>
            <w:r>
              <w:rPr>
                <w:rFonts w:hint="eastAsia" w:ascii="Times New Roman" w:hAnsi="Times New Roman" w:eastAsia="宋体" w:cs="Times New Roman"/>
                <w:color w:val="auto"/>
                <w:highlight w:val="none"/>
              </w:rPr>
              <w:t>本项目生产废水经处理后全部回用不外排，</w:t>
            </w:r>
            <w:r>
              <w:rPr>
                <w:rFonts w:hint="eastAsia" w:cs="Times New Roman"/>
                <w:color w:val="auto"/>
                <w:highlight w:val="none"/>
                <w:lang w:eastAsia="zh-CN"/>
              </w:rPr>
              <w:t>生活污水排入防渗旱厕，定期清掏，外运至污水处理厂</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厂区内种植灌木、花草，减少裸露地面，能隔声、吸尘、吸收有害气体。能起到降低扬尘、净化空气、改善环境的作用。因此，本项目对周围生态环境影响较小。</w:t>
            </w:r>
          </w:p>
          <w:p w14:paraId="5319352A">
            <w:pPr>
              <w:adjustRightInd w:val="0"/>
              <w:snapToGrid w:val="0"/>
              <w:spacing w:line="360" w:lineRule="auto"/>
              <w:rPr>
                <w:rFonts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7</w:t>
            </w:r>
            <w:r>
              <w:rPr>
                <w:rFonts w:hint="eastAsia" w:ascii="Times New Roman" w:hAnsi="Times New Roman" w:eastAsia="宋体" w:cs="Times New Roman"/>
                <w:b/>
                <w:bCs/>
                <w:color w:val="auto"/>
                <w:sz w:val="24"/>
                <w:highlight w:val="none"/>
                <w:lang w:val="en-US" w:eastAsia="zh-CN"/>
              </w:rPr>
              <w:t>、运输线路环境</w:t>
            </w:r>
          </w:p>
          <w:p w14:paraId="354A45D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本项目运输路线为</w:t>
            </w:r>
            <w:r>
              <w:rPr>
                <w:rFonts w:hint="eastAsia" w:ascii="Times New Roman" w:hAnsi="Times New Roman" w:cs="Times New Roman"/>
                <w:bCs/>
                <w:color w:val="auto"/>
                <w:spacing w:val="0"/>
                <w:sz w:val="24"/>
                <w:szCs w:val="24"/>
                <w:highlight w:val="none"/>
                <w:lang w:val="en-US" w:eastAsia="zh-CN"/>
              </w:rPr>
              <w:t>厂区外砂石道路进入</w:t>
            </w:r>
            <w:r>
              <w:rPr>
                <w:rFonts w:hint="eastAsia" w:cs="Times New Roman"/>
                <w:bCs/>
                <w:color w:val="auto"/>
                <w:spacing w:val="0"/>
                <w:sz w:val="24"/>
                <w:szCs w:val="24"/>
                <w:highlight w:val="none"/>
                <w:lang w:val="en-US" w:eastAsia="zh-CN"/>
              </w:rPr>
              <w:t>东</w:t>
            </w:r>
            <w:r>
              <w:rPr>
                <w:rFonts w:hint="eastAsia" w:ascii="Times New Roman" w:hAnsi="Times New Roman" w:cs="Times New Roman"/>
                <w:bCs/>
                <w:color w:val="auto"/>
                <w:spacing w:val="0"/>
                <w:sz w:val="24"/>
                <w:szCs w:val="24"/>
                <w:highlight w:val="none"/>
                <w:lang w:val="en-US" w:eastAsia="zh-CN"/>
              </w:rPr>
              <w:t>部的</w:t>
            </w:r>
            <w:r>
              <w:rPr>
                <w:rFonts w:hint="eastAsia" w:cs="Times New Roman"/>
                <w:bCs/>
                <w:color w:val="auto"/>
                <w:spacing w:val="0"/>
                <w:sz w:val="24"/>
                <w:szCs w:val="24"/>
                <w:highlight w:val="none"/>
                <w:lang w:val="en-US" w:eastAsia="zh-CN"/>
              </w:rPr>
              <w:t>恒烨</w:t>
            </w:r>
            <w:r>
              <w:rPr>
                <w:rFonts w:hint="eastAsia" w:ascii="Times New Roman" w:hAnsi="Times New Roman" w:cs="Times New Roman"/>
                <w:bCs/>
                <w:color w:val="auto"/>
                <w:spacing w:val="0"/>
                <w:sz w:val="24"/>
                <w:szCs w:val="24"/>
                <w:highlight w:val="none"/>
                <w:lang w:val="en-US" w:eastAsia="zh-CN"/>
              </w:rPr>
              <w:t>公路，</w:t>
            </w:r>
            <w:r>
              <w:rPr>
                <w:rFonts w:hint="eastAsia" w:ascii="Times New Roman" w:hAnsi="Times New Roman" w:eastAsia="宋体" w:cs="Times New Roman"/>
                <w:bCs/>
                <w:color w:val="auto"/>
                <w:spacing w:val="0"/>
                <w:sz w:val="24"/>
                <w:szCs w:val="24"/>
                <w:highlight w:val="none"/>
                <w:lang w:val="en-US" w:eastAsia="zh-CN"/>
              </w:rPr>
              <w:t>评价范围内沿线共有</w:t>
            </w:r>
            <w:r>
              <w:rPr>
                <w:rFonts w:hint="eastAsia" w:cs="Times New Roman"/>
                <w:bCs/>
                <w:color w:val="auto"/>
                <w:spacing w:val="0"/>
                <w:sz w:val="24"/>
                <w:szCs w:val="24"/>
                <w:highlight w:val="none"/>
                <w:lang w:val="en-US" w:eastAsia="zh-CN"/>
              </w:rPr>
              <w:t>1</w:t>
            </w:r>
            <w:r>
              <w:rPr>
                <w:rFonts w:hint="eastAsia" w:ascii="Times New Roman" w:hAnsi="Times New Roman" w:eastAsia="宋体" w:cs="Times New Roman"/>
                <w:bCs/>
                <w:color w:val="auto"/>
                <w:spacing w:val="0"/>
                <w:sz w:val="24"/>
                <w:szCs w:val="24"/>
                <w:highlight w:val="none"/>
                <w:lang w:val="en-US" w:eastAsia="zh-CN"/>
              </w:rPr>
              <w:t>处环境敏感点</w:t>
            </w:r>
            <w:r>
              <w:rPr>
                <w:rFonts w:hint="eastAsia" w:ascii="Times New Roman" w:hAnsi="Times New Roman" w:cs="Times New Roman"/>
                <w:bCs/>
                <w:color w:val="auto"/>
                <w:spacing w:val="0"/>
                <w:sz w:val="24"/>
                <w:szCs w:val="24"/>
                <w:highlight w:val="none"/>
                <w:lang w:val="en-US" w:eastAsia="zh-CN"/>
              </w:rPr>
              <w:t>如附图</w:t>
            </w:r>
            <w:r>
              <w:rPr>
                <w:rFonts w:hint="eastAsia" w:cs="Times New Roman"/>
                <w:bCs/>
                <w:color w:val="auto"/>
                <w:spacing w:val="0"/>
                <w:sz w:val="24"/>
                <w:szCs w:val="24"/>
                <w:highlight w:val="none"/>
                <w:lang w:val="en-US" w:eastAsia="zh-CN"/>
              </w:rPr>
              <w:t>7</w:t>
            </w:r>
            <w:r>
              <w:rPr>
                <w:rFonts w:hint="eastAsia" w:ascii="Times New Roman" w:hAnsi="Times New Roman" w:eastAsia="宋体" w:cs="Times New Roman"/>
                <w:bCs/>
                <w:color w:val="auto"/>
                <w:spacing w:val="0"/>
                <w:sz w:val="24"/>
                <w:szCs w:val="24"/>
                <w:highlight w:val="none"/>
                <w:lang w:val="en-US" w:eastAsia="zh-CN"/>
              </w:rPr>
              <w:t>，本项目运输对敏感目标的影响主要体现在交通噪声及扬尘。</w:t>
            </w:r>
          </w:p>
          <w:p w14:paraId="29A0D813">
            <w:pPr>
              <w:bidi w:val="0"/>
              <w:jc w:val="center"/>
              <w:rPr>
                <w:rFonts w:ascii="Times New Roman" w:hAnsi="Times New Roman"/>
                <w:color w:val="auto"/>
                <w:szCs w:val="21"/>
                <w:vertAlign w:val="baseline"/>
                <w:lang w:val="en-US" w:eastAsia="zh-CN"/>
              </w:rPr>
            </w:pPr>
            <w:r>
              <w:rPr>
                <w:rFonts w:hint="eastAsia" w:ascii="Times New Roman" w:hAnsi="Times New Roman"/>
                <w:b/>
                <w:bCs/>
                <w:color w:val="auto"/>
                <w:lang w:val="en-US" w:eastAsia="zh-CN"/>
              </w:rPr>
              <w:t>表4-1</w:t>
            </w:r>
            <w:r>
              <w:rPr>
                <w:rFonts w:hint="eastAsia"/>
                <w:b/>
                <w:bCs/>
                <w:color w:val="auto"/>
                <w:lang w:val="en-US" w:eastAsia="zh-CN"/>
              </w:rPr>
              <w:t>2</w:t>
            </w:r>
            <w:r>
              <w:rPr>
                <w:rFonts w:hint="eastAsia" w:ascii="Times New Roman" w:hAnsi="Times New Roman"/>
                <w:b/>
                <w:bCs/>
                <w:color w:val="auto"/>
                <w:lang w:val="en-US" w:eastAsia="zh-CN"/>
              </w:rPr>
              <w:t xml:space="preserve">  运输路线环境保护目标一览表</w:t>
            </w:r>
          </w:p>
          <w:tbl>
            <w:tblPr>
              <w:tblStyle w:val="32"/>
              <w:tblW w:w="800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45"/>
              <w:gridCol w:w="1886"/>
              <w:gridCol w:w="1887"/>
              <w:gridCol w:w="2289"/>
            </w:tblGrid>
            <w:tr w14:paraId="4315C6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45" w:type="dxa"/>
                  <w:tcBorders>
                    <w:tl2br w:val="nil"/>
                    <w:tr2bl w:val="nil"/>
                  </w:tcBorders>
                  <w:noWrap w:val="0"/>
                  <w:vAlign w:val="center"/>
                </w:tcPr>
                <w:p w14:paraId="77FD12BF">
                  <w:pPr>
                    <w:widowControl/>
                    <w:spacing w:line="360" w:lineRule="exact"/>
                    <w:jc w:val="center"/>
                    <w:rPr>
                      <w:rFonts w:ascii="Times New Roman" w:hAnsi="Times New Roman"/>
                      <w:b/>
                      <w:bCs/>
                      <w:color w:val="auto"/>
                      <w:kern w:val="0"/>
                      <w:szCs w:val="21"/>
                      <w:highlight w:val="none"/>
                      <w:lang w:val="en-US" w:eastAsia="zh-CN"/>
                    </w:rPr>
                  </w:pPr>
                  <w:r>
                    <w:rPr>
                      <w:rFonts w:hint="eastAsia" w:ascii="Times New Roman" w:hAnsi="Times New Roman"/>
                      <w:b/>
                      <w:bCs/>
                      <w:color w:val="auto"/>
                      <w:kern w:val="0"/>
                      <w:szCs w:val="21"/>
                      <w:highlight w:val="none"/>
                      <w:lang w:val="en-US" w:eastAsia="zh-CN"/>
                    </w:rPr>
                    <w:t>保护目标</w:t>
                  </w:r>
                </w:p>
              </w:tc>
              <w:tc>
                <w:tcPr>
                  <w:tcW w:w="1886" w:type="dxa"/>
                  <w:tcBorders>
                    <w:tl2br w:val="nil"/>
                    <w:tr2bl w:val="nil"/>
                  </w:tcBorders>
                  <w:noWrap w:val="0"/>
                  <w:vAlign w:val="center"/>
                </w:tcPr>
                <w:p w14:paraId="1F74757B">
                  <w:pPr>
                    <w:widowControl/>
                    <w:spacing w:line="360" w:lineRule="exact"/>
                    <w:jc w:val="center"/>
                    <w:rPr>
                      <w:rFonts w:ascii="Times New Roman" w:hAnsi="Times New Roman"/>
                      <w:b/>
                      <w:bCs/>
                      <w:color w:val="auto"/>
                      <w:kern w:val="0"/>
                      <w:szCs w:val="21"/>
                      <w:highlight w:val="none"/>
                      <w:lang w:val="en-US" w:eastAsia="zh-CN"/>
                    </w:rPr>
                  </w:pPr>
                  <w:r>
                    <w:rPr>
                      <w:rFonts w:hint="eastAsia" w:ascii="Times New Roman" w:hAnsi="Times New Roman"/>
                      <w:b/>
                      <w:bCs/>
                      <w:color w:val="auto"/>
                      <w:kern w:val="0"/>
                      <w:szCs w:val="21"/>
                      <w:highlight w:val="none"/>
                      <w:lang w:val="en-US" w:eastAsia="zh-CN"/>
                    </w:rPr>
                    <w:t>方位</w:t>
                  </w:r>
                </w:p>
              </w:tc>
              <w:tc>
                <w:tcPr>
                  <w:tcW w:w="1887" w:type="dxa"/>
                  <w:tcBorders>
                    <w:tl2br w:val="nil"/>
                    <w:tr2bl w:val="nil"/>
                  </w:tcBorders>
                  <w:noWrap w:val="0"/>
                  <w:vAlign w:val="center"/>
                </w:tcPr>
                <w:p w14:paraId="3B4ED618">
                  <w:pPr>
                    <w:widowControl/>
                    <w:spacing w:line="360" w:lineRule="exact"/>
                    <w:jc w:val="center"/>
                    <w:rPr>
                      <w:rFonts w:ascii="Times New Roman" w:hAnsi="Times New Roman"/>
                      <w:b/>
                      <w:bCs/>
                      <w:color w:val="auto"/>
                      <w:kern w:val="0"/>
                      <w:szCs w:val="21"/>
                      <w:highlight w:val="none"/>
                      <w:lang w:val="en-US" w:eastAsia="zh-CN"/>
                    </w:rPr>
                  </w:pPr>
                  <w:r>
                    <w:rPr>
                      <w:rFonts w:hint="eastAsia" w:ascii="Times New Roman" w:hAnsi="Times New Roman"/>
                      <w:b/>
                      <w:bCs/>
                      <w:color w:val="auto"/>
                      <w:kern w:val="0"/>
                      <w:szCs w:val="21"/>
                      <w:highlight w:val="none"/>
                      <w:lang w:val="en-US" w:eastAsia="zh-CN"/>
                    </w:rPr>
                    <w:t>距离（m）</w:t>
                  </w:r>
                </w:p>
              </w:tc>
              <w:tc>
                <w:tcPr>
                  <w:tcW w:w="2289" w:type="dxa"/>
                  <w:tcBorders>
                    <w:tl2br w:val="nil"/>
                    <w:tr2bl w:val="nil"/>
                  </w:tcBorders>
                  <w:noWrap w:val="0"/>
                  <w:vAlign w:val="center"/>
                </w:tcPr>
                <w:p w14:paraId="1ECFA382">
                  <w:pPr>
                    <w:widowControl/>
                    <w:spacing w:line="360" w:lineRule="exact"/>
                    <w:jc w:val="center"/>
                    <w:rPr>
                      <w:rFonts w:hint="eastAsia" w:ascii="Times New Roman" w:hAnsi="Times New Roman"/>
                      <w:b/>
                      <w:bCs/>
                      <w:color w:val="auto"/>
                      <w:kern w:val="0"/>
                      <w:szCs w:val="21"/>
                      <w:highlight w:val="none"/>
                      <w:lang w:val="en-US" w:eastAsia="zh-CN"/>
                    </w:rPr>
                  </w:pPr>
                  <w:r>
                    <w:rPr>
                      <w:rFonts w:hint="eastAsia" w:ascii="Times New Roman" w:hAnsi="Times New Roman"/>
                      <w:b/>
                      <w:bCs/>
                      <w:color w:val="auto"/>
                      <w:kern w:val="0"/>
                      <w:szCs w:val="21"/>
                      <w:highlight w:val="none"/>
                      <w:lang w:val="en-US" w:eastAsia="zh-CN"/>
                    </w:rPr>
                    <w:t>保护要求</w:t>
                  </w:r>
                </w:p>
              </w:tc>
            </w:tr>
            <w:tr w14:paraId="4526A3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45" w:type="dxa"/>
                  <w:tcBorders>
                    <w:tl2br w:val="nil"/>
                    <w:tr2bl w:val="nil"/>
                  </w:tcBorders>
                  <w:noWrap w:val="0"/>
                  <w:vAlign w:val="center"/>
                </w:tcPr>
                <w:p w14:paraId="55C979AD">
                  <w:pPr>
                    <w:widowControl/>
                    <w:spacing w:line="360" w:lineRule="exact"/>
                    <w:jc w:val="center"/>
                    <w:rPr>
                      <w:rFonts w:ascii="Times New Roman" w:hAnsi="Times New Roman"/>
                      <w:color w:val="auto"/>
                      <w:kern w:val="0"/>
                      <w:szCs w:val="21"/>
                      <w:highlight w:val="none"/>
                      <w:lang w:val="en-US" w:eastAsia="zh-CN"/>
                    </w:rPr>
                  </w:pPr>
                  <w:r>
                    <w:rPr>
                      <w:rFonts w:hint="eastAsia"/>
                      <w:color w:val="auto"/>
                      <w:kern w:val="0"/>
                      <w:szCs w:val="21"/>
                      <w:highlight w:val="none"/>
                      <w:lang w:val="en-US" w:eastAsia="zh-CN"/>
                    </w:rPr>
                    <w:t>山南社区卫生服务中心</w:t>
                  </w:r>
                </w:p>
              </w:tc>
              <w:tc>
                <w:tcPr>
                  <w:tcW w:w="1886" w:type="dxa"/>
                  <w:tcBorders>
                    <w:tl2br w:val="nil"/>
                    <w:tr2bl w:val="nil"/>
                  </w:tcBorders>
                  <w:noWrap w:val="0"/>
                  <w:vAlign w:val="center"/>
                </w:tcPr>
                <w:p w14:paraId="0F6B8072">
                  <w:pPr>
                    <w:widowControl/>
                    <w:spacing w:line="360" w:lineRule="exact"/>
                    <w:jc w:val="center"/>
                    <w:rPr>
                      <w:rFonts w:hint="default" w:ascii="Times New Roman" w:hAnsi="Times New Roman"/>
                      <w:color w:val="auto"/>
                      <w:kern w:val="0"/>
                      <w:szCs w:val="21"/>
                      <w:highlight w:val="none"/>
                      <w:lang w:val="en-US" w:eastAsia="zh-CN"/>
                    </w:rPr>
                  </w:pPr>
                  <w:r>
                    <w:rPr>
                      <w:rFonts w:hint="eastAsia"/>
                      <w:color w:val="auto"/>
                      <w:kern w:val="0"/>
                      <w:szCs w:val="21"/>
                      <w:highlight w:val="none"/>
                      <w:lang w:val="en-US" w:eastAsia="zh-CN"/>
                    </w:rPr>
                    <w:t>西北</w:t>
                  </w:r>
                </w:p>
              </w:tc>
              <w:tc>
                <w:tcPr>
                  <w:tcW w:w="1887" w:type="dxa"/>
                  <w:tcBorders>
                    <w:tl2br w:val="nil"/>
                    <w:tr2bl w:val="nil"/>
                  </w:tcBorders>
                  <w:noWrap w:val="0"/>
                  <w:vAlign w:val="center"/>
                </w:tcPr>
                <w:p w14:paraId="274DBAD2">
                  <w:pPr>
                    <w:widowControl/>
                    <w:spacing w:line="360" w:lineRule="exact"/>
                    <w:jc w:val="center"/>
                    <w:rPr>
                      <w:rFonts w:hint="default" w:ascii="Times New Roman" w:hAnsi="Times New Roman"/>
                      <w:color w:val="auto"/>
                      <w:kern w:val="0"/>
                      <w:szCs w:val="21"/>
                      <w:highlight w:val="none"/>
                      <w:lang w:val="en-US" w:eastAsia="zh-CN"/>
                    </w:rPr>
                  </w:pPr>
                  <w:r>
                    <w:rPr>
                      <w:rFonts w:hint="eastAsia"/>
                      <w:color w:val="auto"/>
                      <w:kern w:val="0"/>
                      <w:szCs w:val="21"/>
                      <w:highlight w:val="none"/>
                      <w:lang w:val="en-US" w:eastAsia="zh-CN"/>
                    </w:rPr>
                    <w:t>600</w:t>
                  </w:r>
                </w:p>
              </w:tc>
              <w:tc>
                <w:tcPr>
                  <w:tcW w:w="2289" w:type="dxa"/>
                  <w:tcBorders>
                    <w:tl2br w:val="nil"/>
                    <w:tr2bl w:val="nil"/>
                  </w:tcBorders>
                  <w:noWrap w:val="0"/>
                  <w:vAlign w:val="center"/>
                </w:tcPr>
                <w:p w14:paraId="405DFFA4">
                  <w:pPr>
                    <w:widowControl/>
                    <w:spacing w:line="360" w:lineRule="exact"/>
                    <w:jc w:val="center"/>
                    <w:rPr>
                      <w:rFonts w:hint="eastAsia" w:ascii="Times New Roman" w:hAnsi="Times New Roman"/>
                      <w:color w:val="auto"/>
                      <w:kern w:val="0"/>
                      <w:szCs w:val="21"/>
                      <w:highlight w:val="none"/>
                      <w:lang w:val="en-US" w:eastAsia="zh-CN"/>
                    </w:rPr>
                  </w:pPr>
                  <w:r>
                    <w:rPr>
                      <w:rFonts w:hint="eastAsia" w:ascii="Times New Roman" w:hAnsi="Times New Roman"/>
                      <w:color w:val="auto"/>
                      <w:kern w:val="0"/>
                      <w:szCs w:val="21"/>
                      <w:highlight w:val="none"/>
                      <w:lang w:val="en-US" w:eastAsia="zh-CN"/>
                    </w:rPr>
                    <w:t>《声环境质量标准》</w:t>
                  </w:r>
                </w:p>
                <w:p w14:paraId="345EB244">
                  <w:pPr>
                    <w:widowControl/>
                    <w:spacing w:line="360" w:lineRule="exact"/>
                    <w:jc w:val="center"/>
                    <w:rPr>
                      <w:rFonts w:hint="eastAsia" w:ascii="Times New Roman" w:hAnsi="Times New Roman"/>
                      <w:color w:val="auto"/>
                      <w:kern w:val="0"/>
                      <w:szCs w:val="21"/>
                      <w:highlight w:val="none"/>
                      <w:lang w:val="en-US" w:eastAsia="zh-CN"/>
                    </w:rPr>
                  </w:pPr>
                  <w:r>
                    <w:rPr>
                      <w:rFonts w:hint="eastAsia" w:ascii="Times New Roman" w:hAnsi="Times New Roman"/>
                      <w:color w:val="auto"/>
                      <w:kern w:val="0"/>
                      <w:szCs w:val="21"/>
                      <w:highlight w:val="none"/>
                      <w:lang w:val="en-US" w:eastAsia="zh-CN"/>
                    </w:rPr>
                    <w:t>（GB3096-2008）2类标准</w:t>
                  </w:r>
                </w:p>
              </w:tc>
            </w:tr>
          </w:tbl>
          <w:p w14:paraId="2ABB8FD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（1）运输噪声影响分析</w:t>
            </w:r>
          </w:p>
          <w:p w14:paraId="6002D08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运输车辆行驶噪声源强约为70dB（A），对运输交通噪声，禁止使用超过噪声限值的运输车辆，汽车运输机械设备应禁用高音喇叭，机动车辆必须加强维修和保养，保持技术性能良好，在经过运输道路沿途村落时，应限制鸣笛，合理安排运输车辆工作时间，22：00—次日6</w:t>
            </w:r>
            <w:r>
              <w:rPr>
                <w:rFonts w:hint="eastAsia" w:ascii="Times New Roman" w:hAnsi="Times New Roman" w:cs="Times New Roman"/>
                <w:bCs/>
                <w:color w:val="auto"/>
                <w:spacing w:val="0"/>
                <w:sz w:val="24"/>
                <w:szCs w:val="24"/>
                <w:highlight w:val="none"/>
                <w:lang w:val="en-US" w:eastAsia="zh-CN"/>
              </w:rPr>
              <w:t>：</w:t>
            </w:r>
            <w:r>
              <w:rPr>
                <w:rFonts w:hint="eastAsia" w:ascii="Times New Roman" w:hAnsi="Times New Roman" w:eastAsia="宋体" w:cs="Times New Roman"/>
                <w:bCs/>
                <w:color w:val="auto"/>
                <w:spacing w:val="0"/>
                <w:sz w:val="24"/>
                <w:szCs w:val="24"/>
                <w:highlight w:val="none"/>
                <w:lang w:val="en-US" w:eastAsia="zh-CN"/>
              </w:rPr>
              <w:t>00禁止运输工作，避免交通噪声对沿途村庄产生影响，在采取上述措施的前提下，沿线村屯声环境满足《声环境质量标准》（GB3096-2008）2类标准。</w:t>
            </w:r>
          </w:p>
          <w:p w14:paraId="3285E86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本项目产品运输均在昼间进行，矿方加强对运输车辆管理，杜绝超载现象，按期保养车辆保持车辆良好工况，运输车辆在经过沿线敏感目标时控制行驶速度，通过采取以上措施运输沿线公路交通噪声影响是可以接受的。</w:t>
            </w:r>
          </w:p>
          <w:p w14:paraId="3C08DD2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（2）运输道路扬尘影响</w:t>
            </w:r>
          </w:p>
          <w:p w14:paraId="3C95720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本项目运输路线所经过敏感点行驶的道路为水泥路面，根据《扬尘源颗粒物排放清单编制技术指南》中铺装道路扬尘源排放系数计算公式，计算得出本项目运输车辆行驶1km产生的道路扬尘质量为11.5g/km。本项目运输过程中要加强道路养护，保障路面平整，控制汽车行驶速度，运输车辆采用苫布苫盖，同时采取洒水抑尘的措施，可有效降低汽车运输的起尘量，运输产生的扬尘对穿越村庄环境空气的影响较小。</w:t>
            </w:r>
          </w:p>
          <w:p w14:paraId="6E8D188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kern w:val="2"/>
                <w:sz w:val="24"/>
                <w:szCs w:val="24"/>
                <w:lang w:val="en-US" w:eastAsia="zh-CN" w:bidi="ar-SA"/>
              </w:rPr>
              <w:t>8</w:t>
            </w:r>
            <w:r>
              <w:rPr>
                <w:rFonts w:hint="default" w:ascii="Times New Roman" w:hAnsi="Times New Roman" w:eastAsia="宋体" w:cs="Times New Roman"/>
                <w:b/>
                <w:bCs/>
                <w:color w:val="auto"/>
                <w:kern w:val="2"/>
                <w:sz w:val="24"/>
                <w:szCs w:val="24"/>
                <w:lang w:val="en-US" w:eastAsia="zh-CN" w:bidi="ar-SA"/>
              </w:rPr>
              <w:t>、</w:t>
            </w:r>
            <w:r>
              <w:rPr>
                <w:rFonts w:hint="eastAsia" w:ascii="Times New Roman" w:hAnsi="Times New Roman" w:cs="Times New Roman"/>
                <w:b/>
                <w:bCs/>
                <w:color w:val="auto"/>
                <w:sz w:val="24"/>
                <w:szCs w:val="24"/>
                <w:highlight w:val="none"/>
                <w:lang w:val="en-US" w:eastAsia="zh-CN"/>
              </w:rPr>
              <w:t>环境风险</w:t>
            </w:r>
          </w:p>
          <w:p w14:paraId="06388EFB">
            <w:pPr>
              <w:pStyle w:val="8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highlight w:val="none"/>
              </w:rPr>
            </w:pPr>
            <w:r>
              <w:rPr>
                <w:rFonts w:ascii="Times New Roman" w:hAnsi="Times New Roman"/>
                <w:color w:val="auto"/>
                <w:highlight w:val="none"/>
              </w:rPr>
              <w:t>本次评价遵照环境保护部环发[2012]77号文《关于进一步加强环境影响评价管理防范环境风险的通知》精神，以《建设项目环境风险评价技术导则》</w:t>
            </w:r>
          </w:p>
          <w:p w14:paraId="6F685007">
            <w:pPr>
              <w:pStyle w:val="8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highlight w:val="none"/>
              </w:rPr>
            </w:pPr>
            <w:r>
              <w:rPr>
                <w:rFonts w:ascii="Times New Roman" w:hAnsi="Times New Roman"/>
                <w:color w:val="auto"/>
                <w:highlight w:val="none"/>
              </w:rPr>
              <w:t>（HJ 169-2018）为指导，通过对建设项目进行风险识别和源项分析，提出切实可行的风险防范措施。</w:t>
            </w:r>
          </w:p>
          <w:p w14:paraId="02875A5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8</w:t>
            </w:r>
            <w:r>
              <w:rPr>
                <w:rFonts w:hint="eastAsia" w:ascii="Times New Roman" w:hAnsi="Times New Roman" w:eastAsia="宋体" w:cs="Times New Roman"/>
                <w:b/>
                <w:bCs/>
                <w:color w:val="auto"/>
                <w:sz w:val="24"/>
                <w:szCs w:val="24"/>
                <w:highlight w:val="none"/>
                <w:lang w:val="en-US" w:eastAsia="zh-CN"/>
              </w:rPr>
              <w:t>.1评价依据</w:t>
            </w:r>
          </w:p>
          <w:p w14:paraId="5DDAB182">
            <w:pPr>
              <w:pStyle w:val="8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highlight w:val="none"/>
              </w:rPr>
            </w:pPr>
            <w:r>
              <w:rPr>
                <w:rFonts w:ascii="Times New Roman" w:hAnsi="Times New Roman"/>
                <w:color w:val="auto"/>
                <w:highlight w:val="none"/>
              </w:rPr>
              <w:t>本项目</w:t>
            </w:r>
            <w:r>
              <w:rPr>
                <w:rFonts w:hint="eastAsia" w:ascii="Times New Roman" w:hAnsi="Times New Roman"/>
                <w:color w:val="auto"/>
                <w:highlight w:val="none"/>
              </w:rPr>
              <w:t>位于</w:t>
            </w:r>
            <w:r>
              <w:rPr>
                <w:rFonts w:hint="default" w:ascii="Times New Roman" w:hAnsi="Times New Roman" w:cs="Times New Roman"/>
                <w:color w:val="auto"/>
                <w:sz w:val="24"/>
                <w:szCs w:val="24"/>
                <w:highlight w:val="none"/>
                <w:lang w:eastAsia="zh-CN"/>
              </w:rPr>
              <w:t>鸡西市恒山区大恒山办合作委四组</w:t>
            </w:r>
            <w:r>
              <w:rPr>
                <w:rFonts w:hint="eastAsia" w:ascii="Times New Roman" w:hAnsi="Times New Roman"/>
                <w:color w:val="auto"/>
                <w:highlight w:val="none"/>
              </w:rPr>
              <w:t>，</w:t>
            </w:r>
            <w:r>
              <w:rPr>
                <w:rFonts w:ascii="Times New Roman" w:hAnsi="Times New Roman"/>
                <w:color w:val="auto"/>
                <w:highlight w:val="none"/>
              </w:rPr>
              <w:t>根据《建设项目环境风险评价技术导则》（HJ 169-2018）</w:t>
            </w:r>
            <w:r>
              <w:rPr>
                <w:rFonts w:hint="eastAsia" w:ascii="Times New Roman" w:hAnsi="Times New Roman"/>
                <w:color w:val="auto"/>
                <w:highlight w:val="none"/>
                <w:lang w:eastAsia="zh-CN"/>
              </w:rPr>
              <w:t>“附录</w:t>
            </w:r>
            <w:r>
              <w:rPr>
                <w:rFonts w:hint="eastAsia" w:ascii="Times New Roman" w:hAnsi="Times New Roman"/>
                <w:color w:val="auto"/>
                <w:highlight w:val="none"/>
                <w:lang w:val="en-US" w:eastAsia="zh-CN"/>
              </w:rPr>
              <w:t>B 重点关注的危险物质及临界量</w:t>
            </w:r>
            <w:r>
              <w:rPr>
                <w:rFonts w:hint="eastAsia" w:ascii="Times New Roman" w:hAnsi="Times New Roman"/>
                <w:color w:val="auto"/>
                <w:highlight w:val="none"/>
                <w:lang w:eastAsia="zh-CN"/>
              </w:rPr>
              <w:t>”</w:t>
            </w:r>
            <w:r>
              <w:rPr>
                <w:rFonts w:ascii="Times New Roman" w:hAnsi="Times New Roman"/>
                <w:color w:val="auto"/>
                <w:highlight w:val="none"/>
              </w:rPr>
              <w:t>可知，不存在易燃易爆和有毒有害物质，故环境风险潜势为</w:t>
            </w:r>
            <w:r>
              <w:rPr>
                <w:rFonts w:hint="eastAsia" w:ascii="Times New Roman" w:hAnsi="Times New Roman"/>
                <w:color w:val="auto"/>
                <w:highlight w:val="none"/>
              </w:rPr>
              <w:t>Ⅰ</w:t>
            </w:r>
            <w:r>
              <w:rPr>
                <w:rFonts w:ascii="Times New Roman" w:hAnsi="Times New Roman"/>
                <w:color w:val="auto"/>
                <w:highlight w:val="none"/>
              </w:rPr>
              <w:t>。</w:t>
            </w:r>
          </w:p>
          <w:p w14:paraId="4F30056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8.2环境风险评价</w:t>
            </w:r>
          </w:p>
          <w:p w14:paraId="4B569947">
            <w:pPr>
              <w:pStyle w:val="7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（1）风险</w:t>
            </w:r>
            <w:r>
              <w:rPr>
                <w:rFonts w:hint="eastAsia" w:ascii="Times New Roman" w:hAnsi="Times New Roman" w:eastAsia="宋体" w:cs="Times New Roman"/>
                <w:color w:val="auto"/>
                <w:sz w:val="24"/>
                <w:szCs w:val="24"/>
                <w:highlight w:val="none"/>
                <w:lang w:eastAsia="zh-CN"/>
              </w:rPr>
              <w:t>物质识别</w:t>
            </w:r>
          </w:p>
          <w:p w14:paraId="7146BD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eastAsia" w:ascii="Times New Roman" w:hAnsi="Times New Roman" w:cs="Times New Roman"/>
                <w:color w:val="auto"/>
                <w:sz w:val="24"/>
                <w:szCs w:val="24"/>
                <w:lang w:eastAsia="zh-CN"/>
              </w:rPr>
              <w:t>车辆在加油站加油，危险废物仅为</w:t>
            </w:r>
            <w:r>
              <w:rPr>
                <w:rFonts w:hint="default" w:ascii="Times New Roman" w:hAnsi="Times New Roman" w:eastAsia="宋体" w:cs="Times New Roman"/>
                <w:color w:val="auto"/>
                <w:sz w:val="24"/>
                <w:szCs w:val="24"/>
              </w:rPr>
              <w:t>废机油，属于《建设项目环境风险评价技术导则》（HJ169-2018）附录B中的</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381 油类物质（矿物油类，如石油、汽油、柴油等；生物柴油等）</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w:t>
            </w:r>
          </w:p>
          <w:p w14:paraId="1F4E97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建设项目环境风险评价技术导则》（HJ/T169-2018）环境风险潜势初判根据危险物质及工艺系统危险性（P）和环境敏感程度（E）判定，建设项目环境风险潜势划分见下表。其中P根据危险物质数量与临界量的比值（Q）和所属行业及生产工艺特点（M）判定。</w:t>
            </w:r>
          </w:p>
          <w:p w14:paraId="59A645A0">
            <w:pPr>
              <w:keepNext w:val="0"/>
              <w:keepLines w:val="0"/>
              <w:pageBreakBefore w:val="0"/>
              <w:kinsoku/>
              <w:wordWrap/>
              <w:overflowPunct/>
              <w:topLinePunct w:val="0"/>
              <w:autoSpaceDE/>
              <w:autoSpaceDN/>
              <w:bidi w:val="0"/>
              <w:adjustRightInd/>
              <w:snapToGrid/>
              <w:spacing w:line="240" w:lineRule="auto"/>
              <w:ind w:firstLine="422" w:firstLineChars="20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 4-</w:t>
            </w:r>
            <w:r>
              <w:rPr>
                <w:rFonts w:hint="eastAsia" w:ascii="Times New Roman" w:hAnsi="Times New Roman" w:cs="Times New Roman"/>
                <w:b/>
                <w:bCs/>
                <w:color w:val="auto"/>
                <w:sz w:val="21"/>
                <w:szCs w:val="21"/>
                <w:lang w:val="en-US" w:eastAsia="zh-CN"/>
              </w:rPr>
              <w:t>1</w:t>
            </w:r>
            <w:r>
              <w:rPr>
                <w:rFonts w:hint="eastAsia"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建设项目环境风险潜势划分</w:t>
            </w:r>
          </w:p>
          <w:tbl>
            <w:tblPr>
              <w:tblStyle w:val="32"/>
              <w:tblW w:w="4999"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93"/>
              <w:gridCol w:w="1368"/>
              <w:gridCol w:w="1429"/>
              <w:gridCol w:w="1429"/>
              <w:gridCol w:w="1493"/>
            </w:tblGrid>
            <w:tr w14:paraId="0C1705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518" w:type="pct"/>
                  <w:vMerge w:val="restart"/>
                  <w:tcBorders>
                    <w:top w:val="single" w:color="auto" w:sz="12" w:space="0"/>
                  </w:tcBorders>
                  <w:vAlign w:val="center"/>
                </w:tcPr>
                <w:p w14:paraId="61E9A3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环境敏感程度（E）</w:t>
                  </w:r>
                </w:p>
              </w:tc>
              <w:tc>
                <w:tcPr>
                  <w:tcW w:w="3481" w:type="pct"/>
                  <w:gridSpan w:val="4"/>
                  <w:tcBorders>
                    <w:top w:val="single" w:color="auto" w:sz="12" w:space="0"/>
                  </w:tcBorders>
                  <w:vAlign w:val="center"/>
                </w:tcPr>
                <w:p w14:paraId="4D5866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危险物质及工艺系统危险性（P）</w:t>
                  </w:r>
                </w:p>
              </w:tc>
            </w:tr>
            <w:tr w14:paraId="2CC48A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1518" w:type="pct"/>
                  <w:vMerge w:val="continue"/>
                  <w:vAlign w:val="center"/>
                </w:tcPr>
                <w:p w14:paraId="4F50A8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p>
              </w:tc>
              <w:tc>
                <w:tcPr>
                  <w:tcW w:w="833" w:type="pct"/>
                  <w:vAlign w:val="center"/>
                </w:tcPr>
                <w:p w14:paraId="30CE4D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极高危害（P1）</w:t>
                  </w:r>
                </w:p>
              </w:tc>
              <w:tc>
                <w:tcPr>
                  <w:tcW w:w="870" w:type="pct"/>
                  <w:vAlign w:val="center"/>
                </w:tcPr>
                <w:p w14:paraId="7B0036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高度危害（P2）</w:t>
                  </w:r>
                </w:p>
              </w:tc>
              <w:tc>
                <w:tcPr>
                  <w:tcW w:w="870" w:type="pct"/>
                  <w:vAlign w:val="center"/>
                </w:tcPr>
                <w:p w14:paraId="272A42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中度危害（P3）</w:t>
                  </w:r>
                </w:p>
              </w:tc>
              <w:tc>
                <w:tcPr>
                  <w:tcW w:w="908" w:type="pct"/>
                  <w:vAlign w:val="center"/>
                </w:tcPr>
                <w:p w14:paraId="30A24B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轻度危害（P4）</w:t>
                  </w:r>
                </w:p>
              </w:tc>
            </w:tr>
            <w:tr w14:paraId="5F9C2A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18" w:type="pct"/>
                  <w:vAlign w:val="center"/>
                </w:tcPr>
                <w:p w14:paraId="62D745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环境高度敏感区（E1）</w:t>
                  </w:r>
                </w:p>
              </w:tc>
              <w:tc>
                <w:tcPr>
                  <w:tcW w:w="833" w:type="pct"/>
                  <w:vAlign w:val="center"/>
                </w:tcPr>
                <w:p w14:paraId="2D7D8B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Ⅳ+</w:t>
                  </w:r>
                </w:p>
              </w:tc>
              <w:tc>
                <w:tcPr>
                  <w:tcW w:w="870" w:type="pct"/>
                  <w:vAlign w:val="center"/>
                </w:tcPr>
                <w:p w14:paraId="07D3C5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Ⅳ</w:t>
                  </w:r>
                </w:p>
              </w:tc>
              <w:tc>
                <w:tcPr>
                  <w:tcW w:w="870" w:type="pct"/>
                  <w:vAlign w:val="center"/>
                </w:tcPr>
                <w:p w14:paraId="0D2CA7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w:t>
                  </w:r>
                </w:p>
              </w:tc>
              <w:tc>
                <w:tcPr>
                  <w:tcW w:w="908" w:type="pct"/>
                  <w:vAlign w:val="center"/>
                </w:tcPr>
                <w:p w14:paraId="5A35D1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w:t>
                  </w:r>
                </w:p>
              </w:tc>
            </w:tr>
            <w:tr w14:paraId="4BE695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1518" w:type="pct"/>
                  <w:vAlign w:val="center"/>
                </w:tcPr>
                <w:p w14:paraId="14C4A6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环境高度敏感区（E2）</w:t>
                  </w:r>
                </w:p>
              </w:tc>
              <w:tc>
                <w:tcPr>
                  <w:tcW w:w="833" w:type="pct"/>
                  <w:vAlign w:val="center"/>
                </w:tcPr>
                <w:p w14:paraId="13ED6A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Ⅳ</w:t>
                  </w:r>
                </w:p>
              </w:tc>
              <w:tc>
                <w:tcPr>
                  <w:tcW w:w="870" w:type="pct"/>
                  <w:vAlign w:val="center"/>
                </w:tcPr>
                <w:p w14:paraId="664EC6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w:t>
                  </w:r>
                </w:p>
              </w:tc>
              <w:tc>
                <w:tcPr>
                  <w:tcW w:w="870" w:type="pct"/>
                  <w:vAlign w:val="center"/>
                </w:tcPr>
                <w:p w14:paraId="39ABF4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w:t>
                  </w:r>
                </w:p>
              </w:tc>
              <w:tc>
                <w:tcPr>
                  <w:tcW w:w="908" w:type="pct"/>
                  <w:vAlign w:val="center"/>
                </w:tcPr>
                <w:p w14:paraId="24A986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Ⅱ</w:t>
                  </w:r>
                </w:p>
              </w:tc>
            </w:tr>
            <w:tr w14:paraId="10F246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1518" w:type="pct"/>
                  <w:vAlign w:val="center"/>
                </w:tcPr>
                <w:p w14:paraId="796600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环境高度敏感区（E3）</w:t>
                  </w:r>
                </w:p>
              </w:tc>
              <w:tc>
                <w:tcPr>
                  <w:tcW w:w="833" w:type="pct"/>
                  <w:vAlign w:val="center"/>
                </w:tcPr>
                <w:p w14:paraId="223DEF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w:t>
                  </w:r>
                </w:p>
              </w:tc>
              <w:tc>
                <w:tcPr>
                  <w:tcW w:w="870" w:type="pct"/>
                  <w:vAlign w:val="center"/>
                </w:tcPr>
                <w:p w14:paraId="475DA6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w:t>
                  </w:r>
                </w:p>
              </w:tc>
              <w:tc>
                <w:tcPr>
                  <w:tcW w:w="870" w:type="pct"/>
                  <w:vAlign w:val="center"/>
                </w:tcPr>
                <w:p w14:paraId="5B477F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Ⅱ</w:t>
                  </w:r>
                </w:p>
              </w:tc>
              <w:tc>
                <w:tcPr>
                  <w:tcW w:w="908" w:type="pct"/>
                  <w:vAlign w:val="center"/>
                </w:tcPr>
                <w:p w14:paraId="445023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Ⅰ</w:t>
                  </w:r>
                </w:p>
              </w:tc>
            </w:tr>
            <w:tr w14:paraId="7D8AEC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5000" w:type="pct"/>
                  <w:gridSpan w:val="5"/>
                  <w:tcBorders>
                    <w:bottom w:val="single" w:color="auto" w:sz="12" w:space="0"/>
                  </w:tcBorders>
                  <w:vAlign w:val="center"/>
                </w:tcPr>
                <w:p w14:paraId="7EEFC4C8">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注：Ⅳ+为极高环境风险</w:t>
                  </w:r>
                </w:p>
              </w:tc>
            </w:tr>
          </w:tbl>
          <w:p w14:paraId="4D3D85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危险物质数量与临界量比值 </w:t>
            </w:r>
          </w:p>
          <w:p w14:paraId="2CA4667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m:oMathPara>
              <m:oMath>
                <m:r>
                  <m:rPr>
                    <m:sty m:val="p"/>
                  </m:rPr>
                  <w:rPr>
                    <w:rFonts w:hint="default" w:ascii="DejaVu Math TeX Gyre" w:hAnsi="DejaVu Math TeX Gyre" w:eastAsia="宋体" w:cs="Times New Roman"/>
                    <w:color w:val="auto"/>
                    <w:sz w:val="24"/>
                    <w:szCs w:val="24"/>
                  </w:rPr>
                  <m:t>Q=</m:t>
                </m:r>
                <m:f>
                  <m:fPr>
                    <m:ctrlPr>
                      <w:rPr>
                        <w:rFonts w:hint="default" w:ascii="DejaVu Math TeX Gyre" w:hAnsi="DejaVu Math TeX Gyre" w:eastAsia="宋体" w:cs="Times New Roman"/>
                        <w:color w:val="auto"/>
                        <w:sz w:val="24"/>
                        <w:szCs w:val="24"/>
                      </w:rPr>
                    </m:ctrlPr>
                  </m:fPr>
                  <m:num>
                    <m:sSub>
                      <m:sSubPr>
                        <m:ctrlPr>
                          <w:rPr>
                            <w:rFonts w:hint="default" w:ascii="DejaVu Math TeX Gyre" w:hAnsi="DejaVu Math TeX Gyre" w:eastAsia="宋体" w:cs="Times New Roman"/>
                            <w:color w:val="auto"/>
                            <w:sz w:val="24"/>
                            <w:szCs w:val="24"/>
                          </w:rPr>
                        </m:ctrlPr>
                      </m:sSubPr>
                      <m:e>
                        <m:r>
                          <m:rPr>
                            <m:sty m:val="p"/>
                          </m:rPr>
                          <w:rPr>
                            <w:rFonts w:hint="default" w:ascii="DejaVu Math TeX Gyre" w:hAnsi="DejaVu Math TeX Gyre" w:eastAsia="宋体" w:cs="Times New Roman"/>
                            <w:color w:val="auto"/>
                            <w:sz w:val="24"/>
                            <w:szCs w:val="24"/>
                          </w:rPr>
                          <m:t>q</m:t>
                        </m:r>
                        <m:ctrlPr>
                          <w:rPr>
                            <w:rFonts w:hint="default" w:ascii="DejaVu Math TeX Gyre" w:hAnsi="DejaVu Math TeX Gyre" w:eastAsia="宋体" w:cs="Times New Roman"/>
                            <w:color w:val="auto"/>
                            <w:sz w:val="24"/>
                            <w:szCs w:val="24"/>
                          </w:rPr>
                        </m:ctrlPr>
                      </m:e>
                      <m:sub>
                        <m:r>
                          <m:rPr>
                            <m:sty m:val="p"/>
                          </m:rPr>
                          <w:rPr>
                            <w:rFonts w:hint="default" w:ascii="DejaVu Math TeX Gyre" w:hAnsi="DejaVu Math TeX Gyre" w:eastAsia="宋体" w:cs="Times New Roman"/>
                            <w:color w:val="auto"/>
                            <w:sz w:val="24"/>
                            <w:szCs w:val="24"/>
                          </w:rPr>
                          <m:t>1</m:t>
                        </m:r>
                        <m:ctrlPr>
                          <w:rPr>
                            <w:rFonts w:hint="default" w:ascii="DejaVu Math TeX Gyre" w:hAnsi="DejaVu Math TeX Gyre" w:eastAsia="宋体" w:cs="Times New Roman"/>
                            <w:color w:val="auto"/>
                            <w:sz w:val="24"/>
                            <w:szCs w:val="24"/>
                          </w:rPr>
                        </m:ctrlPr>
                      </m:sub>
                    </m:sSub>
                    <m:ctrlPr>
                      <w:rPr>
                        <w:rFonts w:hint="default" w:ascii="DejaVu Math TeX Gyre" w:hAnsi="DejaVu Math TeX Gyre" w:eastAsia="宋体" w:cs="Times New Roman"/>
                        <w:color w:val="auto"/>
                        <w:sz w:val="24"/>
                        <w:szCs w:val="24"/>
                      </w:rPr>
                    </m:ctrlPr>
                  </m:num>
                  <m:den>
                    <m:sSub>
                      <m:sSubPr>
                        <m:ctrlPr>
                          <w:rPr>
                            <w:rFonts w:hint="default" w:ascii="DejaVu Math TeX Gyre" w:hAnsi="DejaVu Math TeX Gyre" w:eastAsia="宋体" w:cs="Times New Roman"/>
                            <w:color w:val="auto"/>
                            <w:sz w:val="24"/>
                            <w:szCs w:val="24"/>
                          </w:rPr>
                        </m:ctrlPr>
                      </m:sSubPr>
                      <m:e>
                        <m:r>
                          <m:rPr>
                            <m:sty m:val="p"/>
                          </m:rPr>
                          <w:rPr>
                            <w:rFonts w:hint="default" w:ascii="DejaVu Math TeX Gyre" w:hAnsi="DejaVu Math TeX Gyre" w:eastAsia="宋体" w:cs="Times New Roman"/>
                            <w:color w:val="auto"/>
                            <w:sz w:val="24"/>
                            <w:szCs w:val="24"/>
                          </w:rPr>
                          <m:t>Q</m:t>
                        </m:r>
                        <m:ctrlPr>
                          <w:rPr>
                            <w:rFonts w:hint="default" w:ascii="DejaVu Math TeX Gyre" w:hAnsi="DejaVu Math TeX Gyre" w:eastAsia="宋体" w:cs="Times New Roman"/>
                            <w:color w:val="auto"/>
                            <w:sz w:val="24"/>
                            <w:szCs w:val="24"/>
                          </w:rPr>
                        </m:ctrlPr>
                      </m:e>
                      <m:sub>
                        <m:r>
                          <m:rPr>
                            <m:sty m:val="p"/>
                          </m:rPr>
                          <w:rPr>
                            <w:rFonts w:hint="default" w:ascii="DejaVu Math TeX Gyre" w:hAnsi="DejaVu Math TeX Gyre" w:eastAsia="宋体" w:cs="Times New Roman"/>
                            <w:color w:val="auto"/>
                            <w:sz w:val="24"/>
                            <w:szCs w:val="24"/>
                          </w:rPr>
                          <m:t>1</m:t>
                        </m:r>
                        <m:ctrlPr>
                          <w:rPr>
                            <w:rFonts w:hint="default" w:ascii="DejaVu Math TeX Gyre" w:hAnsi="DejaVu Math TeX Gyre" w:eastAsia="宋体" w:cs="Times New Roman"/>
                            <w:color w:val="auto"/>
                            <w:sz w:val="24"/>
                            <w:szCs w:val="24"/>
                          </w:rPr>
                        </m:ctrlPr>
                      </m:sub>
                    </m:sSub>
                    <m:ctrlPr>
                      <w:rPr>
                        <w:rFonts w:hint="default" w:ascii="DejaVu Math TeX Gyre" w:hAnsi="DejaVu Math TeX Gyre" w:eastAsia="宋体" w:cs="Times New Roman"/>
                        <w:color w:val="auto"/>
                        <w:sz w:val="24"/>
                        <w:szCs w:val="24"/>
                      </w:rPr>
                    </m:ctrlPr>
                  </m:den>
                </m:f>
                <m:r>
                  <m:rPr>
                    <m:sty m:val="p"/>
                  </m:rPr>
                  <w:rPr>
                    <w:rFonts w:hint="default" w:ascii="DejaVu Math TeX Gyre" w:hAnsi="DejaVu Math TeX Gyre" w:eastAsia="宋体" w:cs="Times New Roman"/>
                    <w:color w:val="auto"/>
                    <w:sz w:val="24"/>
                    <w:szCs w:val="24"/>
                  </w:rPr>
                  <m:t>+</m:t>
                </m:r>
                <m:f>
                  <m:fPr>
                    <m:ctrlPr>
                      <w:rPr>
                        <w:rFonts w:hint="default" w:ascii="DejaVu Math TeX Gyre" w:hAnsi="DejaVu Math TeX Gyre" w:eastAsia="宋体" w:cs="Times New Roman"/>
                        <w:color w:val="auto"/>
                        <w:sz w:val="24"/>
                        <w:szCs w:val="24"/>
                      </w:rPr>
                    </m:ctrlPr>
                  </m:fPr>
                  <m:num>
                    <m:sSub>
                      <m:sSubPr>
                        <m:ctrlPr>
                          <w:rPr>
                            <w:rFonts w:hint="default" w:ascii="DejaVu Math TeX Gyre" w:hAnsi="DejaVu Math TeX Gyre" w:eastAsia="宋体" w:cs="Times New Roman"/>
                            <w:color w:val="auto"/>
                            <w:sz w:val="24"/>
                            <w:szCs w:val="24"/>
                          </w:rPr>
                        </m:ctrlPr>
                      </m:sSubPr>
                      <m:e>
                        <m:r>
                          <m:rPr>
                            <m:sty m:val="p"/>
                          </m:rPr>
                          <w:rPr>
                            <w:rFonts w:hint="default" w:ascii="DejaVu Math TeX Gyre" w:hAnsi="DejaVu Math TeX Gyre" w:eastAsia="宋体" w:cs="Times New Roman"/>
                            <w:color w:val="auto"/>
                            <w:sz w:val="24"/>
                            <w:szCs w:val="24"/>
                          </w:rPr>
                          <m:t>q</m:t>
                        </m:r>
                        <m:ctrlPr>
                          <w:rPr>
                            <w:rFonts w:hint="default" w:ascii="DejaVu Math TeX Gyre" w:hAnsi="DejaVu Math TeX Gyre" w:eastAsia="宋体" w:cs="Times New Roman"/>
                            <w:color w:val="auto"/>
                            <w:sz w:val="24"/>
                            <w:szCs w:val="24"/>
                          </w:rPr>
                        </m:ctrlPr>
                      </m:e>
                      <m:sub>
                        <m:r>
                          <m:rPr>
                            <m:sty m:val="p"/>
                          </m:rPr>
                          <w:rPr>
                            <w:rFonts w:hint="default" w:ascii="DejaVu Math TeX Gyre" w:hAnsi="DejaVu Math TeX Gyre" w:eastAsia="宋体" w:cs="Times New Roman"/>
                            <w:color w:val="auto"/>
                            <w:sz w:val="24"/>
                            <w:szCs w:val="24"/>
                          </w:rPr>
                          <m:t>2</m:t>
                        </m:r>
                        <m:ctrlPr>
                          <w:rPr>
                            <w:rFonts w:hint="default" w:ascii="DejaVu Math TeX Gyre" w:hAnsi="DejaVu Math TeX Gyre" w:eastAsia="宋体" w:cs="Times New Roman"/>
                            <w:color w:val="auto"/>
                            <w:sz w:val="24"/>
                            <w:szCs w:val="24"/>
                          </w:rPr>
                        </m:ctrlPr>
                      </m:sub>
                    </m:sSub>
                    <m:ctrlPr>
                      <w:rPr>
                        <w:rFonts w:hint="default" w:ascii="DejaVu Math TeX Gyre" w:hAnsi="DejaVu Math TeX Gyre" w:eastAsia="宋体" w:cs="Times New Roman"/>
                        <w:color w:val="auto"/>
                        <w:sz w:val="24"/>
                        <w:szCs w:val="24"/>
                      </w:rPr>
                    </m:ctrlPr>
                  </m:num>
                  <m:den>
                    <m:sSub>
                      <m:sSubPr>
                        <m:ctrlPr>
                          <w:rPr>
                            <w:rFonts w:hint="default" w:ascii="DejaVu Math TeX Gyre" w:hAnsi="DejaVu Math TeX Gyre" w:eastAsia="宋体" w:cs="Times New Roman"/>
                            <w:color w:val="auto"/>
                            <w:sz w:val="24"/>
                            <w:szCs w:val="24"/>
                          </w:rPr>
                        </m:ctrlPr>
                      </m:sSubPr>
                      <m:e>
                        <m:r>
                          <m:rPr>
                            <m:sty m:val="p"/>
                          </m:rPr>
                          <w:rPr>
                            <w:rFonts w:hint="default" w:ascii="DejaVu Math TeX Gyre" w:hAnsi="DejaVu Math TeX Gyre" w:eastAsia="宋体" w:cs="Times New Roman"/>
                            <w:color w:val="auto"/>
                            <w:sz w:val="24"/>
                            <w:szCs w:val="24"/>
                          </w:rPr>
                          <m:t>Q</m:t>
                        </m:r>
                        <m:ctrlPr>
                          <w:rPr>
                            <w:rFonts w:hint="default" w:ascii="DejaVu Math TeX Gyre" w:hAnsi="DejaVu Math TeX Gyre" w:eastAsia="宋体" w:cs="Times New Roman"/>
                            <w:color w:val="auto"/>
                            <w:sz w:val="24"/>
                            <w:szCs w:val="24"/>
                          </w:rPr>
                        </m:ctrlPr>
                      </m:e>
                      <m:sub>
                        <m:r>
                          <m:rPr>
                            <m:sty m:val="p"/>
                          </m:rPr>
                          <w:rPr>
                            <w:rFonts w:hint="default" w:ascii="DejaVu Math TeX Gyre" w:hAnsi="DejaVu Math TeX Gyre" w:eastAsia="宋体" w:cs="Times New Roman"/>
                            <w:color w:val="auto"/>
                            <w:sz w:val="24"/>
                            <w:szCs w:val="24"/>
                          </w:rPr>
                          <m:t>2</m:t>
                        </m:r>
                        <m:ctrlPr>
                          <w:rPr>
                            <w:rFonts w:hint="default" w:ascii="DejaVu Math TeX Gyre" w:hAnsi="DejaVu Math TeX Gyre" w:eastAsia="宋体" w:cs="Times New Roman"/>
                            <w:color w:val="auto"/>
                            <w:sz w:val="24"/>
                            <w:szCs w:val="24"/>
                          </w:rPr>
                        </m:ctrlPr>
                      </m:sub>
                    </m:sSub>
                    <m:ctrlPr>
                      <w:rPr>
                        <w:rFonts w:hint="default" w:ascii="DejaVu Math TeX Gyre" w:hAnsi="DejaVu Math TeX Gyre" w:eastAsia="宋体" w:cs="Times New Roman"/>
                        <w:color w:val="auto"/>
                        <w:sz w:val="24"/>
                        <w:szCs w:val="24"/>
                      </w:rPr>
                    </m:ctrlPr>
                  </m:den>
                </m:f>
                <m:r>
                  <m:rPr>
                    <m:sty m:val="p"/>
                  </m:rPr>
                  <w:rPr>
                    <w:rFonts w:hint="default" w:ascii="DejaVu Math TeX Gyre" w:hAnsi="DejaVu Math TeX Gyre" w:eastAsia="宋体" w:cs="Times New Roman"/>
                    <w:color w:val="auto"/>
                    <w:sz w:val="24"/>
                    <w:szCs w:val="24"/>
                  </w:rPr>
                  <m:t>+...+</m:t>
                </m:r>
                <m:f>
                  <m:fPr>
                    <m:ctrlPr>
                      <w:rPr>
                        <w:rFonts w:hint="default" w:ascii="DejaVu Math TeX Gyre" w:hAnsi="DejaVu Math TeX Gyre" w:eastAsia="宋体" w:cs="Times New Roman"/>
                        <w:color w:val="auto"/>
                        <w:sz w:val="24"/>
                        <w:szCs w:val="24"/>
                      </w:rPr>
                    </m:ctrlPr>
                  </m:fPr>
                  <m:num>
                    <m:sSub>
                      <m:sSubPr>
                        <m:ctrlPr>
                          <w:rPr>
                            <w:rFonts w:hint="default" w:ascii="DejaVu Math TeX Gyre" w:hAnsi="DejaVu Math TeX Gyre" w:eastAsia="宋体" w:cs="Times New Roman"/>
                            <w:color w:val="auto"/>
                            <w:sz w:val="24"/>
                            <w:szCs w:val="24"/>
                          </w:rPr>
                        </m:ctrlPr>
                      </m:sSubPr>
                      <m:e>
                        <m:r>
                          <m:rPr>
                            <m:sty m:val="p"/>
                          </m:rPr>
                          <w:rPr>
                            <w:rFonts w:hint="default" w:ascii="DejaVu Math TeX Gyre" w:hAnsi="DejaVu Math TeX Gyre" w:eastAsia="宋体" w:cs="Times New Roman"/>
                            <w:color w:val="auto"/>
                            <w:sz w:val="24"/>
                            <w:szCs w:val="24"/>
                          </w:rPr>
                          <m:t>q</m:t>
                        </m:r>
                        <m:ctrlPr>
                          <w:rPr>
                            <w:rFonts w:hint="default" w:ascii="DejaVu Math TeX Gyre" w:hAnsi="DejaVu Math TeX Gyre" w:eastAsia="宋体" w:cs="Times New Roman"/>
                            <w:color w:val="auto"/>
                            <w:sz w:val="24"/>
                            <w:szCs w:val="24"/>
                          </w:rPr>
                        </m:ctrlPr>
                      </m:e>
                      <m:sub>
                        <m:r>
                          <m:rPr>
                            <m:sty m:val="p"/>
                          </m:rPr>
                          <w:rPr>
                            <w:rFonts w:hint="default" w:ascii="DejaVu Math TeX Gyre" w:hAnsi="DejaVu Math TeX Gyre" w:eastAsia="宋体" w:cs="Times New Roman"/>
                            <w:color w:val="auto"/>
                            <w:sz w:val="24"/>
                            <w:szCs w:val="24"/>
                          </w:rPr>
                          <m:t>n</m:t>
                        </m:r>
                        <m:ctrlPr>
                          <w:rPr>
                            <w:rFonts w:hint="default" w:ascii="DejaVu Math TeX Gyre" w:hAnsi="DejaVu Math TeX Gyre" w:eastAsia="宋体" w:cs="Times New Roman"/>
                            <w:color w:val="auto"/>
                            <w:sz w:val="24"/>
                            <w:szCs w:val="24"/>
                          </w:rPr>
                        </m:ctrlPr>
                      </m:sub>
                    </m:sSub>
                    <m:ctrlPr>
                      <w:rPr>
                        <w:rFonts w:hint="default" w:ascii="DejaVu Math TeX Gyre" w:hAnsi="DejaVu Math TeX Gyre" w:eastAsia="宋体" w:cs="Times New Roman"/>
                        <w:color w:val="auto"/>
                        <w:sz w:val="24"/>
                        <w:szCs w:val="24"/>
                      </w:rPr>
                    </m:ctrlPr>
                  </m:num>
                  <m:den>
                    <m:sSub>
                      <m:sSubPr>
                        <m:ctrlPr>
                          <w:rPr>
                            <w:rFonts w:hint="default" w:ascii="DejaVu Math TeX Gyre" w:hAnsi="DejaVu Math TeX Gyre" w:eastAsia="宋体" w:cs="Times New Roman"/>
                            <w:color w:val="auto"/>
                            <w:sz w:val="24"/>
                            <w:szCs w:val="24"/>
                          </w:rPr>
                        </m:ctrlPr>
                      </m:sSubPr>
                      <m:e>
                        <m:r>
                          <m:rPr>
                            <m:sty m:val="p"/>
                          </m:rPr>
                          <w:rPr>
                            <w:rFonts w:hint="default" w:ascii="DejaVu Math TeX Gyre" w:hAnsi="DejaVu Math TeX Gyre" w:eastAsia="宋体" w:cs="Times New Roman"/>
                            <w:color w:val="auto"/>
                            <w:sz w:val="24"/>
                            <w:szCs w:val="24"/>
                          </w:rPr>
                          <m:t>Q</m:t>
                        </m:r>
                        <m:ctrlPr>
                          <w:rPr>
                            <w:rFonts w:hint="default" w:ascii="DejaVu Math TeX Gyre" w:hAnsi="DejaVu Math TeX Gyre" w:eastAsia="宋体" w:cs="Times New Roman"/>
                            <w:color w:val="auto"/>
                            <w:sz w:val="24"/>
                            <w:szCs w:val="24"/>
                          </w:rPr>
                        </m:ctrlPr>
                      </m:e>
                      <m:sub>
                        <m:r>
                          <m:rPr>
                            <m:sty m:val="p"/>
                          </m:rPr>
                          <w:rPr>
                            <w:rFonts w:hint="default" w:ascii="DejaVu Math TeX Gyre" w:hAnsi="DejaVu Math TeX Gyre" w:eastAsia="宋体" w:cs="Times New Roman"/>
                            <w:color w:val="auto"/>
                            <w:sz w:val="24"/>
                            <w:szCs w:val="24"/>
                          </w:rPr>
                          <m:t>n</m:t>
                        </m:r>
                        <m:ctrlPr>
                          <w:rPr>
                            <w:rFonts w:hint="default" w:ascii="DejaVu Math TeX Gyre" w:hAnsi="DejaVu Math TeX Gyre" w:eastAsia="宋体" w:cs="Times New Roman"/>
                            <w:color w:val="auto"/>
                            <w:sz w:val="24"/>
                            <w:szCs w:val="24"/>
                          </w:rPr>
                        </m:ctrlPr>
                      </m:sub>
                    </m:sSub>
                    <m:ctrlPr>
                      <w:rPr>
                        <w:rFonts w:hint="default" w:ascii="DejaVu Math TeX Gyre" w:hAnsi="DejaVu Math TeX Gyre" w:eastAsia="宋体" w:cs="Times New Roman"/>
                        <w:color w:val="auto"/>
                        <w:sz w:val="24"/>
                        <w:szCs w:val="24"/>
                      </w:rPr>
                    </m:ctrlPr>
                  </m:den>
                </m:f>
              </m:oMath>
            </m:oMathPara>
          </w:p>
          <w:p w14:paraId="7F7A542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式中：q1，q2，...，qn——每种危险物质的最大存在总量，t； </w:t>
            </w:r>
          </w:p>
          <w:p w14:paraId="3243254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Q1，Q2，...，Qn——每种危险物质的临界量，t。</w:t>
            </w:r>
          </w:p>
          <w:p w14:paraId="5C18DDE0">
            <w:pPr>
              <w:keepNext w:val="0"/>
              <w:keepLines w:val="0"/>
              <w:pageBreakBefore w:val="0"/>
              <w:kinsoku/>
              <w:wordWrap/>
              <w:overflowPunct/>
              <w:topLinePunct w:val="0"/>
              <w:autoSpaceDE/>
              <w:autoSpaceDN/>
              <w:bidi w:val="0"/>
              <w:adjustRightInd/>
              <w:snapToGrid/>
              <w:spacing w:line="240" w:lineRule="auto"/>
              <w:ind w:firstLine="422" w:firstLineChars="20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eastAsia" w:ascii="Times New Roman" w:hAnsi="Times New Roman" w:cs="Times New Roman"/>
                <w:b/>
                <w:bCs/>
                <w:color w:val="auto"/>
                <w:sz w:val="21"/>
                <w:szCs w:val="21"/>
                <w:lang w:val="en-US" w:eastAsia="zh-CN"/>
              </w:rPr>
              <w:t>1</w:t>
            </w:r>
            <w:r>
              <w:rPr>
                <w:rFonts w:hint="eastAsia" w:cs="Times New Roman"/>
                <w:b/>
                <w:bCs/>
                <w:color w:val="auto"/>
                <w:sz w:val="21"/>
                <w:szCs w:val="21"/>
                <w:lang w:val="en-US" w:eastAsia="zh-CN"/>
              </w:rPr>
              <w:t>4</w:t>
            </w:r>
            <w:r>
              <w:rPr>
                <w:rFonts w:hint="default" w:ascii="Times New Roman" w:hAnsi="Times New Roman" w:eastAsia="宋体" w:cs="Times New Roman"/>
                <w:b/>
                <w:bCs/>
                <w:color w:val="auto"/>
                <w:sz w:val="21"/>
                <w:szCs w:val="21"/>
              </w:rPr>
              <w:t xml:space="preserve"> 建设项目Q值确定表</w:t>
            </w:r>
          </w:p>
          <w:tbl>
            <w:tblPr>
              <w:tblStyle w:val="32"/>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328"/>
              <w:gridCol w:w="1080"/>
              <w:gridCol w:w="1279"/>
              <w:gridCol w:w="1112"/>
              <w:gridCol w:w="1138"/>
              <w:gridCol w:w="1441"/>
            </w:tblGrid>
            <w:tr w14:paraId="55126E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712" w:type="dxa"/>
                  <w:tcBorders>
                    <w:top w:val="single" w:color="auto" w:sz="12" w:space="0"/>
                  </w:tcBorders>
                  <w:vAlign w:val="center"/>
                </w:tcPr>
                <w:p w14:paraId="550025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328" w:type="dxa"/>
                  <w:tcBorders>
                    <w:top w:val="single" w:color="auto" w:sz="12" w:space="0"/>
                  </w:tcBorders>
                  <w:vAlign w:val="center"/>
                </w:tcPr>
                <w:p w14:paraId="6216D1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危险物质</w:t>
                  </w:r>
                </w:p>
                <w:p w14:paraId="31E95B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1080" w:type="dxa"/>
                  <w:tcBorders>
                    <w:top w:val="single" w:color="auto" w:sz="12" w:space="0"/>
                  </w:tcBorders>
                  <w:vAlign w:val="center"/>
                </w:tcPr>
                <w:p w14:paraId="1AD1C6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CAS号</w:t>
                  </w:r>
                </w:p>
              </w:tc>
              <w:tc>
                <w:tcPr>
                  <w:tcW w:w="1279" w:type="dxa"/>
                  <w:tcBorders>
                    <w:top w:val="single" w:color="auto" w:sz="12" w:space="0"/>
                  </w:tcBorders>
                  <w:vAlign w:val="center"/>
                </w:tcPr>
                <w:p w14:paraId="2187C4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最大存量在总量qn/t</w:t>
                  </w:r>
                </w:p>
              </w:tc>
              <w:tc>
                <w:tcPr>
                  <w:tcW w:w="1112" w:type="dxa"/>
                  <w:tcBorders>
                    <w:top w:val="single" w:color="auto" w:sz="12" w:space="0"/>
                  </w:tcBorders>
                  <w:vAlign w:val="center"/>
                </w:tcPr>
                <w:p w14:paraId="112AF0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临界量 Qn/t</w:t>
                  </w:r>
                </w:p>
              </w:tc>
              <w:tc>
                <w:tcPr>
                  <w:tcW w:w="1138" w:type="dxa"/>
                  <w:tcBorders>
                    <w:top w:val="single" w:color="auto" w:sz="12" w:space="0"/>
                  </w:tcBorders>
                  <w:vAlign w:val="center"/>
                </w:tcPr>
                <w:p w14:paraId="06C7C5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该种危险物Q值</w:t>
                  </w:r>
                </w:p>
              </w:tc>
              <w:tc>
                <w:tcPr>
                  <w:tcW w:w="1441" w:type="dxa"/>
                  <w:tcBorders>
                    <w:top w:val="single" w:color="auto" w:sz="12" w:space="0"/>
                  </w:tcBorders>
                  <w:vAlign w:val="center"/>
                </w:tcPr>
                <w:p w14:paraId="391D14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临界量依据</w:t>
                  </w:r>
                </w:p>
              </w:tc>
            </w:tr>
            <w:tr w14:paraId="1D230F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712" w:type="dxa"/>
                  <w:vAlign w:val="center"/>
                </w:tcPr>
                <w:p w14:paraId="6B29C0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328" w:type="dxa"/>
                  <w:vAlign w:val="center"/>
                </w:tcPr>
                <w:p w14:paraId="440EB5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废机油</w:t>
                  </w:r>
                </w:p>
              </w:tc>
              <w:tc>
                <w:tcPr>
                  <w:tcW w:w="1080" w:type="dxa"/>
                  <w:vAlign w:val="center"/>
                </w:tcPr>
                <w:p w14:paraId="2DDC83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279" w:type="dxa"/>
                  <w:vAlign w:val="center"/>
                </w:tcPr>
                <w:p w14:paraId="6061DB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0.2</w:t>
                  </w:r>
                </w:p>
              </w:tc>
              <w:tc>
                <w:tcPr>
                  <w:tcW w:w="1112" w:type="dxa"/>
                  <w:vAlign w:val="center"/>
                </w:tcPr>
                <w:p w14:paraId="321F58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2500</w:t>
                  </w:r>
                </w:p>
              </w:tc>
              <w:tc>
                <w:tcPr>
                  <w:tcW w:w="1138" w:type="dxa"/>
                  <w:vAlign w:val="center"/>
                </w:tcPr>
                <w:p w14:paraId="1639F0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0.0000</w:t>
                  </w:r>
                  <w:r>
                    <w:rPr>
                      <w:rFonts w:hint="eastAsia" w:ascii="Times New Roman" w:hAnsi="Times New Roman" w:cs="Times New Roman"/>
                      <w:color w:val="auto"/>
                      <w:sz w:val="21"/>
                      <w:szCs w:val="21"/>
                      <w:lang w:val="en-US" w:eastAsia="zh-CN"/>
                    </w:rPr>
                    <w:t>8</w:t>
                  </w:r>
                </w:p>
              </w:tc>
              <w:tc>
                <w:tcPr>
                  <w:tcW w:w="1441" w:type="dxa"/>
                  <w:vAlign w:val="center"/>
                </w:tcPr>
                <w:p w14:paraId="62FB6F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HJ/T169-2018 附录B序号</w:t>
                  </w:r>
                </w:p>
                <w:p w14:paraId="4C9B54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381</w:t>
                  </w:r>
                </w:p>
                <w:p w14:paraId="6518DC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52CEDF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5511" w:type="dxa"/>
                  <w:gridSpan w:val="5"/>
                  <w:tcBorders>
                    <w:bottom w:val="single" w:color="auto" w:sz="12" w:space="0"/>
                  </w:tcBorders>
                  <w:vAlign w:val="center"/>
                </w:tcPr>
                <w:p w14:paraId="6B5683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项目Q值∑</w:t>
                  </w:r>
                </w:p>
              </w:tc>
              <w:tc>
                <w:tcPr>
                  <w:tcW w:w="1138" w:type="dxa"/>
                  <w:tcBorders>
                    <w:bottom w:val="single" w:color="auto" w:sz="12" w:space="0"/>
                  </w:tcBorders>
                  <w:vAlign w:val="center"/>
                </w:tcPr>
                <w:p w14:paraId="4DA15A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0.0000</w:t>
                  </w:r>
                  <w:r>
                    <w:rPr>
                      <w:rFonts w:hint="eastAsia" w:ascii="Times New Roman" w:hAnsi="Times New Roman" w:cs="Times New Roman"/>
                      <w:color w:val="auto"/>
                      <w:sz w:val="21"/>
                      <w:szCs w:val="21"/>
                      <w:lang w:val="en-US" w:eastAsia="zh-CN"/>
                    </w:rPr>
                    <w:t>8</w:t>
                  </w:r>
                </w:p>
              </w:tc>
              <w:tc>
                <w:tcPr>
                  <w:tcW w:w="1441" w:type="dxa"/>
                  <w:tcBorders>
                    <w:bottom w:val="single" w:color="auto" w:sz="12" w:space="0"/>
                  </w:tcBorders>
                  <w:vAlign w:val="center"/>
                </w:tcPr>
                <w:p w14:paraId="1704B7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14:paraId="58E6C92F">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rPr>
              <w:t>可计算得项目Q值∑＝0.0000</w:t>
            </w:r>
            <w:r>
              <w:rPr>
                <w:rFonts w:hint="eastAsia"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，根据导则当Q&lt;1时，因此本项目的环境风险潜势为Ⅰ。因此本报告对本项目开展环境风险简单分析。</w:t>
            </w:r>
          </w:p>
          <w:p w14:paraId="2E0FEFDE">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 xml:space="preserve">）风险识别类型及内容 </w:t>
            </w:r>
          </w:p>
          <w:p w14:paraId="6F52F8AB">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本项目设置小型原料堆场。根据工程分析通过</w:t>
            </w:r>
            <w:r>
              <w:rPr>
                <w:rFonts w:hint="eastAsia" w:ascii="Times New Roman" w:hAnsi="Times New Roman"/>
                <w:color w:val="auto"/>
                <w:sz w:val="24"/>
                <w:szCs w:val="24"/>
                <w:highlight w:val="none"/>
                <w:lang w:eastAsia="zh-CN"/>
              </w:rPr>
              <w:t>跳汰</w:t>
            </w:r>
            <w:r>
              <w:rPr>
                <w:rFonts w:ascii="Times New Roman" w:hAnsi="Times New Roman"/>
                <w:color w:val="auto"/>
                <w:sz w:val="24"/>
                <w:szCs w:val="24"/>
                <w:highlight w:val="none"/>
              </w:rPr>
              <w:t>选煤</w:t>
            </w:r>
            <w:r>
              <w:rPr>
                <w:rFonts w:hint="eastAsia" w:ascii="Times New Roman" w:hAnsi="Times New Roman"/>
                <w:color w:val="auto"/>
                <w:sz w:val="24"/>
                <w:szCs w:val="24"/>
                <w:highlight w:val="none"/>
                <w:lang w:eastAsia="zh-CN"/>
              </w:rPr>
              <w:t>法</w:t>
            </w:r>
            <w:r>
              <w:rPr>
                <w:rFonts w:hint="default" w:ascii="Times New Roman" w:hAnsi="Times New Roman" w:eastAsia="宋体" w:cs="Times New Roman"/>
                <w:color w:val="auto"/>
                <w:sz w:val="24"/>
                <w:szCs w:val="24"/>
                <w:highlight w:val="none"/>
              </w:rPr>
              <w:t>最终获得产品。本项目存在原料堆场和矸石堆场自燃的危险；带式输送机的皮带及传输的煤块为可燃物，有发生火灾的危险。</w:t>
            </w:r>
          </w:p>
          <w:p w14:paraId="4E38006F">
            <w:pPr>
              <w:pStyle w:val="73"/>
              <w:spacing w:line="500" w:lineRule="exact"/>
              <w:ind w:firstLine="42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环境风险分析</w:t>
            </w:r>
          </w:p>
          <w:p w14:paraId="337736C7">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本项目矸石堆场自燃及输送皮带遇明火易发生火灾，一旦发生火灾，矸石燃烧可释放大量大气污染物质，主要污染物为颗粒物、二氧化硫、和氮氧化物，如果为不完全燃烧还会产生一氧化碳等物质。这些释放的污染物可严重影响周围大气环境，为周围的人群健康造成危害。 </w:t>
            </w:r>
          </w:p>
          <w:p w14:paraId="7444F720">
            <w:pPr>
              <w:pStyle w:val="73"/>
              <w:spacing w:line="500" w:lineRule="exact"/>
              <w:ind w:firstLine="42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（4）环境风险防范措施及应急要求</w:t>
            </w:r>
          </w:p>
          <w:p w14:paraId="419F9676">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①本项目矸石堆为小型堆场，周转周期较短，不会长期堆存，且堆存量较小，可降低矸石自燃现象发生的概率，可做到日产日清，基本不会发生自燃； </w:t>
            </w:r>
          </w:p>
          <w:p w14:paraId="65BA588D">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②矸石堆场和输送皮带定期洒水，保持一定的湿度，可有效避免自燃现象的发生；</w:t>
            </w:r>
          </w:p>
          <w:p w14:paraId="2ED869A9">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③应针对带式输送机设置速度信号、输送带跑偏信号、落煤斗堵煤信号显示或报警装臵和紧急拉绳开关安全防护设施，带式输送机的皮带应采用难燃胶带； </w:t>
            </w:r>
          </w:p>
          <w:p w14:paraId="7E00B1A4">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④厂区内应处置消火栓系统和火灾报警系统，并配备相应的灭火装置。 </w:t>
            </w:r>
          </w:p>
          <w:p w14:paraId="3043D0AB">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⑤输煤皮带应定期进行轮换、试验，及时清除输煤皮带、辅助设备、电缆排架等各处的积煤和积粉，保证输煤系统无积煤和积粉。 </w:t>
            </w:r>
          </w:p>
          <w:p w14:paraId="5F5555C4">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⑥运行人员要按规定对运行和停用输煤皮带进行全面巡视检查，当发现输煤皮带上有带火种的煤时，应立即停止上煤，并查明原因，及时消除。输煤皮带停用时，要将皮带上的煤走完以后再停，确保皮带不存煤。</w:t>
            </w:r>
          </w:p>
          <w:p w14:paraId="2D13E98A">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⑦车间及设施安排专人负责看管并日常性巡查，巡查主要包括管道、阀门等工况是否正常，是否出现漏、滴等现象。</w:t>
            </w:r>
          </w:p>
          <w:p w14:paraId="77B88C57">
            <w:pPr>
              <w:pStyle w:val="73"/>
              <w:spacing w:line="500" w:lineRule="exact"/>
              <w:ind w:firstLine="42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⑧生产过程中、使用浮选剂时工作人员要按照规定穿戴防护衣具。</w:t>
            </w:r>
          </w:p>
          <w:p w14:paraId="21F22A97">
            <w:pPr>
              <w:pStyle w:val="73"/>
              <w:spacing w:line="500" w:lineRule="exact"/>
              <w:ind w:firstLine="42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（5）分析结论</w:t>
            </w:r>
          </w:p>
          <w:p w14:paraId="74D81091">
            <w:pPr>
              <w:pStyle w:val="73"/>
              <w:spacing w:line="500" w:lineRule="exact"/>
              <w:ind w:firstLine="420"/>
              <w:rPr>
                <w:rFonts w:hint="eastAsia"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通过本次环境风险评价可以看出，建设项目在全面落实设计、建设和运行中各项环境风险防范措施</w:t>
            </w:r>
            <w:r>
              <w:rPr>
                <w:rFonts w:hint="eastAsia" w:ascii="Times New Roman" w:hAnsi="Times New Roman" w:eastAsia="宋体" w:cs="Times New Roman"/>
                <w:color w:val="auto"/>
                <w:sz w:val="24"/>
                <w:szCs w:val="24"/>
                <w:highlight w:val="none"/>
                <w:lang w:eastAsia="zh-CN"/>
              </w:rPr>
              <w:t>制定</w:t>
            </w:r>
            <w:r>
              <w:rPr>
                <w:rFonts w:hint="default" w:ascii="Times New Roman" w:hAnsi="Times New Roman" w:eastAsia="宋体" w:cs="Times New Roman"/>
                <w:color w:val="auto"/>
                <w:sz w:val="24"/>
                <w:szCs w:val="24"/>
                <w:highlight w:val="none"/>
              </w:rPr>
              <w:t>的各项环保、安全规章制度的基础上，在加强日常风险管理的条件下，项目建设从环境风险的角度考虑是可以接受的。</w:t>
            </w:r>
          </w:p>
          <w:p w14:paraId="59174947">
            <w:pPr>
              <w:keepNext w:val="0"/>
              <w:keepLines w:val="0"/>
              <w:pageBreakBefore w:val="0"/>
              <w:numPr>
                <w:ilvl w:val="0"/>
                <w:numId w:val="0"/>
              </w:numPr>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 xml:space="preserve">事故应急预案 </w:t>
            </w:r>
          </w:p>
          <w:p w14:paraId="6BD18569">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 xml:space="preserve">通过对污染事故的风险评价，建设单位和各有关部门应制定实施突发性事故应急预案，降低重大环境污染事故发生的几率，消除事故风险隐患。 </w:t>
            </w:r>
          </w:p>
          <w:p w14:paraId="6B9FA09B">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color w:val="auto"/>
                <w:kern w:val="2"/>
                <w:highlight w:val="none"/>
                <w:lang w:val="en-US" w:eastAsia="zh-CN"/>
              </w:rPr>
            </w:pPr>
            <w:r>
              <w:rPr>
                <w:rFonts w:hint="default" w:ascii="Times New Roman" w:hAnsi="Times New Roman" w:eastAsia="宋体" w:cs="Times New Roman"/>
                <w:color w:val="auto"/>
                <w:sz w:val="24"/>
                <w:highlight w:val="none"/>
                <w:lang w:val="en-US" w:eastAsia="zh-CN"/>
              </w:rPr>
              <w:t xml:space="preserve">建设单位应按照《企业事业单位突发环境事件应急预案评审工作指南（试行）》（环办应急[2018]8号）、《企业事业单位突发环境事件应急预 案备案管理办法（试行）》（环发[2015]4号）等规定和要求进行突发环境事件应急预案的编制、评估、备案和实施。 </w:t>
            </w:r>
          </w:p>
          <w:p w14:paraId="06D725BB">
            <w:pPr>
              <w:keepNext w:val="0"/>
              <w:keepLines w:val="0"/>
              <w:pageBreakBefore w:val="0"/>
              <w:numPr>
                <w:ilvl w:val="0"/>
                <w:numId w:val="0"/>
              </w:numPr>
              <w:kinsoku/>
              <w:wordWrap/>
              <w:overflowPunct/>
              <w:topLinePunct w:val="0"/>
              <w:autoSpaceDE/>
              <w:autoSpaceDN/>
              <w:bidi w:val="0"/>
              <w:adjustRightInd w:val="0"/>
              <w:snapToGrid w:val="0"/>
              <w:spacing w:line="360" w:lineRule="auto"/>
              <w:jc w:val="both"/>
              <w:textAlignment w:val="auto"/>
              <w:rPr>
                <w:rFonts w:hint="default"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kern w:val="2"/>
                <w:sz w:val="24"/>
                <w:szCs w:val="24"/>
                <w:lang w:val="en-US" w:eastAsia="zh-CN" w:bidi="ar-SA"/>
              </w:rPr>
              <w:t>9</w:t>
            </w:r>
            <w:r>
              <w:rPr>
                <w:rFonts w:hint="default" w:ascii="Times New Roman" w:hAnsi="Times New Roman" w:eastAsia="宋体" w:cs="Times New Roman"/>
                <w:b/>
                <w:bCs/>
                <w:color w:val="auto"/>
                <w:kern w:val="2"/>
                <w:sz w:val="24"/>
                <w:szCs w:val="24"/>
                <w:lang w:val="en-US" w:eastAsia="zh-CN" w:bidi="ar-SA"/>
              </w:rPr>
              <w:t>、</w:t>
            </w:r>
            <w:r>
              <w:rPr>
                <w:rFonts w:hint="default" w:ascii="Times New Roman" w:hAnsi="Times New Roman" w:cs="Times New Roman"/>
                <w:b/>
                <w:bCs/>
                <w:color w:val="auto"/>
                <w:sz w:val="24"/>
                <w:szCs w:val="24"/>
                <w:highlight w:val="none"/>
                <w:lang w:val="en-US" w:eastAsia="zh-CN"/>
              </w:rPr>
              <w:t>环境管理</w:t>
            </w:r>
          </w:p>
          <w:p w14:paraId="3ADA25BD">
            <w:pPr>
              <w:keepNext w:val="0"/>
              <w:keepLines w:val="0"/>
              <w:pageBreakBefore w:val="0"/>
              <w:numPr>
                <w:ilvl w:val="0"/>
                <w:numId w:val="0"/>
              </w:numPr>
              <w:kinsoku/>
              <w:wordWrap/>
              <w:overflowPunct/>
              <w:topLinePunct w:val="0"/>
              <w:autoSpaceDE/>
              <w:autoSpaceDN/>
              <w:bidi w:val="0"/>
              <w:adjustRightInd w:val="0"/>
              <w:snapToGrid w:val="0"/>
              <w:spacing w:line="360" w:lineRule="auto"/>
              <w:ind w:right="0" w:firstLine="480" w:firstLineChars="200"/>
              <w:jc w:val="both"/>
              <w:textAlignment w:val="auto"/>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环境管理是按照国家、省和市有关环境保护法规，进行环境管理，接受地方主管环保部门的监督，制定环保规划和目标，促使工程向“清洁生产”的方向不断发展。</w:t>
            </w:r>
          </w:p>
          <w:p w14:paraId="7881F66F">
            <w:pPr>
              <w:pStyle w:val="78"/>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根据《国务院关于环境保护工作的决定》中有关建立和健全环保机构的精神，建议项目建成投产后，建立二级环境管理体系。各级领导对环境污染负有管、防治的责任。</w:t>
            </w:r>
          </w:p>
          <w:p w14:paraId="1A2BF6C6">
            <w:pPr>
              <w:pStyle w:val="78"/>
              <w:keepNext w:val="0"/>
              <w:keepLines w:val="0"/>
              <w:pageBreakBefore w:val="0"/>
              <w:widowControl/>
              <w:kinsoku/>
              <w:wordWrap/>
              <w:overflowPunct/>
              <w:topLinePunct w:val="0"/>
              <w:autoSpaceDE/>
              <w:autoSpaceDN/>
              <w:bidi w:val="0"/>
              <w:adjustRightInd/>
              <w:snapToGrid/>
              <w:spacing w:line="360" w:lineRule="auto"/>
              <w:ind w:right="0" w:rightChars="0"/>
              <w:jc w:val="left"/>
              <w:textAlignment w:val="auto"/>
              <w:outlineLvl w:val="9"/>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lang w:eastAsia="zh-CN"/>
              </w:rPr>
              <w:t>（一）</w:t>
            </w:r>
            <w:r>
              <w:rPr>
                <w:rFonts w:hint="default" w:ascii="Times New Roman" w:hAnsi="Times New Roman" w:cs="Times New Roman"/>
                <w:b w:val="0"/>
                <w:bCs/>
                <w:color w:val="auto"/>
                <w:highlight w:val="none"/>
              </w:rPr>
              <w:t>环境管理主要职责</w:t>
            </w:r>
          </w:p>
          <w:p w14:paraId="66A72C15">
            <w:pPr>
              <w:pStyle w:val="78"/>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1 \* GB3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①</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cs="Times New Roman"/>
                <w:color w:val="auto"/>
                <w:highlight w:val="none"/>
              </w:rPr>
              <w:t>认真贯彻国家和地方有关环保方针、政策法规。</w:t>
            </w:r>
          </w:p>
          <w:p w14:paraId="231B4096">
            <w:pPr>
              <w:pStyle w:val="78"/>
              <w:keepNext w:val="0"/>
              <w:keepLines w:val="0"/>
              <w:pageBreakBefore w:val="0"/>
              <w:widowControl/>
              <w:kinsoku/>
              <w:wordWrap/>
              <w:overflowPunct/>
              <w:topLinePunct w:val="0"/>
              <w:autoSpaceDE/>
              <w:autoSpaceDN/>
              <w:bidi w:val="0"/>
              <w:adjustRightInd/>
              <w:snapToGrid/>
              <w:spacing w:line="360" w:lineRule="auto"/>
              <w:ind w:right="0" w:rightChars="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②</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通过环境管理制度的考核，提高全体员工的环保意识。</w:t>
            </w:r>
          </w:p>
          <w:p w14:paraId="70C8F017">
            <w:pPr>
              <w:pStyle w:val="78"/>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3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③</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建立健全一套符合本项目实际情况的环境保护管理制度，使环保工作有章可循，并形成制度化管理。</w:t>
            </w:r>
          </w:p>
          <w:p w14:paraId="7D0CE351">
            <w:pPr>
              <w:pStyle w:val="78"/>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4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④</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制定环境管理控制目标及实施办法，搞好全厂污染物总量控制。</w:t>
            </w:r>
          </w:p>
          <w:p w14:paraId="63A6329B">
            <w:pPr>
              <w:pStyle w:val="78"/>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5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⑤</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参与各项环保设施施工质量的检查和竣工验收：监督和检查环保设施的运行和维护。</w:t>
            </w:r>
          </w:p>
          <w:p w14:paraId="3037E976">
            <w:pPr>
              <w:pStyle w:val="78"/>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6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⑥</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建立健全环保统计等技术档案。</w:t>
            </w:r>
          </w:p>
          <w:p w14:paraId="1595C508">
            <w:pPr>
              <w:pStyle w:val="78"/>
              <w:keepNext w:val="0"/>
              <w:keepLines w:val="0"/>
              <w:pageBreakBefore w:val="0"/>
              <w:widowControl/>
              <w:kinsoku/>
              <w:wordWrap/>
              <w:overflowPunct/>
              <w:topLinePunct w:val="0"/>
              <w:autoSpaceDE/>
              <w:autoSpaceDN/>
              <w:bidi w:val="0"/>
              <w:adjustRightInd/>
              <w:snapToGrid/>
              <w:spacing w:line="360" w:lineRule="auto"/>
              <w:ind w:right="0" w:rightChars="0"/>
              <w:jc w:val="left"/>
              <w:textAlignment w:val="auto"/>
              <w:outlineLvl w:val="9"/>
              <w:rPr>
                <w:rFonts w:hint="default" w:ascii="Times New Roman" w:hAnsi="Times New Roman" w:eastAsia="宋体" w:cs="Times New Roman"/>
                <w:b w:val="0"/>
                <w:bCs/>
                <w:color w:val="auto"/>
                <w:highlight w:val="none"/>
                <w:lang w:eastAsia="zh-CN"/>
              </w:rPr>
            </w:pPr>
            <w:r>
              <w:rPr>
                <w:rFonts w:hint="default" w:ascii="Times New Roman" w:hAnsi="Times New Roman" w:eastAsia="宋体" w:cs="Times New Roman"/>
                <w:b w:val="0"/>
                <w:bCs/>
                <w:color w:val="auto"/>
                <w:highlight w:val="none"/>
                <w:lang w:eastAsia="zh-CN"/>
              </w:rPr>
              <w:t>（二）环境监测工作职责及主要任务</w:t>
            </w:r>
          </w:p>
          <w:p w14:paraId="71B79393">
            <w:pPr>
              <w:pStyle w:val="78"/>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环境监测是环境保护的基础和耳目，是掌握环境质量和了解其</w:t>
            </w:r>
            <w:r>
              <w:rPr>
                <w:rFonts w:hint="default" w:ascii="Times New Roman" w:hAnsi="Times New Roman" w:cs="Times New Roman"/>
                <w:color w:val="auto"/>
                <w:highlight w:val="none"/>
                <w:lang w:val="en-US" w:eastAsia="zh-CN"/>
              </w:rPr>
              <w:t>QA</w:t>
            </w:r>
            <w:r>
              <w:rPr>
                <w:rFonts w:hint="default" w:ascii="Times New Roman" w:hAnsi="Times New Roman" w:cs="Times New Roman"/>
                <w:color w:val="auto"/>
                <w:highlight w:val="none"/>
              </w:rPr>
              <w:t>变化动态的重要手段。参照有关规定，本次环评对该项环境监测的工作职责及主要任务建议如下：</w:t>
            </w:r>
          </w:p>
          <w:p w14:paraId="3F9DEF09">
            <w:pPr>
              <w:pStyle w:val="78"/>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严格按照国家有关环境质量标准、污染物排放标准、环境监测技术规范和环境监测分析方法规定等要求，建立环境监测管理制度和环境监测质量保证体系，确保监测数据真实可靠。</w:t>
            </w:r>
          </w:p>
          <w:p w14:paraId="3277F7C8">
            <w:pPr>
              <w:pStyle w:val="78"/>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按照环境监测计划和安全环保部门的要求，定期对污染源的污染物及废水、废气治理设施运行状况进行监测，定期或不定期对厂区或厂区周边环境空气、噪声等环境要素中的常规污染物、特征污染物和环境影响因素进行监测。</w:t>
            </w:r>
          </w:p>
          <w:p w14:paraId="386CF59D">
            <w:pPr>
              <w:pStyle w:val="78"/>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及时汇总环境监测数据，定期对环境监测数据进行综合分析，掌握污染物排放状况及变化趋势，及时将结果反馈给生产管理部门、环境管理部门。</w:t>
            </w:r>
          </w:p>
          <w:p w14:paraId="407E96BB">
            <w:pPr>
              <w:pStyle w:val="78"/>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bCs w:val="0"/>
                <w:color w:val="auto"/>
                <w:highlight w:val="none"/>
                <w:lang w:val="en-US" w:eastAsia="zh-CN"/>
              </w:rPr>
            </w:pPr>
            <w:r>
              <w:rPr>
                <w:rFonts w:hint="default" w:ascii="Times New Roman" w:hAnsi="Times New Roman" w:cs="Times New Roman"/>
                <w:b w:val="0"/>
                <w:bCs/>
                <w:color w:val="auto"/>
                <w:highlight w:val="none"/>
                <w:lang w:val="en-US" w:eastAsia="zh-CN"/>
              </w:rPr>
              <w:t>（三）环境管理措施</w:t>
            </w:r>
          </w:p>
          <w:p w14:paraId="529D28D1">
            <w:pPr>
              <w:pStyle w:val="78"/>
              <w:keepNext w:val="0"/>
              <w:keepLines w:val="0"/>
              <w:pageBreakBefore w:val="0"/>
              <w:kinsoku/>
              <w:wordWrap/>
              <w:overflowPunct/>
              <w:topLinePunct w:val="0"/>
              <w:autoSpaceDE/>
              <w:autoSpaceDN/>
              <w:bidi w:val="0"/>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1 \* GB3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①</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建立建全环境管理制度</w:t>
            </w:r>
          </w:p>
          <w:p w14:paraId="3B16FAF0">
            <w:pPr>
              <w:pStyle w:val="78"/>
              <w:keepNext w:val="0"/>
              <w:keepLines w:val="0"/>
              <w:pageBreakBefore w:val="0"/>
              <w:kinsoku/>
              <w:wordWrap/>
              <w:overflowPunct/>
              <w:topLinePunct w:val="0"/>
              <w:autoSpaceDE/>
              <w:autoSpaceDN/>
              <w:bidi w:val="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必须做好环保</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三同时</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工作，加强对职工的安全和环保教育，进行生产过程中环境保护的培训，形成良好的环境保护意识。</w:t>
            </w:r>
          </w:p>
          <w:p w14:paraId="368CF631">
            <w:pPr>
              <w:pStyle w:val="78"/>
              <w:keepNext w:val="0"/>
              <w:keepLines w:val="0"/>
              <w:pageBreakBefore w:val="0"/>
              <w:kinsoku/>
              <w:wordWrap/>
              <w:overflowPunct/>
              <w:topLinePunct w:val="0"/>
              <w:autoSpaceDE/>
              <w:autoSpaceDN/>
              <w:bidi w:val="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②</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t>环境管理人员</w:t>
            </w:r>
          </w:p>
          <w:p w14:paraId="6DF2800A">
            <w:pPr>
              <w:pStyle w:val="78"/>
              <w:keepNext w:val="0"/>
              <w:keepLines w:val="0"/>
              <w:pageBreakBefore w:val="0"/>
              <w:kinsoku/>
              <w:wordWrap/>
              <w:overflowPunct/>
              <w:topLinePunct w:val="0"/>
              <w:autoSpaceDE/>
              <w:autoSpaceDN/>
              <w:bidi w:val="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设立专门的环保机构，由厂内专职管理技术人员兼职环保工作，具体负责环保设施的运行、检查、维护等工作。建立建全环境管理制度，改善厂区环境。</w:t>
            </w:r>
          </w:p>
          <w:p w14:paraId="205106AD">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auto"/>
                <w:kern w:val="0"/>
                <w:sz w:val="24"/>
                <w:szCs w:val="20"/>
                <w:highlight w:val="none"/>
                <w:lang w:val="en-US" w:eastAsia="zh-CN" w:bidi="ar-SA"/>
              </w:rPr>
            </w:pPr>
            <w:r>
              <w:rPr>
                <w:rFonts w:hint="default" w:ascii="Times New Roman" w:hAnsi="Times New Roman" w:eastAsia="宋体" w:cs="Times New Roman"/>
                <w:b w:val="0"/>
                <w:bCs/>
                <w:color w:val="auto"/>
                <w:kern w:val="0"/>
                <w:sz w:val="24"/>
                <w:szCs w:val="20"/>
                <w:highlight w:val="none"/>
                <w:lang w:val="en-US" w:eastAsia="zh-CN" w:bidi="ar-SA"/>
              </w:rPr>
              <w:t>（四）排污口规范化</w:t>
            </w:r>
          </w:p>
          <w:p w14:paraId="00F0E479">
            <w:pPr>
              <w:pStyle w:val="78"/>
              <w:keepNext w:val="0"/>
              <w:keepLines w:val="0"/>
              <w:pageBreakBefore w:val="0"/>
              <w:kinsoku/>
              <w:wordWrap/>
              <w:overflowPunct/>
              <w:topLinePunct w:val="0"/>
              <w:autoSpaceDE/>
              <w:autoSpaceDN/>
              <w:bidi w:val="0"/>
              <w:ind w:left="0" w:leftChars="0" w:firstLine="480" w:firstLineChars="200"/>
              <w:textAlignment w:val="auto"/>
              <w:rPr>
                <w:rFonts w:hint="default" w:ascii="Times New Roman" w:hAnsi="Times New Roman" w:eastAsia="宋体" w:cs="Times New Roman"/>
                <w:bCs/>
                <w:color w:val="auto"/>
                <w:kern w:val="0"/>
                <w:sz w:val="24"/>
                <w:szCs w:val="20"/>
                <w:highlight w:val="none"/>
                <w:lang w:val="en-US" w:eastAsia="zh-CN" w:bidi="ar-SA"/>
              </w:rPr>
            </w:pPr>
            <w:r>
              <w:rPr>
                <w:rFonts w:hint="default" w:ascii="Times New Roman" w:hAnsi="Times New Roman" w:cs="Times New Roman"/>
                <w:color w:val="auto"/>
                <w:highlight w:val="none"/>
                <w:lang w:val="en-US" w:eastAsia="zh-CN"/>
              </w:rPr>
              <w:t>①必须根据有关规定要求做好排污口的规范化建设。</w:t>
            </w:r>
            <w:r>
              <w:rPr>
                <w:rFonts w:hint="default" w:ascii="Times New Roman" w:hAnsi="Times New Roman" w:eastAsia="宋体" w:cs="Times New Roman"/>
                <w:bCs/>
                <w:color w:val="auto"/>
                <w:kern w:val="0"/>
                <w:sz w:val="24"/>
                <w:szCs w:val="20"/>
                <w:highlight w:val="none"/>
                <w:lang w:val="en-US" w:eastAsia="zh-CN" w:bidi="ar-SA"/>
              </w:rPr>
              <w:t>排污口应有符合国家标准《环境保护图形标志》（GB155621.1-1995）规定要求的排放口标志牌。具体标识见表</w:t>
            </w:r>
            <w:r>
              <w:rPr>
                <w:rFonts w:hint="default" w:ascii="Times New Roman" w:hAnsi="Times New Roman" w:cs="Times New Roman"/>
                <w:bCs/>
                <w:color w:val="auto"/>
                <w:kern w:val="0"/>
                <w:sz w:val="24"/>
                <w:szCs w:val="20"/>
                <w:highlight w:val="none"/>
                <w:lang w:val="en-US" w:eastAsia="zh-CN" w:bidi="ar-SA"/>
              </w:rPr>
              <w:t>4-</w:t>
            </w:r>
            <w:r>
              <w:rPr>
                <w:rFonts w:hint="eastAsia" w:ascii="Times New Roman" w:hAnsi="Times New Roman" w:cs="Times New Roman"/>
                <w:bCs/>
                <w:color w:val="auto"/>
                <w:kern w:val="0"/>
                <w:sz w:val="24"/>
                <w:szCs w:val="20"/>
                <w:highlight w:val="none"/>
                <w:lang w:val="en-US" w:eastAsia="zh-CN" w:bidi="ar-SA"/>
              </w:rPr>
              <w:t>15</w:t>
            </w:r>
            <w:r>
              <w:rPr>
                <w:rFonts w:hint="default" w:ascii="Times New Roman" w:hAnsi="Times New Roman" w:eastAsia="宋体" w:cs="Times New Roman"/>
                <w:bCs/>
                <w:color w:val="auto"/>
                <w:kern w:val="0"/>
                <w:sz w:val="24"/>
                <w:szCs w:val="20"/>
                <w:highlight w:val="none"/>
                <w:lang w:val="en-US" w:eastAsia="zh-CN" w:bidi="ar-SA"/>
              </w:rPr>
              <w:t>。</w:t>
            </w:r>
          </w:p>
          <w:p w14:paraId="188333D2">
            <w:pPr>
              <w:spacing w:line="360" w:lineRule="auto"/>
              <w:ind w:firstLine="422" w:firstLineChars="20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表</w:t>
            </w:r>
            <w:r>
              <w:rPr>
                <w:rFonts w:hint="default" w:ascii="Times New Roman" w:hAnsi="Times New Roman" w:eastAsia="宋体" w:cs="Times New Roman"/>
                <w:b/>
                <w:color w:val="auto"/>
                <w:sz w:val="21"/>
                <w:szCs w:val="21"/>
                <w:highlight w:val="none"/>
                <w:lang w:val="en-US" w:eastAsia="zh-CN"/>
              </w:rPr>
              <w:t>4-</w:t>
            </w:r>
            <w:r>
              <w:rPr>
                <w:rFonts w:hint="eastAsia" w:ascii="Times New Roman" w:hAnsi="Times New Roman" w:cs="Times New Roman"/>
                <w:b/>
                <w:color w:val="auto"/>
                <w:sz w:val="21"/>
                <w:szCs w:val="21"/>
                <w:highlight w:val="none"/>
                <w:lang w:val="en-US" w:eastAsia="zh-CN"/>
              </w:rPr>
              <w:t>1</w:t>
            </w:r>
            <w:r>
              <w:rPr>
                <w:rFonts w:hint="eastAsia" w:cs="Times New Roman"/>
                <w:b/>
                <w:color w:val="auto"/>
                <w:sz w:val="21"/>
                <w:szCs w:val="21"/>
                <w:highlight w:val="none"/>
                <w:lang w:val="en-US" w:eastAsia="zh-CN"/>
              </w:rPr>
              <w:t>5</w:t>
            </w:r>
            <w:r>
              <w:rPr>
                <w:rFonts w:hint="default" w:ascii="Times New Roman" w:hAnsi="Times New Roman" w:eastAsia="宋体" w:cs="Times New Roman"/>
                <w:b/>
                <w:color w:val="auto"/>
                <w:sz w:val="21"/>
                <w:szCs w:val="21"/>
                <w:highlight w:val="none"/>
                <w:lang w:eastAsia="zh-CN"/>
              </w:rPr>
              <w:t>污染物排放口环境保护图形标志一览表</w:t>
            </w:r>
          </w:p>
          <w:tbl>
            <w:tblPr>
              <w:tblStyle w:val="31"/>
              <w:tblW w:w="5000" w:type="pct"/>
              <w:jc w:val="center"/>
              <w:tblBorders>
                <w:top w:val="single" w:color="auto" w:sz="12" w:space="0"/>
                <w:left w:val="none" w:color="auto" w:sz="0" w:space="0"/>
                <w:bottom w:val="single" w:color="auto" w:sz="4" w:space="0"/>
                <w:right w:val="none" w:color="auto" w:sz="0" w:space="0"/>
                <w:insideH w:val="single" w:color="auto" w:sz="4" w:space="0"/>
                <w:insideV w:val="single" w:color="auto" w:sz="8" w:space="0"/>
              </w:tblBorders>
              <w:tblLayout w:type="fixed"/>
              <w:tblCellMar>
                <w:top w:w="0" w:type="dxa"/>
                <w:left w:w="108" w:type="dxa"/>
                <w:bottom w:w="0" w:type="dxa"/>
                <w:right w:w="108" w:type="dxa"/>
              </w:tblCellMar>
            </w:tblPr>
            <w:tblGrid>
              <w:gridCol w:w="406"/>
              <w:gridCol w:w="1950"/>
              <w:gridCol w:w="1931"/>
              <w:gridCol w:w="1779"/>
              <w:gridCol w:w="2148"/>
            </w:tblGrid>
            <w:tr w14:paraId="6DF8959D">
              <w:tblPrEx>
                <w:tblBorders>
                  <w:top w:val="single" w:color="auto" w:sz="12" w:space="0"/>
                  <w:left w:val="none" w:color="auto" w:sz="0" w:space="0"/>
                  <w:bottom w:val="sing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391" w:hRule="atLeast"/>
                <w:jc w:val="center"/>
              </w:trPr>
              <w:tc>
                <w:tcPr>
                  <w:tcW w:w="247" w:type="pct"/>
                  <w:tcBorders>
                    <w:tl2br w:val="nil"/>
                    <w:tr2bl w:val="nil"/>
                  </w:tcBorders>
                  <w:noWrap w:val="0"/>
                  <w:vAlign w:val="center"/>
                </w:tcPr>
                <w:p w14:paraId="5D70789B">
                  <w:pPr>
                    <w:adjustRightInd w:val="0"/>
                    <w:snapToGrid w:val="0"/>
                    <w:jc w:val="center"/>
                    <w:rPr>
                      <w:rFonts w:hint="default" w:ascii="Times New Roman" w:hAnsi="Times New Roman" w:cs="Times New Roman"/>
                      <w:b/>
                      <w:bCs/>
                      <w:color w:val="auto"/>
                      <w:kern w:val="21"/>
                      <w:szCs w:val="24"/>
                      <w:highlight w:val="none"/>
                    </w:rPr>
                  </w:pPr>
                  <w:r>
                    <w:rPr>
                      <w:rFonts w:hint="default" w:ascii="Times New Roman" w:hAnsi="Times New Roman" w:cs="Times New Roman"/>
                      <w:b/>
                      <w:bCs/>
                      <w:color w:val="auto"/>
                      <w:kern w:val="21"/>
                      <w:szCs w:val="24"/>
                      <w:highlight w:val="none"/>
                    </w:rPr>
                    <w:t>排放口</w:t>
                  </w:r>
                </w:p>
              </w:tc>
              <w:tc>
                <w:tcPr>
                  <w:tcW w:w="1186" w:type="pct"/>
                  <w:tcBorders>
                    <w:tl2br w:val="nil"/>
                    <w:tr2bl w:val="nil"/>
                  </w:tcBorders>
                  <w:noWrap w:val="0"/>
                  <w:vAlign w:val="center"/>
                </w:tcPr>
                <w:p w14:paraId="69B388F5">
                  <w:pPr>
                    <w:adjustRightInd w:val="0"/>
                    <w:snapToGrid w:val="0"/>
                    <w:jc w:val="center"/>
                    <w:rPr>
                      <w:rFonts w:hint="default" w:ascii="Times New Roman" w:hAnsi="Times New Roman" w:cs="Times New Roman"/>
                      <w:b/>
                      <w:bCs/>
                      <w:color w:val="auto"/>
                      <w:kern w:val="21"/>
                      <w:szCs w:val="24"/>
                      <w:highlight w:val="none"/>
                    </w:rPr>
                  </w:pPr>
                  <w:r>
                    <w:rPr>
                      <w:rFonts w:hint="default" w:ascii="Times New Roman" w:hAnsi="Times New Roman" w:cs="Times New Roman"/>
                      <w:b/>
                      <w:bCs/>
                      <w:color w:val="auto"/>
                      <w:kern w:val="21"/>
                      <w:szCs w:val="24"/>
                      <w:highlight w:val="none"/>
                    </w:rPr>
                    <w:t>废气排口</w:t>
                  </w:r>
                </w:p>
              </w:tc>
              <w:tc>
                <w:tcPr>
                  <w:tcW w:w="1175" w:type="pct"/>
                  <w:tcBorders>
                    <w:tl2br w:val="nil"/>
                    <w:tr2bl w:val="nil"/>
                  </w:tcBorders>
                  <w:noWrap w:val="0"/>
                  <w:vAlign w:val="center"/>
                </w:tcPr>
                <w:p w14:paraId="5137B88E">
                  <w:pPr>
                    <w:adjustRightInd w:val="0"/>
                    <w:snapToGrid w:val="0"/>
                    <w:jc w:val="center"/>
                    <w:rPr>
                      <w:rFonts w:hint="default" w:ascii="Times New Roman" w:hAnsi="Times New Roman" w:cs="Times New Roman"/>
                      <w:b/>
                      <w:bCs/>
                      <w:color w:val="auto"/>
                      <w:kern w:val="21"/>
                      <w:szCs w:val="24"/>
                      <w:highlight w:val="none"/>
                    </w:rPr>
                  </w:pPr>
                  <w:r>
                    <w:rPr>
                      <w:rFonts w:hint="default" w:ascii="Times New Roman" w:hAnsi="Times New Roman" w:cs="Times New Roman"/>
                      <w:b/>
                      <w:bCs/>
                      <w:color w:val="auto"/>
                      <w:kern w:val="21"/>
                      <w:szCs w:val="24"/>
                      <w:highlight w:val="none"/>
                    </w:rPr>
                    <w:t>噪声源</w:t>
                  </w:r>
                </w:p>
              </w:tc>
              <w:tc>
                <w:tcPr>
                  <w:tcW w:w="1082" w:type="pct"/>
                  <w:tcBorders>
                    <w:tl2br w:val="nil"/>
                    <w:tr2bl w:val="nil"/>
                  </w:tcBorders>
                  <w:noWrap w:val="0"/>
                  <w:vAlign w:val="center"/>
                </w:tcPr>
                <w:p w14:paraId="51EEC833">
                  <w:pPr>
                    <w:adjustRightInd w:val="0"/>
                    <w:snapToGrid w:val="0"/>
                    <w:jc w:val="center"/>
                    <w:rPr>
                      <w:rFonts w:hint="default" w:ascii="Times New Roman" w:hAnsi="Times New Roman" w:cs="Times New Roman"/>
                      <w:b/>
                      <w:bCs/>
                      <w:color w:val="auto"/>
                      <w:kern w:val="21"/>
                      <w:szCs w:val="24"/>
                      <w:highlight w:val="none"/>
                    </w:rPr>
                  </w:pPr>
                  <w:r>
                    <w:rPr>
                      <w:rFonts w:hint="default" w:ascii="Times New Roman" w:hAnsi="Times New Roman" w:cs="Times New Roman"/>
                      <w:b/>
                      <w:bCs/>
                      <w:color w:val="auto"/>
                      <w:kern w:val="21"/>
                      <w:szCs w:val="24"/>
                      <w:highlight w:val="none"/>
                    </w:rPr>
                    <w:t>固废堆场</w:t>
                  </w:r>
                </w:p>
              </w:tc>
              <w:tc>
                <w:tcPr>
                  <w:tcW w:w="1307" w:type="pct"/>
                  <w:tcBorders>
                    <w:tl2br w:val="nil"/>
                    <w:tr2bl w:val="nil"/>
                  </w:tcBorders>
                  <w:noWrap w:val="0"/>
                  <w:vAlign w:val="center"/>
                </w:tcPr>
                <w:p w14:paraId="24DC8A6D">
                  <w:pPr>
                    <w:adjustRightInd w:val="0"/>
                    <w:snapToGrid w:val="0"/>
                    <w:jc w:val="center"/>
                    <w:rPr>
                      <w:rFonts w:hint="eastAsia" w:ascii="Times New Roman" w:hAnsi="Times New Roman" w:eastAsia="宋体" w:cs="Times New Roman"/>
                      <w:b/>
                      <w:bCs/>
                      <w:color w:val="auto"/>
                      <w:kern w:val="21"/>
                      <w:szCs w:val="24"/>
                      <w:highlight w:val="none"/>
                      <w:lang w:eastAsia="zh-CN"/>
                    </w:rPr>
                  </w:pPr>
                  <w:r>
                    <w:rPr>
                      <w:rFonts w:hint="eastAsia" w:ascii="Times New Roman" w:hAnsi="Times New Roman" w:cs="Times New Roman"/>
                      <w:b/>
                      <w:bCs/>
                      <w:color w:val="auto"/>
                      <w:kern w:val="21"/>
                      <w:szCs w:val="24"/>
                      <w:highlight w:val="none"/>
                      <w:lang w:eastAsia="zh-CN"/>
                    </w:rPr>
                    <w:t>危险废物暂存间</w:t>
                  </w:r>
                </w:p>
              </w:tc>
            </w:tr>
            <w:tr w14:paraId="069D554E">
              <w:tblPrEx>
                <w:tblBorders>
                  <w:top w:val="single" w:color="auto" w:sz="12" w:space="0"/>
                  <w:left w:val="none" w:color="auto" w:sz="0" w:space="0"/>
                  <w:bottom w:val="single" w:color="auto" w:sz="4"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1812" w:hRule="atLeast"/>
                <w:jc w:val="center"/>
              </w:trPr>
              <w:tc>
                <w:tcPr>
                  <w:tcW w:w="247" w:type="pct"/>
                  <w:tcBorders>
                    <w:tl2br w:val="nil"/>
                    <w:tr2bl w:val="nil"/>
                  </w:tcBorders>
                  <w:noWrap w:val="0"/>
                  <w:vAlign w:val="center"/>
                </w:tcPr>
                <w:p w14:paraId="58D44724">
                  <w:pPr>
                    <w:adjustRightInd w:val="0"/>
                    <w:snapToGrid w:val="0"/>
                    <w:jc w:val="center"/>
                    <w:rPr>
                      <w:rFonts w:hint="default" w:ascii="Times New Roman" w:hAnsi="Times New Roman" w:cs="Times New Roman"/>
                      <w:color w:val="auto"/>
                      <w:kern w:val="21"/>
                      <w:szCs w:val="24"/>
                      <w:highlight w:val="none"/>
                    </w:rPr>
                  </w:pPr>
                  <w:r>
                    <w:rPr>
                      <w:rFonts w:hint="default" w:ascii="Times New Roman" w:hAnsi="Times New Roman" w:cs="Times New Roman"/>
                      <w:color w:val="auto"/>
                      <w:kern w:val="21"/>
                      <w:szCs w:val="24"/>
                      <w:highlight w:val="none"/>
                    </w:rPr>
                    <w:t>图形符号</w:t>
                  </w:r>
                </w:p>
              </w:tc>
              <w:tc>
                <w:tcPr>
                  <w:tcW w:w="1186" w:type="pct"/>
                  <w:tcBorders>
                    <w:tl2br w:val="nil"/>
                    <w:tr2bl w:val="nil"/>
                  </w:tcBorders>
                  <w:noWrap w:val="0"/>
                  <w:vAlign w:val="center"/>
                </w:tcPr>
                <w:p w14:paraId="1609EB37">
                  <w:pPr>
                    <w:adjustRightInd w:val="0"/>
                    <w:snapToGrid w:val="0"/>
                    <w:jc w:val="center"/>
                    <w:rPr>
                      <w:rFonts w:hint="default" w:ascii="Times New Roman" w:hAnsi="Times New Roman" w:cs="Times New Roman"/>
                      <w:color w:val="auto"/>
                      <w:kern w:val="21"/>
                      <w:szCs w:val="24"/>
                      <w:highlight w:val="none"/>
                    </w:rPr>
                  </w:pPr>
                  <w:r>
                    <w:rPr>
                      <w:rFonts w:hint="default" w:ascii="Times New Roman" w:hAnsi="Times New Roman" w:cs="Times New Roman"/>
                      <w:color w:val="auto"/>
                      <w:highlight w:val="none"/>
                    </w:rPr>
                    <w:drawing>
                      <wp:inline distT="0" distB="0" distL="114300" distR="114300">
                        <wp:extent cx="1155700" cy="1132840"/>
                        <wp:effectExtent l="0" t="0" r="6350" b="10160"/>
                        <wp:docPr id="47"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29"/>
                                <pic:cNvPicPr>
                                  <a:picLocks noChangeAspect="1"/>
                                </pic:cNvPicPr>
                              </pic:nvPicPr>
                              <pic:blipFill>
                                <a:blip r:embed="rId33"/>
                                <a:stretch>
                                  <a:fillRect/>
                                </a:stretch>
                              </pic:blipFill>
                              <pic:spPr>
                                <a:xfrm>
                                  <a:off x="0" y="0"/>
                                  <a:ext cx="1155700" cy="1132840"/>
                                </a:xfrm>
                                <a:prstGeom prst="rect">
                                  <a:avLst/>
                                </a:prstGeom>
                                <a:noFill/>
                                <a:ln>
                                  <a:noFill/>
                                </a:ln>
                              </pic:spPr>
                            </pic:pic>
                          </a:graphicData>
                        </a:graphic>
                      </wp:inline>
                    </w:drawing>
                  </w:r>
                </w:p>
              </w:tc>
              <w:tc>
                <w:tcPr>
                  <w:tcW w:w="1175" w:type="pct"/>
                  <w:tcBorders>
                    <w:tl2br w:val="nil"/>
                    <w:tr2bl w:val="nil"/>
                  </w:tcBorders>
                  <w:noWrap w:val="0"/>
                  <w:vAlign w:val="center"/>
                </w:tcPr>
                <w:p w14:paraId="66C4E207">
                  <w:pPr>
                    <w:adjustRightInd w:val="0"/>
                    <w:snapToGrid w:val="0"/>
                    <w:jc w:val="center"/>
                    <w:rPr>
                      <w:rFonts w:hint="default" w:ascii="Times New Roman" w:hAnsi="Times New Roman" w:cs="Times New Roman"/>
                      <w:color w:val="auto"/>
                      <w:kern w:val="21"/>
                      <w:szCs w:val="24"/>
                      <w:highlight w:val="none"/>
                    </w:rPr>
                  </w:pPr>
                  <w:r>
                    <w:rPr>
                      <w:rFonts w:hint="default" w:ascii="Times New Roman" w:hAnsi="Times New Roman" w:cs="Times New Roman"/>
                      <w:color w:val="auto"/>
                      <w:highlight w:val="none"/>
                    </w:rPr>
                    <w:drawing>
                      <wp:inline distT="0" distB="0" distL="114300" distR="114300">
                        <wp:extent cx="1129665" cy="1122680"/>
                        <wp:effectExtent l="0" t="0" r="13335" b="1270"/>
                        <wp:docPr id="48" name="图片 230" descr="7b0a20202020226f6e6365537769746368223a202231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30" descr="7b0a20202020226f6e6365537769746368223a202231220a7d0a"/>
                                <pic:cNvPicPr>
                                  <a:picLocks noChangeAspect="1"/>
                                </pic:cNvPicPr>
                              </pic:nvPicPr>
                              <pic:blipFill>
                                <a:blip r:embed="rId34">
                                  <a:clrChange>
                                    <a:clrFrom>
                                      <a:srgbClr val="1D883D"/>
                                    </a:clrFrom>
                                    <a:clrTo>
                                      <a:srgbClr val="1D883D">
                                        <a:alpha val="0"/>
                                      </a:srgbClr>
                                    </a:clrTo>
                                  </a:clrChange>
                                </a:blip>
                                <a:stretch>
                                  <a:fillRect/>
                                </a:stretch>
                              </pic:blipFill>
                              <pic:spPr>
                                <a:xfrm>
                                  <a:off x="0" y="0"/>
                                  <a:ext cx="1129665" cy="1122680"/>
                                </a:xfrm>
                                <a:prstGeom prst="rect">
                                  <a:avLst/>
                                </a:prstGeom>
                                <a:noFill/>
                                <a:ln>
                                  <a:noFill/>
                                </a:ln>
                              </pic:spPr>
                            </pic:pic>
                          </a:graphicData>
                        </a:graphic>
                      </wp:inline>
                    </w:drawing>
                  </w:r>
                </w:p>
              </w:tc>
              <w:tc>
                <w:tcPr>
                  <w:tcW w:w="1082" w:type="pct"/>
                  <w:tcBorders>
                    <w:tl2br w:val="nil"/>
                    <w:tr2bl w:val="nil"/>
                  </w:tcBorders>
                  <w:noWrap w:val="0"/>
                  <w:vAlign w:val="center"/>
                </w:tcPr>
                <w:p w14:paraId="0499C240">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1038860" cy="1038860"/>
                        <wp:effectExtent l="0" t="0" r="8890" b="8890"/>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35"/>
                                <a:stretch>
                                  <a:fillRect/>
                                </a:stretch>
                              </pic:blipFill>
                              <pic:spPr>
                                <a:xfrm>
                                  <a:off x="0" y="0"/>
                                  <a:ext cx="1038860" cy="1038860"/>
                                </a:xfrm>
                                <a:prstGeom prst="rect">
                                  <a:avLst/>
                                </a:prstGeom>
                                <a:noFill/>
                                <a:ln>
                                  <a:noFill/>
                                </a:ln>
                              </pic:spPr>
                            </pic:pic>
                          </a:graphicData>
                        </a:graphic>
                      </wp:inline>
                    </w:drawing>
                  </w:r>
                </w:p>
              </w:tc>
              <w:tc>
                <w:tcPr>
                  <w:tcW w:w="1307" w:type="pct"/>
                  <w:tcBorders>
                    <w:tl2br w:val="nil"/>
                    <w:tr2bl w:val="nil"/>
                  </w:tcBorders>
                  <w:noWrap w:val="0"/>
                  <w:vAlign w:val="center"/>
                </w:tcPr>
                <w:p w14:paraId="5EE5F8D4">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1285875" cy="1165860"/>
                        <wp:effectExtent l="0" t="0" r="9525" b="15240"/>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36"/>
                                <a:stretch>
                                  <a:fillRect/>
                                </a:stretch>
                              </pic:blipFill>
                              <pic:spPr>
                                <a:xfrm>
                                  <a:off x="0" y="0"/>
                                  <a:ext cx="1285875" cy="1165860"/>
                                </a:xfrm>
                                <a:prstGeom prst="rect">
                                  <a:avLst/>
                                </a:prstGeom>
                                <a:noFill/>
                                <a:ln>
                                  <a:noFill/>
                                </a:ln>
                              </pic:spPr>
                            </pic:pic>
                          </a:graphicData>
                        </a:graphic>
                      </wp:inline>
                    </w:drawing>
                  </w:r>
                </w:p>
              </w:tc>
            </w:tr>
          </w:tbl>
          <w:p w14:paraId="7276B041">
            <w:pPr>
              <w:spacing w:line="240" w:lineRule="auto"/>
              <w:rPr>
                <w:rFonts w:hint="default" w:ascii="Times New Roman" w:hAnsi="Times New Roman" w:cs="Times New Roman"/>
                <w:b w:val="0"/>
                <w:bCs/>
                <w:color w:val="auto"/>
                <w:highlight w:val="none"/>
                <w:lang w:val="en-US" w:eastAsia="zh-CN"/>
              </w:rPr>
            </w:pPr>
            <w:r>
              <w:rPr>
                <w:rFonts w:hint="default" w:ascii="Times New Roman" w:hAnsi="Times New Roman" w:cs="Times New Roman"/>
                <w:b w:val="0"/>
                <w:bCs/>
                <w:color w:val="auto"/>
                <w:highlight w:val="none"/>
              </w:rPr>
              <w:t>注：黄色为警告标志，绿色为提示标志。</w:t>
            </w:r>
          </w:p>
          <w:p w14:paraId="16E6A7E2">
            <w:pPr>
              <w:numPr>
                <w:ilvl w:val="0"/>
                <w:numId w:val="0"/>
              </w:numPr>
              <w:adjustRightInd w:val="0"/>
              <w:snapToGrid w:val="0"/>
              <w:spacing w:line="360" w:lineRule="auto"/>
              <w:jc w:val="both"/>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kern w:val="2"/>
                <w:sz w:val="24"/>
                <w:szCs w:val="24"/>
                <w:lang w:val="en-US" w:eastAsia="zh-CN" w:bidi="ar-SA"/>
              </w:rPr>
              <w:t>10</w:t>
            </w:r>
            <w:r>
              <w:rPr>
                <w:rFonts w:hint="default" w:ascii="Times New Roman" w:hAnsi="Times New Roman" w:eastAsia="宋体" w:cs="Times New Roman"/>
                <w:b/>
                <w:bCs/>
                <w:color w:val="auto"/>
                <w:kern w:val="2"/>
                <w:sz w:val="24"/>
                <w:szCs w:val="24"/>
                <w:lang w:val="en-US" w:eastAsia="zh-CN" w:bidi="ar-SA"/>
              </w:rPr>
              <w:t>、</w:t>
            </w:r>
            <w:r>
              <w:rPr>
                <w:rFonts w:hint="default" w:ascii="Times New Roman" w:hAnsi="Times New Roman" w:eastAsia="宋体" w:cs="Times New Roman"/>
                <w:b/>
                <w:bCs/>
                <w:color w:val="auto"/>
                <w:sz w:val="24"/>
                <w:szCs w:val="24"/>
                <w:highlight w:val="none"/>
                <w:lang w:val="en-US" w:eastAsia="zh-CN"/>
              </w:rPr>
              <w:t>环境监测计划</w:t>
            </w:r>
          </w:p>
          <w:p w14:paraId="7981B016">
            <w:pPr>
              <w:pStyle w:val="12"/>
              <w:keepNext w:val="0"/>
              <w:keepLines w:val="0"/>
              <w:pageBreakBefore w:val="0"/>
              <w:widowControl w:val="0"/>
              <w:kinsoku/>
              <w:wordWrap/>
              <w:overflowPunct/>
              <w:topLinePunct w:val="0"/>
              <w:autoSpaceDE/>
              <w:autoSpaceDN/>
              <w:bidi w:val="0"/>
              <w:adjustRightInd/>
              <w:snapToGrid/>
              <w:spacing w:before="0" w:after="0" w:line="360" w:lineRule="auto"/>
              <w:ind w:right="0" w:firstLine="480" w:firstLineChars="200"/>
              <w:jc w:val="left"/>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Cs/>
                <w:color w:val="auto"/>
                <w:kern w:val="0"/>
                <w:sz w:val="24"/>
                <w:szCs w:val="20"/>
                <w:highlight w:val="none"/>
                <w:lang w:val="en-US" w:eastAsia="zh-CN" w:bidi="ar-SA"/>
              </w:rPr>
              <w:t>按</w:t>
            </w:r>
            <w:r>
              <w:rPr>
                <w:rFonts w:hint="default" w:ascii="Times New Roman" w:hAnsi="Times New Roman" w:cs="Times New Roman"/>
                <w:bCs/>
                <w:color w:val="auto"/>
                <w:kern w:val="0"/>
                <w:sz w:val="24"/>
                <w:szCs w:val="20"/>
                <w:highlight w:val="none"/>
                <w:lang w:val="en-US" w:eastAsia="zh-CN" w:bidi="ar-SA"/>
              </w:rPr>
              <w:t>照</w:t>
            </w:r>
            <w:r>
              <w:rPr>
                <w:rFonts w:hint="default" w:ascii="Times New Roman" w:hAnsi="Times New Roman" w:eastAsia="宋体" w:cs="Times New Roman"/>
                <w:b w:val="0"/>
                <w:bCs w:val="0"/>
                <w:color w:val="auto"/>
                <w:sz w:val="24"/>
                <w:szCs w:val="24"/>
                <w:highlight w:val="none"/>
                <w:lang w:val="en-US" w:eastAsia="zh-CN"/>
              </w:rPr>
              <w:t>《排污单位自行监测技术指南 总则》（HJ819-2017）</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color w:val="auto"/>
                <w:kern w:val="0"/>
                <w:sz w:val="24"/>
                <w:highlight w:val="none"/>
              </w:rPr>
              <w:t>《煤炭工业污染物排放标准》（GB20426-2006）</w:t>
            </w:r>
            <w:r>
              <w:rPr>
                <w:rFonts w:hint="default" w:ascii="Times New Roman" w:hAnsi="Times New Roman" w:eastAsia="宋体" w:cs="Times New Roman"/>
                <w:bCs/>
                <w:color w:val="auto"/>
                <w:kern w:val="0"/>
                <w:sz w:val="24"/>
                <w:szCs w:val="20"/>
                <w:highlight w:val="none"/>
                <w:lang w:val="en-US" w:eastAsia="zh-CN" w:bidi="ar-SA"/>
              </w:rPr>
              <w:t>、《工业企业厂界环境噪声排放标准》（GB12348-2008）</w:t>
            </w:r>
            <w:r>
              <w:rPr>
                <w:rFonts w:hint="eastAsia" w:ascii="Times New Roman" w:hAnsi="Times New Roman" w:cs="Times New Roman"/>
                <w:bCs/>
                <w:color w:val="auto"/>
                <w:kern w:val="0"/>
                <w:sz w:val="24"/>
                <w:szCs w:val="20"/>
                <w:highlight w:val="none"/>
                <w:lang w:val="en-US" w:eastAsia="zh-CN" w:bidi="ar-SA"/>
              </w:rPr>
              <w:t>、</w:t>
            </w:r>
            <w:r>
              <w:rPr>
                <w:rFonts w:hint="default" w:ascii="Times New Roman" w:hAnsi="Times New Roman" w:eastAsia="宋体" w:cs="Times New Roman"/>
                <w:bCs/>
                <w:color w:val="auto"/>
                <w:kern w:val="0"/>
                <w:sz w:val="24"/>
                <w:szCs w:val="20"/>
                <w:highlight w:val="none"/>
                <w:lang w:val="en-US" w:eastAsia="zh-CN" w:bidi="ar-SA"/>
              </w:rPr>
              <w:t>《声环境质量标准》（GB3096-2008）等规定的监测分析方法，建设项目环境保护管理规定和要求，该项目应作环保设施竣工验收，重点对废气、噪声等进行验收；建设单位配套的污染防治设施，必须按规定进行竣工环保自主验收，同时还应配合环保部门做好日常监测工作。</w:t>
            </w:r>
          </w:p>
          <w:p w14:paraId="571E0CD7">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表</w:t>
            </w:r>
            <w:r>
              <w:rPr>
                <w:rFonts w:hint="default" w:ascii="Times New Roman" w:hAnsi="Times New Roman" w:eastAsia="宋体" w:cs="Times New Roman"/>
                <w:b/>
                <w:color w:val="auto"/>
                <w:sz w:val="21"/>
                <w:szCs w:val="21"/>
                <w:highlight w:val="none"/>
                <w:lang w:val="en-US" w:eastAsia="zh-CN"/>
              </w:rPr>
              <w:t>4-</w:t>
            </w:r>
            <w:r>
              <w:rPr>
                <w:rFonts w:hint="eastAsia" w:ascii="Times New Roman" w:hAnsi="Times New Roman" w:cs="Times New Roman"/>
                <w:b/>
                <w:color w:val="auto"/>
                <w:sz w:val="21"/>
                <w:szCs w:val="21"/>
                <w:highlight w:val="none"/>
                <w:lang w:val="en-US" w:eastAsia="zh-CN"/>
              </w:rPr>
              <w:t>1</w:t>
            </w:r>
            <w:r>
              <w:rPr>
                <w:rFonts w:hint="eastAsia"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lang w:eastAsia="zh-CN"/>
              </w:rPr>
              <w:t>监测计划一览表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306"/>
              <w:gridCol w:w="1692"/>
              <w:gridCol w:w="3973"/>
              <w:gridCol w:w="1240"/>
            </w:tblGrid>
            <w:tr w14:paraId="34B8B4B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95" w:type="pct"/>
                  <w:tcBorders>
                    <w:tl2br w:val="nil"/>
                    <w:tr2bl w:val="nil"/>
                  </w:tcBorders>
                  <w:noWrap w:val="0"/>
                  <w:vAlign w:val="center"/>
                </w:tcPr>
                <w:p w14:paraId="18F73D10">
                  <w:pPr>
                    <w:pStyle w:val="79"/>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eastAsia="zh-CN"/>
                    </w:rPr>
                    <w:t>监测内容</w:t>
                  </w:r>
                </w:p>
              </w:tc>
              <w:tc>
                <w:tcPr>
                  <w:tcW w:w="1030" w:type="pct"/>
                  <w:tcBorders>
                    <w:tl2br w:val="nil"/>
                    <w:tr2bl w:val="nil"/>
                  </w:tcBorders>
                  <w:noWrap w:val="0"/>
                  <w:vAlign w:val="center"/>
                </w:tcPr>
                <w:p w14:paraId="462FE217">
                  <w:pPr>
                    <w:pStyle w:val="79"/>
                    <w:ind w:firstLine="0" w:firstLineChars="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监测点位</w:t>
                  </w:r>
                </w:p>
              </w:tc>
              <w:tc>
                <w:tcPr>
                  <w:tcW w:w="2419" w:type="pct"/>
                  <w:tcBorders>
                    <w:tl2br w:val="nil"/>
                    <w:tr2bl w:val="nil"/>
                  </w:tcBorders>
                  <w:noWrap w:val="0"/>
                  <w:vAlign w:val="center"/>
                </w:tcPr>
                <w:p w14:paraId="7744F14B">
                  <w:pPr>
                    <w:pStyle w:val="79"/>
                    <w:ind w:firstLine="0" w:firstLineChars="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监测</w:t>
                  </w:r>
                  <w:r>
                    <w:rPr>
                      <w:rFonts w:hint="default" w:ascii="Times New Roman" w:hAnsi="Times New Roman" w:cs="Times New Roman"/>
                      <w:b/>
                      <w:bCs/>
                      <w:color w:val="auto"/>
                      <w:highlight w:val="none"/>
                      <w:lang w:eastAsia="zh-CN"/>
                    </w:rPr>
                    <w:t>项目</w:t>
                  </w:r>
                </w:p>
              </w:tc>
              <w:tc>
                <w:tcPr>
                  <w:tcW w:w="755" w:type="pct"/>
                  <w:tcBorders>
                    <w:tl2br w:val="nil"/>
                    <w:tr2bl w:val="nil"/>
                  </w:tcBorders>
                  <w:noWrap w:val="0"/>
                  <w:vAlign w:val="center"/>
                </w:tcPr>
                <w:p w14:paraId="0DA9E7F2">
                  <w:pPr>
                    <w:pStyle w:val="79"/>
                    <w:ind w:firstLine="0" w:firstLineChars="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监测频率</w:t>
                  </w:r>
                </w:p>
              </w:tc>
            </w:tr>
            <w:tr w14:paraId="1AE7CA6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0" w:hRule="atLeast"/>
                <w:jc w:val="center"/>
              </w:trPr>
              <w:tc>
                <w:tcPr>
                  <w:tcW w:w="795" w:type="pct"/>
                  <w:tcBorders>
                    <w:tl2br w:val="nil"/>
                    <w:tr2bl w:val="nil"/>
                  </w:tcBorders>
                  <w:noWrap w:val="0"/>
                  <w:vAlign w:val="center"/>
                </w:tcPr>
                <w:p w14:paraId="4C479E88">
                  <w:pPr>
                    <w:pStyle w:val="79"/>
                    <w:ind w:firstLine="0" w:firstLineChars="0"/>
                    <w:rPr>
                      <w:rFonts w:hint="default" w:ascii="Times New Roman" w:hAnsi="Times New Roman" w:cs="Times New Roman"/>
                      <w:color w:val="auto"/>
                      <w:highlight w:val="none"/>
                      <w:u w:val="none"/>
                      <w:lang w:eastAsia="zh-CN"/>
                    </w:rPr>
                  </w:pPr>
                  <w:r>
                    <w:rPr>
                      <w:rFonts w:hint="default" w:ascii="Times New Roman" w:hAnsi="Times New Roman" w:cs="Times New Roman"/>
                      <w:color w:val="auto"/>
                      <w:highlight w:val="none"/>
                      <w:u w:val="none"/>
                      <w:lang w:eastAsia="zh-CN"/>
                    </w:rPr>
                    <w:t>无组织废气</w:t>
                  </w:r>
                </w:p>
              </w:tc>
              <w:tc>
                <w:tcPr>
                  <w:tcW w:w="1030" w:type="pct"/>
                  <w:tcBorders>
                    <w:tl2br w:val="nil"/>
                    <w:tr2bl w:val="nil"/>
                  </w:tcBorders>
                  <w:noWrap w:val="0"/>
                  <w:vAlign w:val="center"/>
                </w:tcPr>
                <w:p w14:paraId="7C70CD1C">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w:t>
                  </w:r>
                </w:p>
              </w:tc>
              <w:tc>
                <w:tcPr>
                  <w:tcW w:w="2419" w:type="pct"/>
                  <w:tcBorders>
                    <w:tl2br w:val="nil"/>
                    <w:tr2bl w:val="nil"/>
                  </w:tcBorders>
                  <w:noWrap w:val="0"/>
                  <w:vAlign w:val="center"/>
                </w:tcPr>
                <w:p w14:paraId="3587914E">
                  <w:pPr>
                    <w:pStyle w:val="79"/>
                    <w:ind w:firstLine="0" w:firstLineChars="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颗粒物</w:t>
                  </w:r>
                </w:p>
              </w:tc>
              <w:tc>
                <w:tcPr>
                  <w:tcW w:w="755" w:type="pct"/>
                  <w:tcBorders>
                    <w:tl2br w:val="nil"/>
                    <w:tr2bl w:val="nil"/>
                  </w:tcBorders>
                  <w:noWrap w:val="0"/>
                  <w:vAlign w:val="center"/>
                </w:tcPr>
                <w:p w14:paraId="1D24D64A">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u w:val="none"/>
                      <w:lang w:val="en-US" w:eastAsia="zh-CN"/>
                    </w:rPr>
                    <w:t>1</w:t>
                  </w:r>
                  <w:r>
                    <w:rPr>
                      <w:rFonts w:hint="default" w:ascii="Times New Roman" w:hAnsi="Times New Roman" w:eastAsia="宋体" w:cs="Times New Roman"/>
                      <w:color w:val="auto"/>
                      <w:highlight w:val="none"/>
                      <w:u w:val="none"/>
                      <w:lang w:val="en-US" w:eastAsia="zh-CN"/>
                    </w:rPr>
                    <w:t>次/</w:t>
                  </w:r>
                  <w:r>
                    <w:rPr>
                      <w:rFonts w:hint="default" w:ascii="Times New Roman" w:hAnsi="Times New Roman" w:cs="Times New Roman"/>
                      <w:color w:val="auto"/>
                      <w:highlight w:val="none"/>
                      <w:u w:val="none"/>
                      <w:lang w:val="en-US" w:eastAsia="zh-Hans"/>
                    </w:rPr>
                    <w:t>年</w:t>
                  </w:r>
                </w:p>
              </w:tc>
            </w:tr>
            <w:tr w14:paraId="2AD6820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7" w:hRule="atLeast"/>
                <w:jc w:val="center"/>
              </w:trPr>
              <w:tc>
                <w:tcPr>
                  <w:tcW w:w="795" w:type="pct"/>
                  <w:tcBorders>
                    <w:tl2br w:val="nil"/>
                    <w:tr2bl w:val="nil"/>
                  </w:tcBorders>
                  <w:noWrap w:val="0"/>
                  <w:vAlign w:val="center"/>
                </w:tcPr>
                <w:p w14:paraId="7CEA6FB3">
                  <w:pPr>
                    <w:pStyle w:val="79"/>
                    <w:ind w:firstLine="0" w:firstLineChars="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噪声</w:t>
                  </w:r>
                </w:p>
              </w:tc>
              <w:tc>
                <w:tcPr>
                  <w:tcW w:w="1030" w:type="pct"/>
                  <w:tcBorders>
                    <w:tl2br w:val="nil"/>
                    <w:tr2bl w:val="nil"/>
                  </w:tcBorders>
                  <w:noWrap w:val="0"/>
                  <w:vAlign w:val="center"/>
                </w:tcPr>
                <w:p w14:paraId="20184FCC">
                  <w:pPr>
                    <w:pStyle w:val="79"/>
                    <w:ind w:firstLine="0" w:firstLineChars="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厂界四周</w:t>
                  </w:r>
                  <w:r>
                    <w:rPr>
                      <w:rFonts w:hint="eastAsia" w:ascii="Times New Roman" w:hAnsi="Times New Roman" w:cs="Times New Roman"/>
                      <w:color w:val="auto"/>
                      <w:highlight w:val="none"/>
                      <w:lang w:eastAsia="zh-CN"/>
                    </w:rPr>
                    <w:t>、敏感点</w:t>
                  </w:r>
                </w:p>
              </w:tc>
              <w:tc>
                <w:tcPr>
                  <w:tcW w:w="2419" w:type="pct"/>
                  <w:tcBorders>
                    <w:tl2br w:val="nil"/>
                    <w:tr2bl w:val="nil"/>
                  </w:tcBorders>
                  <w:noWrap w:val="0"/>
                  <w:vAlign w:val="center"/>
                </w:tcPr>
                <w:p w14:paraId="303AFC4D">
                  <w:pPr>
                    <w:pStyle w:val="79"/>
                    <w:ind w:firstLine="0" w:firstLineChars="0"/>
                    <w:rPr>
                      <w:rFonts w:hint="default" w:ascii="Times New Roman" w:hAnsi="Times New Roman" w:eastAsia="宋体" w:cs="Times New Roman"/>
                      <w:i w:val="0"/>
                      <w:iCs w:val="0"/>
                      <w:color w:val="auto"/>
                      <w:kern w:val="2"/>
                      <w:sz w:val="21"/>
                      <w:szCs w:val="21"/>
                      <w:highlight w:val="none"/>
                      <w:vertAlign w:val="baseline"/>
                      <w:lang w:val="en-US" w:eastAsia="zh-CN" w:bidi="ar-SA"/>
                    </w:rPr>
                  </w:pPr>
                  <w:r>
                    <w:rPr>
                      <w:rFonts w:hint="default" w:ascii="Times New Roman" w:hAnsi="Times New Roman" w:eastAsia="宋体" w:cs="Times New Roman"/>
                      <w:color w:val="auto"/>
                      <w:highlight w:val="none"/>
                      <w:lang w:eastAsia="zh-CN"/>
                    </w:rPr>
                    <w:t>噪声</w:t>
                  </w:r>
                </w:p>
              </w:tc>
              <w:tc>
                <w:tcPr>
                  <w:tcW w:w="755" w:type="pct"/>
                  <w:tcBorders>
                    <w:tl2br w:val="nil"/>
                    <w:tr2bl w:val="nil"/>
                  </w:tcBorders>
                  <w:noWrap w:val="0"/>
                  <w:vAlign w:val="center"/>
                </w:tcPr>
                <w:p w14:paraId="125AC4E7">
                  <w:pPr>
                    <w:pStyle w:val="79"/>
                    <w:ind w:firstLine="0" w:firstLineChars="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1次/</w:t>
                  </w:r>
                  <w:r>
                    <w:rPr>
                      <w:rFonts w:hint="default" w:ascii="Times New Roman" w:hAnsi="Times New Roman" w:cs="Times New Roman"/>
                      <w:color w:val="auto"/>
                      <w:highlight w:val="none"/>
                      <w:lang w:val="en-US" w:eastAsia="zh-CN"/>
                    </w:rPr>
                    <w:t>季度</w:t>
                  </w:r>
                </w:p>
              </w:tc>
            </w:tr>
          </w:tbl>
          <w:p w14:paraId="297601FF">
            <w:pPr>
              <w:numPr>
                <w:ilvl w:val="0"/>
                <w:numId w:val="0"/>
              </w:numPr>
              <w:adjustRightInd w:val="0"/>
              <w:snapToGrid w:val="0"/>
              <w:spacing w:line="360" w:lineRule="auto"/>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kern w:val="2"/>
                <w:sz w:val="24"/>
                <w:szCs w:val="24"/>
                <w:lang w:val="en-US" w:eastAsia="zh-CN" w:bidi="ar-SA"/>
              </w:rPr>
              <w:t>1</w:t>
            </w:r>
            <w:r>
              <w:rPr>
                <w:rFonts w:hint="eastAsia" w:ascii="Times New Roman" w:hAnsi="Times New Roman" w:cs="Times New Roman"/>
                <w:b/>
                <w:bCs/>
                <w:color w:val="auto"/>
                <w:kern w:val="2"/>
                <w:sz w:val="24"/>
                <w:szCs w:val="24"/>
                <w:lang w:val="en-US" w:eastAsia="zh-CN" w:bidi="ar-SA"/>
              </w:rPr>
              <w:t>1</w:t>
            </w:r>
            <w:r>
              <w:rPr>
                <w:rFonts w:hint="default" w:ascii="Times New Roman" w:hAnsi="Times New Roman" w:eastAsia="宋体" w:cs="Times New Roman"/>
                <w:b/>
                <w:bCs/>
                <w:color w:val="auto"/>
                <w:kern w:val="2"/>
                <w:sz w:val="24"/>
                <w:szCs w:val="24"/>
                <w:lang w:val="en-US" w:eastAsia="zh-CN" w:bidi="ar-SA"/>
              </w:rPr>
              <w:t>、</w:t>
            </w:r>
            <w:r>
              <w:rPr>
                <w:rFonts w:hint="default" w:ascii="Times New Roman" w:hAnsi="Times New Roman" w:eastAsia="宋体" w:cs="Times New Roman"/>
                <w:b/>
                <w:bCs/>
                <w:color w:val="auto"/>
                <w:sz w:val="24"/>
                <w:szCs w:val="24"/>
                <w:highlight w:val="none"/>
                <w:lang w:val="en-US" w:eastAsia="zh-CN"/>
              </w:rPr>
              <w:t>环保投资</w:t>
            </w:r>
          </w:p>
          <w:p w14:paraId="7BF31A31">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本项目环保投资具体情况参见下表，本项目环保投资</w:t>
            </w:r>
            <w:r>
              <w:rPr>
                <w:rFonts w:hint="eastAsia" w:ascii="Times New Roman" w:hAnsi="Times New Roman" w:cs="Times New Roman"/>
                <w:color w:val="auto"/>
                <w:sz w:val="24"/>
                <w:highlight w:val="none"/>
                <w:lang w:val="en-US" w:eastAsia="zh-CN"/>
              </w:rPr>
              <w:t>26</w:t>
            </w:r>
            <w:r>
              <w:rPr>
                <w:rFonts w:hint="default" w:ascii="Times New Roman" w:hAnsi="Times New Roman" w:cs="Times New Roman"/>
                <w:color w:val="auto"/>
                <w:sz w:val="24"/>
                <w:highlight w:val="none"/>
              </w:rPr>
              <w:t>万元，环保投资比为</w:t>
            </w:r>
            <w:r>
              <w:rPr>
                <w:rFonts w:hint="eastAsia" w:ascii="Times New Roman" w:hAnsi="Times New Roman" w:cs="Times New Roman"/>
                <w:color w:val="auto"/>
                <w:sz w:val="24"/>
                <w:highlight w:val="none"/>
                <w:lang w:val="en-US" w:eastAsia="zh-CN"/>
              </w:rPr>
              <w:t>25%</w:t>
            </w:r>
            <w:r>
              <w:rPr>
                <w:rFonts w:hint="default" w:ascii="Times New Roman" w:hAnsi="Times New Roman" w:cs="Times New Roman"/>
                <w:color w:val="auto"/>
                <w:sz w:val="24"/>
                <w:highlight w:val="none"/>
              </w:rPr>
              <w:t>。</w:t>
            </w:r>
          </w:p>
          <w:p w14:paraId="0C709FB5">
            <w:pPr>
              <w:spacing w:line="360" w:lineRule="auto"/>
              <w:ind w:firstLine="482" w:firstLineChars="20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4"/>
                <w:szCs w:val="24"/>
                <w:highlight w:val="none"/>
                <w:lang w:eastAsia="zh-CN"/>
              </w:rPr>
              <w:t>表</w:t>
            </w:r>
            <w:r>
              <w:rPr>
                <w:rFonts w:hint="default" w:ascii="Times New Roman" w:hAnsi="Times New Roman" w:eastAsia="宋体" w:cs="Times New Roman"/>
                <w:b/>
                <w:color w:val="auto"/>
                <w:sz w:val="24"/>
                <w:szCs w:val="24"/>
                <w:highlight w:val="none"/>
                <w:lang w:val="en-US" w:eastAsia="zh-CN"/>
              </w:rPr>
              <w:t>4-</w:t>
            </w:r>
            <w:r>
              <w:rPr>
                <w:rFonts w:hint="eastAsia" w:ascii="Times New Roman" w:hAnsi="Times New Roman" w:cs="Times New Roman"/>
                <w:b/>
                <w:color w:val="auto"/>
                <w:sz w:val="24"/>
                <w:szCs w:val="24"/>
                <w:highlight w:val="none"/>
                <w:lang w:val="en-US" w:eastAsia="zh-CN"/>
              </w:rPr>
              <w:t>1</w:t>
            </w:r>
            <w:r>
              <w:rPr>
                <w:rFonts w:hint="eastAsia" w:cs="Times New Roman"/>
                <w:b/>
                <w:color w:val="auto"/>
                <w:sz w:val="24"/>
                <w:szCs w:val="24"/>
                <w:highlight w:val="none"/>
                <w:lang w:val="en-US" w:eastAsia="zh-CN"/>
              </w:rPr>
              <w:t>7</w:t>
            </w:r>
            <w:r>
              <w:rPr>
                <w:rFonts w:hint="default" w:ascii="Times New Roman" w:hAnsi="Times New Roman" w:eastAsia="宋体" w:cs="Times New Roman"/>
                <w:b/>
                <w:color w:val="auto"/>
                <w:sz w:val="24"/>
                <w:szCs w:val="24"/>
                <w:highlight w:val="none"/>
                <w:lang w:eastAsia="zh-CN"/>
              </w:rPr>
              <w:t>环保投资一览表</w:t>
            </w:r>
          </w:p>
          <w:tbl>
            <w:tblPr>
              <w:tblStyle w:val="31"/>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498"/>
              <w:gridCol w:w="787"/>
              <w:gridCol w:w="3873"/>
              <w:gridCol w:w="2053"/>
            </w:tblGrid>
            <w:tr w14:paraId="6CCD0B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912" w:type="pct"/>
                  <w:tcBorders>
                    <w:top w:val="single" w:color="000000" w:sz="12" w:space="0"/>
                    <w:left w:val="nil"/>
                    <w:bottom w:val="single" w:color="000000" w:sz="8" w:space="0"/>
                    <w:right w:val="single" w:color="000000" w:sz="8" w:space="0"/>
                  </w:tcBorders>
                  <w:shd w:val="clear" w:color="auto" w:fill="auto"/>
                  <w:vAlign w:val="center"/>
                </w:tcPr>
                <w:p w14:paraId="0F4C5BA1">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1"/>
                      <w:u w:val="none"/>
                    </w:rPr>
                  </w:pPr>
                  <w:r>
                    <w:rPr>
                      <w:rFonts w:hint="eastAsia" w:ascii="Times New Roman" w:hAnsi="Times New Roman" w:cs="宋体"/>
                      <w:b/>
                      <w:bCs/>
                      <w:i w:val="0"/>
                      <w:iCs w:val="0"/>
                      <w:color w:val="auto"/>
                      <w:kern w:val="0"/>
                      <w:sz w:val="21"/>
                      <w:szCs w:val="21"/>
                      <w:u w:val="none"/>
                      <w:lang w:val="en-US" w:eastAsia="zh-CN" w:bidi="ar"/>
                    </w:rPr>
                    <w:t>类别</w:t>
                  </w:r>
                </w:p>
              </w:tc>
              <w:tc>
                <w:tcPr>
                  <w:tcW w:w="2837" w:type="pct"/>
                  <w:gridSpan w:val="2"/>
                  <w:tcBorders>
                    <w:top w:val="single" w:color="000000" w:sz="12" w:space="0"/>
                    <w:left w:val="single" w:color="000000" w:sz="8" w:space="0"/>
                    <w:bottom w:val="single" w:color="000000" w:sz="8" w:space="0"/>
                    <w:right w:val="single" w:color="000000" w:sz="8" w:space="0"/>
                  </w:tcBorders>
                  <w:shd w:val="clear" w:color="auto" w:fill="auto"/>
                  <w:vAlign w:val="center"/>
                </w:tcPr>
                <w:p w14:paraId="221A8942">
                  <w:pPr>
                    <w:keepNext w:val="0"/>
                    <w:keepLines w:val="0"/>
                    <w:widowControl/>
                    <w:suppressLineNumbers w:val="0"/>
                    <w:jc w:val="center"/>
                    <w:textAlignment w:val="center"/>
                    <w:rPr>
                      <w:rFonts w:hint="default" w:ascii="Times New Roman" w:hAnsi="Times New Roman" w:eastAsia="宋体" w:cs="宋体"/>
                      <w:b/>
                      <w:bCs/>
                      <w:i w:val="0"/>
                      <w:iCs w:val="0"/>
                      <w:color w:val="auto"/>
                      <w:sz w:val="21"/>
                      <w:szCs w:val="21"/>
                      <w:u w:val="none"/>
                      <w:lang w:val="en-US"/>
                    </w:rPr>
                  </w:pPr>
                  <w:r>
                    <w:rPr>
                      <w:rFonts w:hint="eastAsia" w:ascii="Times New Roman" w:hAnsi="Times New Roman" w:cs="宋体"/>
                      <w:b/>
                      <w:bCs/>
                      <w:i w:val="0"/>
                      <w:iCs w:val="0"/>
                      <w:color w:val="auto"/>
                      <w:kern w:val="0"/>
                      <w:sz w:val="21"/>
                      <w:szCs w:val="21"/>
                      <w:u w:val="none"/>
                      <w:lang w:val="en-US" w:eastAsia="zh-CN" w:bidi="ar"/>
                    </w:rPr>
                    <w:t>环保措施</w:t>
                  </w:r>
                </w:p>
              </w:tc>
              <w:tc>
                <w:tcPr>
                  <w:tcW w:w="1250" w:type="pct"/>
                  <w:tcBorders>
                    <w:top w:val="single" w:color="000000" w:sz="12" w:space="0"/>
                    <w:left w:val="single" w:color="000000" w:sz="8" w:space="0"/>
                    <w:bottom w:val="single" w:color="000000" w:sz="8" w:space="0"/>
                    <w:right w:val="nil"/>
                  </w:tcBorders>
                  <w:shd w:val="clear" w:color="auto" w:fill="auto"/>
                  <w:vAlign w:val="center"/>
                </w:tcPr>
                <w:p w14:paraId="125DAD17">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1"/>
                      <w:u w:val="none"/>
                    </w:rPr>
                  </w:pPr>
                  <w:r>
                    <w:rPr>
                      <w:rFonts w:hint="eastAsia" w:ascii="Times New Roman" w:hAnsi="Times New Roman" w:eastAsia="宋体" w:cs="宋体"/>
                      <w:b/>
                      <w:bCs/>
                      <w:i w:val="0"/>
                      <w:iCs w:val="0"/>
                      <w:color w:val="auto"/>
                      <w:kern w:val="0"/>
                      <w:sz w:val="21"/>
                      <w:szCs w:val="21"/>
                      <w:u w:val="none"/>
                      <w:lang w:val="en-US" w:eastAsia="zh-CN" w:bidi="ar"/>
                    </w:rPr>
                    <w:t>投资（万元）</w:t>
                  </w:r>
                </w:p>
              </w:tc>
            </w:tr>
            <w:tr w14:paraId="60C8E1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 w:hRule="atLeast"/>
              </w:trPr>
              <w:tc>
                <w:tcPr>
                  <w:tcW w:w="912" w:type="pct"/>
                  <w:vMerge w:val="restart"/>
                  <w:tcBorders>
                    <w:top w:val="single" w:color="000000" w:sz="8" w:space="0"/>
                    <w:left w:val="nil"/>
                    <w:bottom w:val="single" w:color="000000" w:sz="8" w:space="0"/>
                    <w:right w:val="single" w:color="000000" w:sz="8" w:space="0"/>
                  </w:tcBorders>
                  <w:shd w:val="clear" w:color="auto" w:fill="auto"/>
                  <w:vAlign w:val="center"/>
                </w:tcPr>
                <w:p w14:paraId="71F818DB">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废气</w:t>
                  </w:r>
                </w:p>
              </w:tc>
              <w:tc>
                <w:tcPr>
                  <w:tcW w:w="479"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D98477B">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无组织废气</w:t>
                  </w:r>
                </w:p>
              </w:tc>
              <w:tc>
                <w:tcPr>
                  <w:tcW w:w="235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C23AD84">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受煤坑采用喷淋洒水降尘，轴流风机强制通风，进入密闭输煤栈桥。</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516DE2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14:paraId="6DA6DF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44"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357DF61D">
                  <w:pPr>
                    <w:jc w:val="center"/>
                    <w:rPr>
                      <w:rFonts w:hint="eastAsia" w:ascii="Times New Roman" w:hAnsi="Times New Roman" w:eastAsia="宋体" w:cs="宋体"/>
                      <w:i w:val="0"/>
                      <w:iCs w:val="0"/>
                      <w:color w:val="auto"/>
                      <w:sz w:val="21"/>
                      <w:szCs w:val="21"/>
                      <w:u w:val="none"/>
                    </w:rPr>
                  </w:pPr>
                </w:p>
              </w:tc>
              <w:tc>
                <w:tcPr>
                  <w:tcW w:w="479"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115B5D8F">
                  <w:pPr>
                    <w:jc w:val="center"/>
                    <w:rPr>
                      <w:rFonts w:hint="eastAsia" w:ascii="Times New Roman" w:hAnsi="Times New Roman" w:eastAsia="宋体" w:cs="宋体"/>
                      <w:i w:val="0"/>
                      <w:iCs w:val="0"/>
                      <w:color w:val="auto"/>
                      <w:sz w:val="21"/>
                      <w:szCs w:val="21"/>
                      <w:u w:val="none"/>
                    </w:rPr>
                  </w:pPr>
                </w:p>
              </w:tc>
              <w:tc>
                <w:tcPr>
                  <w:tcW w:w="235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60F2588">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上料口、运输皮带均安装在封闭的通廊中，通廊上方留有通风口，并在转载点采取洒水降尘措施，将皮带输送机设置在封闭的皮带走廊内</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4393C3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r>
            <w:tr w14:paraId="5EAB6E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6AF9E073">
                  <w:pPr>
                    <w:jc w:val="center"/>
                    <w:rPr>
                      <w:rFonts w:hint="eastAsia" w:ascii="Times New Roman" w:hAnsi="Times New Roman" w:eastAsia="宋体" w:cs="宋体"/>
                      <w:i w:val="0"/>
                      <w:iCs w:val="0"/>
                      <w:color w:val="auto"/>
                      <w:sz w:val="21"/>
                      <w:szCs w:val="21"/>
                      <w:u w:val="none"/>
                    </w:rPr>
                  </w:pPr>
                </w:p>
              </w:tc>
              <w:tc>
                <w:tcPr>
                  <w:tcW w:w="479"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7A24931F">
                  <w:pPr>
                    <w:jc w:val="center"/>
                    <w:rPr>
                      <w:rFonts w:hint="eastAsia" w:ascii="Times New Roman" w:hAnsi="Times New Roman" w:eastAsia="宋体" w:cs="宋体"/>
                      <w:i w:val="0"/>
                      <w:iCs w:val="0"/>
                      <w:color w:val="auto"/>
                      <w:sz w:val="21"/>
                      <w:szCs w:val="21"/>
                      <w:u w:val="none"/>
                    </w:rPr>
                  </w:pPr>
                </w:p>
              </w:tc>
              <w:tc>
                <w:tcPr>
                  <w:tcW w:w="235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2490481">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防风抑尘网</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498118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r>
            <w:tr w14:paraId="72737F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912" w:type="pct"/>
                  <w:tcBorders>
                    <w:top w:val="single" w:color="000000" w:sz="8" w:space="0"/>
                    <w:left w:val="nil"/>
                    <w:bottom w:val="single" w:color="000000" w:sz="8" w:space="0"/>
                    <w:right w:val="single" w:color="000000" w:sz="8" w:space="0"/>
                  </w:tcBorders>
                  <w:shd w:val="clear" w:color="auto" w:fill="auto"/>
                  <w:vAlign w:val="center"/>
                </w:tcPr>
                <w:p w14:paraId="2258DD0B">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噪声</w:t>
                  </w: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4D5C6E12">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减振、隔声</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44B07F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14:paraId="594905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0" w:hRule="atLeast"/>
              </w:trPr>
              <w:tc>
                <w:tcPr>
                  <w:tcW w:w="912" w:type="pct"/>
                  <w:vMerge w:val="restart"/>
                  <w:tcBorders>
                    <w:top w:val="single" w:color="000000" w:sz="8" w:space="0"/>
                    <w:left w:val="nil"/>
                    <w:bottom w:val="single" w:color="000000" w:sz="8" w:space="0"/>
                    <w:right w:val="single" w:color="000000" w:sz="8" w:space="0"/>
                  </w:tcBorders>
                  <w:shd w:val="clear" w:color="auto" w:fill="auto"/>
                  <w:vAlign w:val="center"/>
                </w:tcPr>
                <w:p w14:paraId="0C53205B">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废水</w:t>
                  </w: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10831EE8">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生产废水经压滤机处理后进入循环水池，循环使用不外排。</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13904C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r>
            <w:tr w14:paraId="6C4094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3"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76087344">
                  <w:pPr>
                    <w:jc w:val="center"/>
                    <w:rPr>
                      <w:rFonts w:hint="eastAsia" w:ascii="Times New Roman" w:hAnsi="Times New Roman" w:eastAsia="宋体" w:cs="宋体"/>
                      <w:i w:val="0"/>
                      <w:iCs w:val="0"/>
                      <w:color w:val="auto"/>
                      <w:sz w:val="21"/>
                      <w:szCs w:val="21"/>
                      <w:u w:val="none"/>
                    </w:rPr>
                  </w:pP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6429E621">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cs="宋体"/>
                      <w:i w:val="0"/>
                      <w:iCs w:val="0"/>
                      <w:color w:val="auto"/>
                      <w:kern w:val="0"/>
                      <w:sz w:val="21"/>
                      <w:szCs w:val="21"/>
                      <w:u w:val="none"/>
                      <w:lang w:val="en-US" w:eastAsia="zh-CN" w:bidi="ar"/>
                    </w:rPr>
                    <w:t>生活污水排入防渗旱厕，定期清掏，外运至污水处理厂</w:t>
                  </w:r>
                  <w:r>
                    <w:rPr>
                      <w:rFonts w:hint="eastAsia" w:ascii="Times New Roman" w:hAnsi="Times New Roman" w:eastAsia="宋体" w:cs="宋体"/>
                      <w:i w:val="0"/>
                      <w:iCs w:val="0"/>
                      <w:color w:val="auto"/>
                      <w:kern w:val="0"/>
                      <w:sz w:val="21"/>
                      <w:szCs w:val="21"/>
                      <w:u w:val="none"/>
                      <w:lang w:val="en-US" w:eastAsia="zh-CN" w:bidi="ar"/>
                    </w:rPr>
                    <w:t>。</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41EF1C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r>
            <w:tr w14:paraId="02387A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5"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20C12803">
                  <w:pPr>
                    <w:jc w:val="center"/>
                    <w:rPr>
                      <w:rFonts w:hint="eastAsia" w:ascii="Times New Roman" w:hAnsi="Times New Roman" w:eastAsia="宋体" w:cs="宋体"/>
                      <w:i w:val="0"/>
                      <w:iCs w:val="0"/>
                      <w:color w:val="auto"/>
                      <w:sz w:val="21"/>
                      <w:szCs w:val="21"/>
                      <w:u w:val="none"/>
                    </w:rPr>
                  </w:pP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4F8DC93F">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初期雨水在车间和堆场四周修建排水沟收集至沉淀池后回用于降尘。</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28C23E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14:paraId="56F796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2"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59B4D12D">
                  <w:pPr>
                    <w:jc w:val="center"/>
                    <w:rPr>
                      <w:rFonts w:hint="eastAsia" w:ascii="Times New Roman" w:hAnsi="Times New Roman" w:eastAsia="宋体" w:cs="宋体"/>
                      <w:i w:val="0"/>
                      <w:iCs w:val="0"/>
                      <w:color w:val="auto"/>
                      <w:sz w:val="21"/>
                      <w:szCs w:val="21"/>
                      <w:u w:val="none"/>
                    </w:rPr>
                  </w:pP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32FF73DC">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按照要求做地下水防渗措施</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07FC52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14:paraId="701E82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912" w:type="pct"/>
                  <w:vMerge w:val="continue"/>
                  <w:tcBorders>
                    <w:top w:val="single" w:color="000000" w:sz="8" w:space="0"/>
                    <w:left w:val="nil"/>
                    <w:bottom w:val="single" w:color="000000" w:sz="8" w:space="0"/>
                    <w:right w:val="single" w:color="000000" w:sz="8" w:space="0"/>
                  </w:tcBorders>
                  <w:shd w:val="clear" w:color="auto" w:fill="auto"/>
                  <w:vAlign w:val="center"/>
                </w:tcPr>
                <w:p w14:paraId="48DA03E8">
                  <w:pPr>
                    <w:jc w:val="center"/>
                    <w:rPr>
                      <w:rFonts w:hint="eastAsia" w:ascii="Times New Roman" w:hAnsi="Times New Roman" w:eastAsia="宋体" w:cs="宋体"/>
                      <w:i w:val="0"/>
                      <w:iCs w:val="0"/>
                      <w:color w:val="auto"/>
                      <w:sz w:val="21"/>
                      <w:szCs w:val="21"/>
                      <w:u w:val="none"/>
                    </w:rPr>
                  </w:pP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4C39DB7A">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事故池</w:t>
                  </w:r>
                  <w:r>
                    <w:rPr>
                      <w:rStyle w:val="101"/>
                      <w:rFonts w:ascii="Times New Roman" w:hAnsi="Times New Roman" w:eastAsia="宋体"/>
                      <w:color w:val="auto"/>
                      <w:lang w:val="en-US" w:eastAsia="zh-CN" w:bidi="ar"/>
                    </w:rPr>
                    <w:t>500m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6BA4B10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r>
            <w:tr w14:paraId="217678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912" w:type="pct"/>
                  <w:tcBorders>
                    <w:top w:val="single" w:color="000000" w:sz="8" w:space="0"/>
                    <w:left w:val="nil"/>
                    <w:bottom w:val="single" w:color="000000" w:sz="8" w:space="0"/>
                    <w:right w:val="single" w:color="000000" w:sz="8" w:space="0"/>
                  </w:tcBorders>
                  <w:shd w:val="clear" w:color="auto" w:fill="auto"/>
                  <w:vAlign w:val="center"/>
                </w:tcPr>
                <w:p w14:paraId="25B3A296">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危险废物</w:t>
                  </w: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2E63C135">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废机油暂存在危废间，委托有资质单位处置</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0A8453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r>
            <w:tr w14:paraId="6C8773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912" w:type="pct"/>
                  <w:tcBorders>
                    <w:top w:val="single" w:color="000000" w:sz="8" w:space="0"/>
                    <w:left w:val="nil"/>
                    <w:bottom w:val="single" w:color="000000" w:sz="8" w:space="0"/>
                    <w:right w:val="single" w:color="000000" w:sz="8" w:space="0"/>
                  </w:tcBorders>
                  <w:shd w:val="clear" w:color="auto" w:fill="auto"/>
                  <w:vAlign w:val="center"/>
                </w:tcPr>
                <w:p w14:paraId="5C8EA9C2">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总</w:t>
                  </w:r>
                  <w:r>
                    <w:rPr>
                      <w:rStyle w:val="101"/>
                      <w:rFonts w:ascii="Times New Roman" w:hAnsi="Times New Roman" w:eastAsia="宋体"/>
                      <w:color w:val="auto"/>
                      <w:lang w:val="en-US" w:eastAsia="zh-CN" w:bidi="ar"/>
                    </w:rPr>
                    <w:t xml:space="preserve">  </w:t>
                  </w:r>
                  <w:r>
                    <w:rPr>
                      <w:rFonts w:hint="eastAsia" w:ascii="Times New Roman" w:hAnsi="Times New Roman" w:eastAsia="宋体" w:cs="宋体"/>
                      <w:i w:val="0"/>
                      <w:iCs w:val="0"/>
                      <w:color w:val="auto"/>
                      <w:kern w:val="0"/>
                      <w:sz w:val="21"/>
                      <w:szCs w:val="21"/>
                      <w:u w:val="none"/>
                      <w:lang w:val="en-US" w:eastAsia="zh-CN" w:bidi="ar"/>
                    </w:rPr>
                    <w:t>计</w:t>
                  </w: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2C837A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1C49DE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26</w:t>
                  </w:r>
                </w:p>
              </w:tc>
            </w:tr>
            <w:tr w14:paraId="67F9F3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2" w:type="pct"/>
                  <w:tcBorders>
                    <w:top w:val="single" w:color="000000" w:sz="8" w:space="0"/>
                    <w:left w:val="nil"/>
                    <w:bottom w:val="single" w:color="000000" w:sz="8" w:space="0"/>
                    <w:right w:val="single" w:color="000000" w:sz="8" w:space="0"/>
                  </w:tcBorders>
                  <w:shd w:val="clear" w:color="auto" w:fill="auto"/>
                  <w:vAlign w:val="center"/>
                </w:tcPr>
                <w:p w14:paraId="04493A26">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项目总投资</w:t>
                  </w:r>
                </w:p>
              </w:tc>
              <w:tc>
                <w:tcPr>
                  <w:tcW w:w="2837"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51342AB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250" w:type="pct"/>
                  <w:tcBorders>
                    <w:top w:val="single" w:color="000000" w:sz="8" w:space="0"/>
                    <w:left w:val="single" w:color="000000" w:sz="8" w:space="0"/>
                    <w:bottom w:val="single" w:color="000000" w:sz="8" w:space="0"/>
                    <w:right w:val="nil"/>
                  </w:tcBorders>
                  <w:shd w:val="clear" w:color="auto" w:fill="auto"/>
                  <w:vAlign w:val="center"/>
                </w:tcPr>
                <w:p w14:paraId="7C422B8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105</w:t>
                  </w:r>
                </w:p>
              </w:tc>
            </w:tr>
            <w:tr w14:paraId="7567B4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12" w:type="pct"/>
                  <w:tcBorders>
                    <w:top w:val="single" w:color="000000" w:sz="8" w:space="0"/>
                    <w:left w:val="nil"/>
                    <w:bottom w:val="single" w:color="000000" w:sz="12" w:space="0"/>
                    <w:right w:val="single" w:color="000000" w:sz="8" w:space="0"/>
                  </w:tcBorders>
                  <w:shd w:val="clear" w:color="auto" w:fill="auto"/>
                  <w:vAlign w:val="center"/>
                </w:tcPr>
                <w:p w14:paraId="1BEA2B8D">
                  <w:pPr>
                    <w:keepNext w:val="0"/>
                    <w:keepLines w:val="0"/>
                    <w:widowControl/>
                    <w:suppressLineNumbers w:val="0"/>
                    <w:jc w:val="center"/>
                    <w:textAlignment w:val="center"/>
                    <w:rPr>
                      <w:rFonts w:hint="eastAsia" w:ascii="Times New Roman" w:hAnsi="Times New Roman" w:eastAsia="宋体" w:cs="宋体"/>
                      <w:i w:val="0"/>
                      <w:iCs w:val="0"/>
                      <w:color w:val="auto"/>
                      <w:sz w:val="21"/>
                      <w:szCs w:val="21"/>
                      <w:u w:val="none"/>
                    </w:rPr>
                  </w:pPr>
                  <w:r>
                    <w:rPr>
                      <w:rFonts w:hint="eastAsia" w:ascii="Times New Roman" w:hAnsi="Times New Roman" w:eastAsia="宋体" w:cs="宋体"/>
                      <w:i w:val="0"/>
                      <w:iCs w:val="0"/>
                      <w:color w:val="auto"/>
                      <w:kern w:val="0"/>
                      <w:sz w:val="21"/>
                      <w:szCs w:val="21"/>
                      <w:u w:val="none"/>
                      <w:lang w:val="en-US" w:eastAsia="zh-CN" w:bidi="ar"/>
                    </w:rPr>
                    <w:t>环保投资比</w:t>
                  </w:r>
                </w:p>
              </w:tc>
              <w:tc>
                <w:tcPr>
                  <w:tcW w:w="2837" w:type="pct"/>
                  <w:gridSpan w:val="2"/>
                  <w:tcBorders>
                    <w:top w:val="single" w:color="000000" w:sz="8" w:space="0"/>
                    <w:left w:val="single" w:color="000000" w:sz="8" w:space="0"/>
                    <w:bottom w:val="single" w:color="000000" w:sz="12" w:space="0"/>
                    <w:right w:val="single" w:color="000000" w:sz="8" w:space="0"/>
                  </w:tcBorders>
                  <w:shd w:val="clear" w:color="auto" w:fill="auto"/>
                  <w:vAlign w:val="center"/>
                </w:tcPr>
                <w:p w14:paraId="14F80E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250" w:type="pct"/>
                  <w:tcBorders>
                    <w:top w:val="single" w:color="000000" w:sz="8" w:space="0"/>
                    <w:left w:val="single" w:color="000000" w:sz="8" w:space="0"/>
                    <w:bottom w:val="single" w:color="000000" w:sz="12" w:space="0"/>
                    <w:right w:val="nil"/>
                  </w:tcBorders>
                  <w:shd w:val="clear" w:color="auto" w:fill="auto"/>
                  <w:vAlign w:val="center"/>
                </w:tcPr>
                <w:p w14:paraId="6C4272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r>
          </w:tbl>
          <w:p w14:paraId="7B5DC537">
            <w:pPr>
              <w:numPr>
                <w:ilvl w:val="0"/>
                <w:numId w:val="0"/>
              </w:numPr>
              <w:adjustRightInd w:val="0"/>
              <w:snapToGrid w:val="0"/>
              <w:spacing w:line="360" w:lineRule="auto"/>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kern w:val="2"/>
                <w:sz w:val="24"/>
                <w:szCs w:val="24"/>
                <w:lang w:val="en-US" w:eastAsia="zh-CN" w:bidi="ar-SA"/>
              </w:rPr>
              <w:t>1</w:t>
            </w:r>
            <w:r>
              <w:rPr>
                <w:rFonts w:hint="eastAsia" w:ascii="Times New Roman" w:hAnsi="Times New Roman" w:cs="Times New Roman"/>
                <w:b/>
                <w:bCs/>
                <w:color w:val="auto"/>
                <w:kern w:val="2"/>
                <w:sz w:val="24"/>
                <w:szCs w:val="24"/>
                <w:lang w:val="en-US" w:eastAsia="zh-CN" w:bidi="ar-SA"/>
              </w:rPr>
              <w:t>2</w:t>
            </w:r>
            <w:r>
              <w:rPr>
                <w:rFonts w:hint="default" w:ascii="Times New Roman" w:hAnsi="Times New Roman" w:eastAsia="宋体" w:cs="Times New Roman"/>
                <w:b/>
                <w:bCs/>
                <w:color w:val="auto"/>
                <w:kern w:val="2"/>
                <w:sz w:val="24"/>
                <w:szCs w:val="24"/>
                <w:lang w:val="en-US" w:eastAsia="zh-CN" w:bidi="ar-SA"/>
              </w:rPr>
              <w:t>、</w:t>
            </w:r>
            <w:r>
              <w:rPr>
                <w:rFonts w:hint="default" w:ascii="Times New Roman" w:hAnsi="Times New Roman" w:eastAsia="宋体" w:cs="Times New Roman"/>
                <w:b/>
                <w:bCs/>
                <w:color w:val="auto"/>
                <w:sz w:val="24"/>
                <w:szCs w:val="24"/>
                <w:highlight w:val="none"/>
                <w:lang w:val="en-US" w:eastAsia="zh-CN"/>
              </w:rPr>
              <w:t>三同时制度及环保验收</w:t>
            </w:r>
          </w:p>
          <w:p w14:paraId="0FDDE240">
            <w:pPr>
              <w:pStyle w:val="78"/>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①建设项目需要完善的减振降噪设施、废气处理设施、污水处理设施和固废处理措施等，应与主体工程同时设计、同时施工、同时投入使用。</w:t>
            </w:r>
          </w:p>
          <w:p w14:paraId="5D62ED0D">
            <w:pPr>
              <w:pStyle w:val="78"/>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②做好废水、废气、噪声等污染处理设施和设备的维护和保养工作，保证污染处理设施有较高的运转率。</w:t>
            </w:r>
          </w:p>
          <w:p w14:paraId="156B3B70">
            <w:pPr>
              <w:pStyle w:val="78"/>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③污染处理设施因故需拆除或停止运行，必须事先报环保主管部门审批。</w:t>
            </w:r>
          </w:p>
          <w:p w14:paraId="628BB685">
            <w:pPr>
              <w:pStyle w:val="78"/>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④建设单位</w:t>
            </w:r>
            <w:r>
              <w:rPr>
                <w:rFonts w:hint="default" w:ascii="Times New Roman" w:hAnsi="Times New Roman" w:cs="Times New Roman"/>
                <w:color w:val="auto"/>
                <w:sz w:val="24"/>
                <w:highlight w:val="none"/>
                <w:u w:val="none"/>
              </w:rPr>
              <w:t>尽快落实整改的环保措施，完成投运后，尽快开展环保验收</w:t>
            </w:r>
            <w:r>
              <w:rPr>
                <w:rFonts w:hint="default" w:ascii="Times New Roman" w:hAnsi="Times New Roman" w:cs="Times New Roman"/>
                <w:color w:val="auto"/>
                <w:highlight w:val="none"/>
                <w:u w:val="none"/>
                <w:lang w:val="en-US" w:eastAsia="zh-CN"/>
              </w:rPr>
              <w:t>应进行竣工环保自主验收。</w:t>
            </w:r>
          </w:p>
          <w:p w14:paraId="1D2DAE78">
            <w:pPr>
              <w:numPr>
                <w:ilvl w:val="0"/>
                <w:numId w:val="0"/>
              </w:numPr>
              <w:adjustRightInd w:val="0"/>
              <w:snapToGrid w:val="0"/>
              <w:spacing w:line="360" w:lineRule="auto"/>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kern w:val="2"/>
                <w:sz w:val="24"/>
                <w:szCs w:val="24"/>
                <w:lang w:val="en-US" w:eastAsia="zh-CN" w:bidi="ar-SA"/>
              </w:rPr>
              <w:t>1</w:t>
            </w:r>
            <w:r>
              <w:rPr>
                <w:rFonts w:hint="eastAsia" w:ascii="Times New Roman" w:hAnsi="Times New Roman" w:cs="Times New Roman"/>
                <w:b/>
                <w:bCs/>
                <w:color w:val="auto"/>
                <w:kern w:val="2"/>
                <w:sz w:val="24"/>
                <w:szCs w:val="24"/>
                <w:lang w:val="en-US" w:eastAsia="zh-CN" w:bidi="ar-SA"/>
              </w:rPr>
              <w:t>3</w:t>
            </w:r>
            <w:r>
              <w:rPr>
                <w:rFonts w:hint="default" w:ascii="Times New Roman" w:hAnsi="Times New Roman" w:eastAsia="宋体" w:cs="Times New Roman"/>
                <w:b/>
                <w:bCs/>
                <w:color w:val="auto"/>
                <w:kern w:val="2"/>
                <w:sz w:val="24"/>
                <w:szCs w:val="24"/>
                <w:lang w:val="en-US" w:eastAsia="zh-CN" w:bidi="ar-SA"/>
              </w:rPr>
              <w:t>、</w:t>
            </w:r>
            <w:r>
              <w:rPr>
                <w:rFonts w:hint="default" w:ascii="Times New Roman" w:hAnsi="Times New Roman" w:eastAsia="宋体" w:cs="Times New Roman"/>
                <w:b/>
                <w:bCs/>
                <w:color w:val="auto"/>
                <w:sz w:val="24"/>
                <w:szCs w:val="24"/>
                <w:highlight w:val="none"/>
                <w:lang w:val="en-US" w:eastAsia="zh-CN"/>
              </w:rPr>
              <w:t>排污许可证制度衔接</w:t>
            </w:r>
          </w:p>
          <w:p w14:paraId="2B035E3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outlineLvl w:val="9"/>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t>根据《关于做好环境影响评价制度与排污许可制衔接相关工作的通知》（环办环评[2017]84号），建设单位应根据本项目污染物产生及排放情况，及时向相关环境保护行政管理部门申请本项目排污许可证。</w:t>
            </w:r>
          </w:p>
          <w:p w14:paraId="1A65E47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outlineLvl w:val="9"/>
              <w:rPr>
                <w:rFonts w:hint="eastAsia" w:ascii="Times New Roman" w:hAnsi="Times New Roman"/>
                <w:color w:val="auto"/>
                <w:sz w:val="24"/>
              </w:rPr>
            </w:pPr>
            <w:r>
              <w:rPr>
                <w:rFonts w:hint="default" w:ascii="Times New Roman" w:hAnsi="Times New Roman" w:eastAsia="宋体" w:cs="Times New Roman"/>
                <w:b w:val="0"/>
                <w:bCs/>
                <w:color w:val="auto"/>
                <w:sz w:val="24"/>
                <w:szCs w:val="24"/>
                <w:highlight w:val="none"/>
              </w:rPr>
              <w:t xml:space="preserve">环境影响报告书（表）2015年1月1日（含）后获得批准的建设项目，其环境影响报告书（表）以及审批文件中与污染物排放相关的主要内容应当纳入排污许可证。为此，下阶段应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具体内容详见报告书各章节。环保管理部门对许可证内容进行定期和不定期的监督核查。 </w:t>
            </w:r>
          </w:p>
        </w:tc>
      </w:tr>
    </w:tbl>
    <w:p w14:paraId="3D9130D0">
      <w:pP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982C2CD">
      <w:pPr>
        <w:pStyle w:val="27"/>
        <w:numPr>
          <w:ilvl w:val="0"/>
          <w:numId w:val="9"/>
        </w:numPr>
        <w:jc w:val="center"/>
        <w:outlineLvl w:val="0"/>
        <w:rPr>
          <w:rFonts w:hint="default" w:ascii="Times New Roman" w:hAnsi="Times New Roman" w:eastAsia="黑体" w:cs="Times New Roman"/>
          <w:snapToGrid w:val="0"/>
          <w:color w:val="auto"/>
          <w:sz w:val="30"/>
          <w:szCs w:val="30"/>
          <w:highlight w:val="none"/>
        </w:rPr>
      </w:pPr>
      <w:bookmarkStart w:id="11" w:name="_Hlk54167917"/>
      <w:bookmarkStart w:id="12" w:name="_Toc1790"/>
      <w:bookmarkStart w:id="13" w:name="_Toc9580102"/>
      <w:bookmarkStart w:id="14" w:name="_Toc9580101"/>
      <w:r>
        <w:rPr>
          <w:rFonts w:hint="default" w:ascii="Times New Roman" w:hAnsi="Times New Roman" w:eastAsia="黑体" w:cs="Times New Roman"/>
          <w:snapToGrid w:val="0"/>
          <w:color w:val="auto"/>
          <w:sz w:val="30"/>
          <w:szCs w:val="30"/>
          <w:highlight w:val="none"/>
        </w:rPr>
        <w:t>环境保护措施监督检查清单</w:t>
      </w:r>
      <w:bookmarkEnd w:id="11"/>
      <w:bookmarkEnd w:id="12"/>
    </w:p>
    <w:bookmarkEnd w:id="13"/>
    <w:bookmarkEnd w:id="14"/>
    <w:tbl>
      <w:tblPr>
        <w:tblStyle w:val="31"/>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7"/>
        <w:gridCol w:w="1310"/>
        <w:gridCol w:w="1330"/>
        <w:gridCol w:w="2676"/>
        <w:gridCol w:w="2751"/>
      </w:tblGrid>
      <w:tr w14:paraId="73612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7" w:hRule="atLeast"/>
          <w:jc w:val="center"/>
        </w:trPr>
        <w:tc>
          <w:tcPr>
            <w:tcW w:w="1287" w:type="dxa"/>
            <w:noWrap w:val="0"/>
            <w:vAlign w:val="top"/>
          </w:tcPr>
          <w:p w14:paraId="2BA5609F">
            <w:pPr>
              <w:spacing w:line="400" w:lineRule="exact"/>
              <w:ind w:firstLine="240" w:firstLineChars="100"/>
              <w:jc w:val="left"/>
              <w:rPr>
                <w:rFonts w:ascii="Times New Roman" w:hAnsi="Times New Roman"/>
                <w:color w:val="auto"/>
                <w:sz w:val="24"/>
                <w:szCs w:val="24"/>
                <w:highlight w:val="none"/>
              </w:rPr>
            </w:pPr>
            <w:r>
              <w:rPr>
                <w:rFonts w:ascii="Times New Roman" w:hAnsi="Times New Roman"/>
                <w:color w:val="auto"/>
                <w:sz w:val="24"/>
                <w:szCs w:val="24"/>
                <w:highlight w:val="none"/>
              </w:rPr>
              <mc:AlternateContent>
                <mc:Choice Requires="wpg">
                  <w:drawing>
                    <wp:anchor distT="0" distB="0" distL="114300" distR="114300" simplePos="0" relativeHeight="251671552" behindDoc="0" locked="0" layoutInCell="1" allowOverlap="1">
                      <wp:simplePos x="0" y="0"/>
                      <wp:positionH relativeFrom="column">
                        <wp:posOffset>-57785</wp:posOffset>
                      </wp:positionH>
                      <wp:positionV relativeFrom="paragraph">
                        <wp:posOffset>0</wp:posOffset>
                      </wp:positionV>
                      <wp:extent cx="793115" cy="725805"/>
                      <wp:effectExtent l="3175" t="3810" r="3810" b="3810"/>
                      <wp:wrapNone/>
                      <wp:docPr id="52" name="组合 6"/>
                      <wp:cNvGraphicFramePr/>
                      <a:graphic xmlns:a="http://schemas.openxmlformats.org/drawingml/2006/main">
                        <a:graphicData uri="http://schemas.microsoft.com/office/word/2010/wordprocessingGroup">
                          <wpg:wgp>
                            <wpg:cNvGrpSpPr/>
                            <wpg:grpSpPr>
                              <a:xfrm>
                                <a:off x="0" y="0"/>
                                <a:ext cx="793115" cy="725805"/>
                                <a:chOff x="0" y="0"/>
                                <a:chExt cx="915" cy="1515"/>
                              </a:xfrm>
                              <a:effectLst/>
                            </wpg:grpSpPr>
                            <wps:wsp>
                              <wps:cNvPr id="40" name="直接连接符 1"/>
                              <wps:cNvCnPr/>
                              <wps:spPr>
                                <a:xfrm>
                                  <a:off x="0" y="0"/>
                                  <a:ext cx="915" cy="1515"/>
                                </a:xfrm>
                                <a:prstGeom prst="line">
                                  <a:avLst/>
                                </a:prstGeom>
                                <a:ln w="6350" cap="flat" cmpd="sng">
                                  <a:solidFill>
                                    <a:srgbClr val="000000"/>
                                  </a:solidFill>
                                  <a:prstDash val="solid"/>
                                  <a:headEnd type="none" w="med" len="med"/>
                                  <a:tailEnd type="none" w="med" len="med"/>
                                </a:ln>
                                <a:effectLst/>
                              </wps:spPr>
                              <wps:bodyPr/>
                            </wps:wsp>
                            <wps:wsp>
                              <wps:cNvPr id="41" name="文本框 2"/>
                              <wps:cNvSpPr txBox="1"/>
                              <wps:spPr>
                                <a:xfrm>
                                  <a:off x="381" y="100"/>
                                  <a:ext cx="300" cy="391"/>
                                </a:xfrm>
                                <a:prstGeom prst="rect">
                                  <a:avLst/>
                                </a:prstGeom>
                                <a:noFill/>
                                <a:ln>
                                  <a:noFill/>
                                </a:ln>
                                <a:effectLst/>
                              </wps:spPr>
                              <wps:txbx>
                                <w:txbxContent>
                                  <w:p w14:paraId="53C060F1">
                                    <w:pPr>
                                      <w:snapToGrid w:val="0"/>
                                      <w:rPr>
                                        <w:color w:val="000000"/>
                                        <w:sz w:val="24"/>
                                      </w:rPr>
                                    </w:pPr>
                                    <w:r>
                                      <w:rPr>
                                        <w:rFonts w:hint="eastAsia"/>
                                        <w:color w:val="000000"/>
                                        <w:sz w:val="24"/>
                                      </w:rPr>
                                      <w:t>内</w:t>
                                    </w:r>
                                  </w:p>
                                </w:txbxContent>
                              </wps:txbx>
                              <wps:bodyPr vert="horz" wrap="square" lIns="0" tIns="0" rIns="0" bIns="0" anchor="t" anchorCtr="0" upright="1"/>
                            </wps:wsp>
                            <wps:wsp>
                              <wps:cNvPr id="42" name="文本框 3"/>
                              <wps:cNvSpPr txBox="1"/>
                              <wps:spPr>
                                <a:xfrm>
                                  <a:off x="537" y="361"/>
                                  <a:ext cx="343" cy="391"/>
                                </a:xfrm>
                                <a:prstGeom prst="rect">
                                  <a:avLst/>
                                </a:prstGeom>
                                <a:noFill/>
                                <a:ln>
                                  <a:noFill/>
                                </a:ln>
                                <a:effectLst/>
                              </wps:spPr>
                              <wps:txbx>
                                <w:txbxContent>
                                  <w:p w14:paraId="5BD8F59C">
                                    <w:pPr>
                                      <w:snapToGrid w:val="0"/>
                                      <w:rPr>
                                        <w:color w:val="000000"/>
                                        <w:sz w:val="24"/>
                                      </w:rPr>
                                    </w:pPr>
                                    <w:r>
                                      <w:rPr>
                                        <w:rFonts w:hint="eastAsia"/>
                                        <w:color w:val="000000"/>
                                        <w:sz w:val="24"/>
                                      </w:rPr>
                                      <w:t>容</w:t>
                                    </w:r>
                                  </w:p>
                                </w:txbxContent>
                              </wps:txbx>
                              <wps:bodyPr vert="horz" wrap="square" lIns="0" tIns="0" rIns="0" bIns="0" anchor="t" anchorCtr="0" upright="1"/>
                            </wps:wsp>
                            <wps:wsp>
                              <wps:cNvPr id="43" name="文本框 4"/>
                              <wps:cNvSpPr txBox="1"/>
                              <wps:spPr>
                                <a:xfrm>
                                  <a:off x="104" y="722"/>
                                  <a:ext cx="343" cy="371"/>
                                </a:xfrm>
                                <a:prstGeom prst="rect">
                                  <a:avLst/>
                                </a:prstGeom>
                                <a:noFill/>
                                <a:ln>
                                  <a:noFill/>
                                </a:ln>
                                <a:effectLst/>
                              </wps:spPr>
                              <wps:txbx>
                                <w:txbxContent>
                                  <w:p w14:paraId="4B18B99B">
                                    <w:pPr>
                                      <w:snapToGrid w:val="0"/>
                                      <w:rPr>
                                        <w:color w:val="000000"/>
                                        <w:sz w:val="24"/>
                                      </w:rPr>
                                    </w:pPr>
                                    <w:r>
                                      <w:rPr>
                                        <w:rFonts w:hint="eastAsia"/>
                                        <w:color w:val="000000"/>
                                        <w:sz w:val="24"/>
                                      </w:rPr>
                                      <w:t>类</w:t>
                                    </w:r>
                                  </w:p>
                                </w:txbxContent>
                              </wps:txbx>
                              <wps:bodyPr vert="horz" wrap="square" lIns="0" tIns="0" rIns="0" bIns="0" anchor="t" anchorCtr="0" upright="1"/>
                            </wps:wsp>
                            <wps:wsp>
                              <wps:cNvPr id="44" name="文本框 5"/>
                              <wps:cNvSpPr txBox="1"/>
                              <wps:spPr>
                                <a:xfrm>
                                  <a:off x="316" y="1071"/>
                                  <a:ext cx="406" cy="391"/>
                                </a:xfrm>
                                <a:prstGeom prst="rect">
                                  <a:avLst/>
                                </a:prstGeom>
                                <a:noFill/>
                                <a:ln>
                                  <a:noFill/>
                                </a:ln>
                                <a:effectLst/>
                              </wps:spPr>
                              <wps:txbx>
                                <w:txbxContent>
                                  <w:p w14:paraId="6C671674">
                                    <w:pPr>
                                      <w:snapToGrid w:val="0"/>
                                      <w:rPr>
                                        <w:color w:val="000000"/>
                                        <w:sz w:val="24"/>
                                      </w:rPr>
                                    </w:pPr>
                                    <w:r>
                                      <w:rPr>
                                        <w:rFonts w:hint="eastAsia"/>
                                        <w:color w:val="000000"/>
                                        <w:sz w:val="24"/>
                                      </w:rPr>
                                      <w:t>型</w:t>
                                    </w:r>
                                  </w:p>
                                </w:txbxContent>
                              </wps:txbx>
                              <wps:bodyPr vert="horz" wrap="square" lIns="0" tIns="0" rIns="0" bIns="0" anchor="t" anchorCtr="0" upright="1"/>
                            </wps:wsp>
                          </wpg:wgp>
                        </a:graphicData>
                      </a:graphic>
                    </wp:anchor>
                  </w:drawing>
                </mc:Choice>
                <mc:Fallback>
                  <w:pict>
                    <v:group id="组合 6" o:spid="_x0000_s1026" o:spt="203" style="position:absolute;left:0pt;margin-left:-4.55pt;margin-top:0pt;height:57.15pt;width:62.45pt;z-index:251671552;mso-width-relative:page;mso-height-relative:page;" coordsize="915,1515" o:gfxdata="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6vItx9YAAAAHAQAADwAAAAAAAAABACAAAAAiAAAAZHJzL2Rvd25yZXYueG1sUEsBAhQAFAAA&#10;AAgAh07iQH6YcaBHAwAAagwAAA4AAAAAAAAAAQAgAAAAJQEAAGRycy9lMm9Eb2MueG1sUEsFBgAA&#10;AAAGAAYAWQEAAN4GAAAAAA==&#10;">
                      <o:lock v:ext="edit" aspectratio="f"/>
                      <v:line id="直接连接符 1" o:spid="_x0000_s1026" o:spt="20" style="position:absolute;left:0;top:0;height:1515;width:915;" filled="f" stroked="t" coordsize="21600,21600" o:gfxdata="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soaI65AAAA2w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shape id="文本框 2" o:spid="_x0000_s1026" o:spt="202" type="#_x0000_t202" style="position:absolute;left:381;top:100;height:391;width:300;" filled="f" stroked="f" coordsize="21600,21600" o:gfxdata="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9Xs+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53C060F1">
                              <w:pPr>
                                <w:snapToGrid w:val="0"/>
                                <w:rPr>
                                  <w:color w:val="000000"/>
                                  <w:sz w:val="24"/>
                                </w:rPr>
                              </w:pPr>
                              <w:r>
                                <w:rPr>
                                  <w:rFonts w:hint="eastAsia"/>
                                  <w:color w:val="000000"/>
                                  <w:sz w:val="24"/>
                                </w:rPr>
                                <w:t>内</w:t>
                              </w:r>
                            </w:p>
                          </w:txbxContent>
                        </v:textbox>
                      </v:shape>
                      <v:shape id="文本框 3" o:spid="_x0000_s1026" o:spt="202" type="#_x0000_t202" style="position:absolute;left:537;top:361;height:391;width:343;" filled="f" stroked="f" coordsize="21600,21600" o:gfxdata="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iflSb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5BD8F59C">
                              <w:pPr>
                                <w:snapToGrid w:val="0"/>
                                <w:rPr>
                                  <w:color w:val="000000"/>
                                  <w:sz w:val="24"/>
                                </w:rPr>
                              </w:pPr>
                              <w:r>
                                <w:rPr>
                                  <w:rFonts w:hint="eastAsia"/>
                                  <w:color w:val="000000"/>
                                  <w:sz w:val="24"/>
                                </w:rPr>
                                <w:t>容</w:t>
                              </w:r>
                            </w:p>
                          </w:txbxContent>
                        </v:textbox>
                      </v:shape>
                      <v:shape id="文本框 4" o:spid="_x0000_s1026" o:spt="202" type="#_x0000_t202" style="position:absolute;left:104;top:722;height:371;width:343;" filled="f" stroked="f" coordsize="21600,21600" o:gfxdata="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WtA0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4B18B99B">
                              <w:pPr>
                                <w:snapToGrid w:val="0"/>
                                <w:rPr>
                                  <w:color w:val="000000"/>
                                  <w:sz w:val="24"/>
                                </w:rPr>
                              </w:pPr>
                              <w:r>
                                <w:rPr>
                                  <w:rFonts w:hint="eastAsia"/>
                                  <w:color w:val="000000"/>
                                  <w:sz w:val="24"/>
                                </w:rPr>
                                <w:t>类</w:t>
                              </w:r>
                            </w:p>
                          </w:txbxContent>
                        </v:textbox>
                      </v:shape>
                      <v:shape id="文本框 5" o:spid="_x0000_s1026" o:spt="202" type="#_x0000_t202" style="position:absolute;left:316;top:1071;height:391;width:406;" filled="f" stroked="f" coordsize="21600,21600" o:gfxdata="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LYp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6C671674">
                              <w:pPr>
                                <w:snapToGrid w:val="0"/>
                                <w:rPr>
                                  <w:color w:val="000000"/>
                                  <w:sz w:val="24"/>
                                </w:rPr>
                              </w:pPr>
                              <w:r>
                                <w:rPr>
                                  <w:rFonts w:hint="eastAsia"/>
                                  <w:color w:val="000000"/>
                                  <w:sz w:val="24"/>
                                </w:rPr>
                                <w:t>型</w:t>
                              </w:r>
                            </w:p>
                          </w:txbxContent>
                        </v:textbox>
                      </v:shape>
                    </v:group>
                  </w:pict>
                </mc:Fallback>
              </mc:AlternateContent>
            </w:r>
          </w:p>
        </w:tc>
        <w:tc>
          <w:tcPr>
            <w:tcW w:w="1310" w:type="dxa"/>
            <w:noWrap w:val="0"/>
            <w:vAlign w:val="center"/>
          </w:tcPr>
          <w:p w14:paraId="57DE95CE">
            <w:pPr>
              <w:adjustRightInd w:val="0"/>
              <w:snapToGrid w:val="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排放口(编号、</w:t>
            </w:r>
          </w:p>
          <w:p w14:paraId="524F54B2">
            <w:pPr>
              <w:spacing w:line="240" w:lineRule="atLeast"/>
              <w:jc w:val="center"/>
              <w:rPr>
                <w:rFonts w:ascii="Times New Roman" w:hAnsi="Times New Roman"/>
                <w:color w:val="auto"/>
                <w:sz w:val="24"/>
                <w:szCs w:val="24"/>
                <w:highlight w:val="none"/>
              </w:rPr>
            </w:pPr>
            <w:r>
              <w:rPr>
                <w:rFonts w:hint="eastAsia" w:ascii="Times New Roman" w:hAnsi="Times New Roman" w:cs="宋体"/>
                <w:color w:val="auto"/>
                <w:sz w:val="24"/>
                <w:szCs w:val="24"/>
                <w:highlight w:val="none"/>
              </w:rPr>
              <w:t>名称)/污染源</w:t>
            </w:r>
          </w:p>
        </w:tc>
        <w:tc>
          <w:tcPr>
            <w:tcW w:w="1330" w:type="dxa"/>
            <w:noWrap w:val="0"/>
            <w:vAlign w:val="center"/>
          </w:tcPr>
          <w:p w14:paraId="17C43ED6">
            <w:pPr>
              <w:spacing w:line="240" w:lineRule="atLeast"/>
              <w:ind w:left="-105" w:leftChars="-50" w:right="-105" w:rightChars="-50"/>
              <w:jc w:val="center"/>
              <w:rPr>
                <w:rFonts w:ascii="Times New Roman" w:hAnsi="Times New Roman"/>
                <w:color w:val="auto"/>
                <w:sz w:val="24"/>
                <w:szCs w:val="24"/>
                <w:highlight w:val="none"/>
              </w:rPr>
            </w:pPr>
            <w:r>
              <w:rPr>
                <w:rFonts w:hint="eastAsia" w:ascii="Times New Roman" w:hAnsi="Times New Roman" w:cs="宋体"/>
                <w:color w:val="auto"/>
                <w:sz w:val="24"/>
                <w:szCs w:val="24"/>
                <w:highlight w:val="none"/>
              </w:rPr>
              <w:t>污染物项目</w:t>
            </w:r>
          </w:p>
        </w:tc>
        <w:tc>
          <w:tcPr>
            <w:tcW w:w="2676" w:type="dxa"/>
            <w:noWrap w:val="0"/>
            <w:vAlign w:val="center"/>
          </w:tcPr>
          <w:p w14:paraId="3B0E0D10">
            <w:pPr>
              <w:jc w:val="center"/>
              <w:rPr>
                <w:rFonts w:ascii="Times New Roman" w:hAnsi="Times New Roman"/>
                <w:color w:val="auto"/>
                <w:sz w:val="24"/>
                <w:szCs w:val="24"/>
                <w:highlight w:val="none"/>
              </w:rPr>
            </w:pPr>
            <w:r>
              <w:rPr>
                <w:rFonts w:hint="eastAsia" w:ascii="Times New Roman" w:hAnsi="Times New Roman"/>
                <w:color w:val="auto"/>
                <w:sz w:val="24"/>
                <w:szCs w:val="24"/>
                <w:highlight w:val="none"/>
              </w:rPr>
              <w:t>环境保护措施</w:t>
            </w:r>
          </w:p>
        </w:tc>
        <w:tc>
          <w:tcPr>
            <w:tcW w:w="2751" w:type="dxa"/>
            <w:noWrap w:val="0"/>
            <w:vAlign w:val="center"/>
          </w:tcPr>
          <w:p w14:paraId="77B2A703">
            <w:pPr>
              <w:jc w:val="center"/>
              <w:rPr>
                <w:rFonts w:ascii="Times New Roman" w:hAnsi="Times New Roman"/>
                <w:color w:val="auto"/>
                <w:sz w:val="24"/>
                <w:szCs w:val="24"/>
                <w:highlight w:val="none"/>
              </w:rPr>
            </w:pPr>
            <w:r>
              <w:rPr>
                <w:rFonts w:hint="eastAsia" w:ascii="Times New Roman" w:hAnsi="Times New Roman" w:cs="宋体"/>
                <w:color w:val="auto"/>
                <w:sz w:val="24"/>
                <w:szCs w:val="24"/>
                <w:highlight w:val="none"/>
              </w:rPr>
              <w:t>执行标准</w:t>
            </w:r>
          </w:p>
        </w:tc>
      </w:tr>
      <w:tr w14:paraId="638E7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9" w:hRule="atLeast"/>
          <w:jc w:val="center"/>
        </w:trPr>
        <w:tc>
          <w:tcPr>
            <w:tcW w:w="1287" w:type="dxa"/>
            <w:vMerge w:val="restart"/>
            <w:noWrap w:val="0"/>
            <w:vAlign w:val="center"/>
          </w:tcPr>
          <w:p w14:paraId="00510AF2">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大气环境</w:t>
            </w:r>
          </w:p>
        </w:tc>
        <w:tc>
          <w:tcPr>
            <w:tcW w:w="1310" w:type="dxa"/>
            <w:noWrap w:val="0"/>
            <w:vAlign w:val="center"/>
          </w:tcPr>
          <w:p w14:paraId="1FEFFE77">
            <w:pPr>
              <w:spacing w:line="240" w:lineRule="atLeast"/>
              <w:ind w:left="-105" w:leftChars="-50" w:right="-105" w:rightChars="-50"/>
              <w:jc w:val="center"/>
              <w:rPr>
                <w:rFonts w:hint="eastAsia" w:ascii="Times New Roman" w:hAnsi="Times New Roman" w:cs="宋体"/>
                <w:color w:val="auto"/>
                <w:sz w:val="24"/>
                <w:szCs w:val="24"/>
                <w:highlight w:val="none"/>
                <w:lang w:eastAsia="zh-Hans"/>
              </w:rPr>
            </w:pPr>
            <w:r>
              <w:rPr>
                <w:rFonts w:hint="eastAsia" w:ascii="Times New Roman" w:hAnsi="Times New Roman" w:cs="宋体"/>
                <w:color w:val="auto"/>
                <w:sz w:val="24"/>
                <w:szCs w:val="24"/>
                <w:highlight w:val="none"/>
              </w:rPr>
              <w:t>原料卸车扬尘</w:t>
            </w:r>
          </w:p>
        </w:tc>
        <w:tc>
          <w:tcPr>
            <w:tcW w:w="1330" w:type="dxa"/>
            <w:noWrap w:val="0"/>
            <w:vAlign w:val="center"/>
          </w:tcPr>
          <w:p w14:paraId="0DB7684C">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颗粒物</w:t>
            </w:r>
          </w:p>
        </w:tc>
        <w:tc>
          <w:tcPr>
            <w:tcW w:w="2676" w:type="dxa"/>
            <w:noWrap w:val="0"/>
            <w:vAlign w:val="center"/>
          </w:tcPr>
          <w:p w14:paraId="109A23E4">
            <w:pPr>
              <w:spacing w:line="240" w:lineRule="atLeast"/>
              <w:ind w:left="-105" w:leftChars="-50" w:right="-105" w:rightChars="-50"/>
              <w:jc w:val="center"/>
              <w:rPr>
                <w:rFonts w:hint="default"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rPr>
              <w:t>对本项目采取洒水降尘措施，且在防风抑尘网内进行</w:t>
            </w:r>
          </w:p>
        </w:tc>
        <w:tc>
          <w:tcPr>
            <w:tcW w:w="2751" w:type="dxa"/>
            <w:vMerge w:val="restart"/>
            <w:noWrap w:val="0"/>
            <w:vAlign w:val="center"/>
          </w:tcPr>
          <w:p w14:paraId="04255A04">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 xml:space="preserve">《煤炭工业污染物排放标准》（GB20426-2006）中表5 煤炭工业无组织排放限值 </w:t>
            </w:r>
          </w:p>
        </w:tc>
      </w:tr>
      <w:tr w14:paraId="6279A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287" w:type="dxa"/>
            <w:vMerge w:val="continue"/>
            <w:noWrap w:val="0"/>
            <w:vAlign w:val="top"/>
          </w:tcPr>
          <w:p w14:paraId="32F7FD58">
            <w:pPr>
              <w:spacing w:line="240" w:lineRule="atLeast"/>
              <w:ind w:left="-105" w:leftChars="-50" w:right="-105" w:rightChars="-50"/>
              <w:jc w:val="center"/>
              <w:rPr>
                <w:rFonts w:hint="eastAsia" w:ascii="Times New Roman" w:hAnsi="Times New Roman" w:cs="宋体"/>
                <w:color w:val="auto"/>
                <w:sz w:val="24"/>
                <w:szCs w:val="24"/>
                <w:highlight w:val="none"/>
              </w:rPr>
            </w:pPr>
          </w:p>
        </w:tc>
        <w:tc>
          <w:tcPr>
            <w:tcW w:w="1310" w:type="dxa"/>
            <w:noWrap w:val="0"/>
            <w:vAlign w:val="center"/>
          </w:tcPr>
          <w:p w14:paraId="623B8623">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转运环节粉尘</w:t>
            </w:r>
          </w:p>
        </w:tc>
        <w:tc>
          <w:tcPr>
            <w:tcW w:w="1330" w:type="dxa"/>
            <w:noWrap w:val="0"/>
            <w:vAlign w:val="center"/>
          </w:tcPr>
          <w:p w14:paraId="2C137691">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颗粒物</w:t>
            </w:r>
          </w:p>
        </w:tc>
        <w:tc>
          <w:tcPr>
            <w:tcW w:w="2676" w:type="dxa"/>
            <w:noWrap w:val="0"/>
            <w:vAlign w:val="center"/>
          </w:tcPr>
          <w:p w14:paraId="13F81223">
            <w:pPr>
              <w:spacing w:line="240" w:lineRule="atLeast"/>
              <w:ind w:left="-105" w:leftChars="-50" w:right="-105" w:rightChars="-50"/>
              <w:jc w:val="center"/>
              <w:rPr>
                <w:rFonts w:hint="default"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rPr>
              <w:t>上料口、运输皮带均安装在封闭的通廊中，通廊上方留有通风口，并在转载点采取洒水降尘措施，将皮带输送机设置在封闭的皮带走廊内</w:t>
            </w:r>
          </w:p>
        </w:tc>
        <w:tc>
          <w:tcPr>
            <w:tcW w:w="2751" w:type="dxa"/>
            <w:vMerge w:val="continue"/>
            <w:noWrap w:val="0"/>
            <w:vAlign w:val="center"/>
          </w:tcPr>
          <w:p w14:paraId="6BD47AEE">
            <w:pPr>
              <w:spacing w:line="240" w:lineRule="atLeast"/>
              <w:ind w:left="-105" w:leftChars="-50" w:right="-105" w:rightChars="-50"/>
              <w:jc w:val="center"/>
              <w:rPr>
                <w:rFonts w:hint="eastAsia" w:ascii="Times New Roman" w:hAnsi="Times New Roman" w:cs="宋体"/>
                <w:color w:val="auto"/>
                <w:sz w:val="24"/>
                <w:szCs w:val="24"/>
                <w:highlight w:val="none"/>
              </w:rPr>
            </w:pPr>
          </w:p>
        </w:tc>
      </w:tr>
      <w:tr w14:paraId="07A44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6" w:hRule="atLeast"/>
          <w:jc w:val="center"/>
        </w:trPr>
        <w:tc>
          <w:tcPr>
            <w:tcW w:w="1287" w:type="dxa"/>
            <w:vMerge w:val="continue"/>
            <w:noWrap w:val="0"/>
            <w:vAlign w:val="top"/>
          </w:tcPr>
          <w:p w14:paraId="779DB520">
            <w:pPr>
              <w:spacing w:line="240" w:lineRule="atLeast"/>
              <w:ind w:left="-105" w:leftChars="-50" w:right="-105" w:rightChars="-50"/>
              <w:jc w:val="center"/>
              <w:rPr>
                <w:rFonts w:hint="eastAsia" w:ascii="Times New Roman" w:hAnsi="Times New Roman" w:cs="宋体"/>
                <w:color w:val="auto"/>
                <w:sz w:val="24"/>
                <w:szCs w:val="24"/>
                <w:highlight w:val="none"/>
              </w:rPr>
            </w:pPr>
          </w:p>
        </w:tc>
        <w:tc>
          <w:tcPr>
            <w:tcW w:w="1310" w:type="dxa"/>
            <w:noWrap w:val="0"/>
            <w:vAlign w:val="center"/>
          </w:tcPr>
          <w:p w14:paraId="69047076">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运输扬尘</w:t>
            </w:r>
          </w:p>
        </w:tc>
        <w:tc>
          <w:tcPr>
            <w:tcW w:w="1330" w:type="dxa"/>
            <w:noWrap w:val="0"/>
            <w:vAlign w:val="center"/>
          </w:tcPr>
          <w:p w14:paraId="649E686F">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颗粒物</w:t>
            </w:r>
          </w:p>
        </w:tc>
        <w:tc>
          <w:tcPr>
            <w:tcW w:w="2676" w:type="dxa"/>
            <w:noWrap w:val="0"/>
            <w:vAlign w:val="center"/>
          </w:tcPr>
          <w:p w14:paraId="58B2C243">
            <w:pPr>
              <w:spacing w:line="240" w:lineRule="atLeast"/>
              <w:ind w:left="-105" w:leftChars="-50" w:right="-105" w:rightChars="-50"/>
              <w:jc w:val="center"/>
              <w:rPr>
                <w:rFonts w:hint="default"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eastAsia="zh-CN"/>
              </w:rPr>
              <w:t>本项目厂区内对运输车辆车身加盖苫布，防止物料的洒落，运输道路进行洒水降尘措施</w:t>
            </w:r>
          </w:p>
        </w:tc>
        <w:tc>
          <w:tcPr>
            <w:tcW w:w="2751" w:type="dxa"/>
            <w:vMerge w:val="continue"/>
            <w:noWrap w:val="0"/>
            <w:vAlign w:val="center"/>
          </w:tcPr>
          <w:p w14:paraId="50BF7C46">
            <w:pPr>
              <w:spacing w:line="240" w:lineRule="atLeast"/>
              <w:ind w:left="-105" w:leftChars="-50" w:right="-105" w:rightChars="-50"/>
              <w:jc w:val="center"/>
              <w:rPr>
                <w:rFonts w:hint="eastAsia" w:ascii="Times New Roman" w:hAnsi="Times New Roman" w:cs="宋体"/>
                <w:color w:val="auto"/>
                <w:sz w:val="24"/>
                <w:szCs w:val="24"/>
                <w:highlight w:val="none"/>
              </w:rPr>
            </w:pPr>
          </w:p>
        </w:tc>
      </w:tr>
      <w:tr w14:paraId="08875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97" w:hRule="atLeast"/>
          <w:jc w:val="center"/>
        </w:trPr>
        <w:tc>
          <w:tcPr>
            <w:tcW w:w="1287" w:type="dxa"/>
            <w:vMerge w:val="continue"/>
            <w:noWrap w:val="0"/>
            <w:vAlign w:val="center"/>
          </w:tcPr>
          <w:p w14:paraId="774DC2C4">
            <w:pPr>
              <w:spacing w:line="240" w:lineRule="atLeast"/>
              <w:ind w:left="-105" w:leftChars="-50" w:right="-105" w:rightChars="-50"/>
              <w:jc w:val="center"/>
              <w:rPr>
                <w:rFonts w:hint="eastAsia" w:ascii="Times New Roman" w:hAnsi="Times New Roman" w:cs="宋体"/>
                <w:color w:val="auto"/>
                <w:sz w:val="24"/>
                <w:szCs w:val="24"/>
                <w:highlight w:val="none"/>
              </w:rPr>
            </w:pPr>
          </w:p>
        </w:tc>
        <w:tc>
          <w:tcPr>
            <w:tcW w:w="1310" w:type="dxa"/>
            <w:noWrap w:val="0"/>
            <w:vAlign w:val="center"/>
          </w:tcPr>
          <w:p w14:paraId="66356E20">
            <w:pPr>
              <w:spacing w:line="240" w:lineRule="atLeast"/>
              <w:ind w:left="-105" w:leftChars="-50" w:right="-105" w:rightChars="-50"/>
              <w:jc w:val="center"/>
              <w:rPr>
                <w:rFonts w:hint="eastAsia" w:ascii="Times New Roman" w:hAnsi="Times New Roman" w:cs="宋体"/>
                <w:color w:val="auto"/>
                <w:sz w:val="24"/>
                <w:szCs w:val="24"/>
                <w:highlight w:val="none"/>
                <w:lang w:eastAsia="zh-CN"/>
              </w:rPr>
            </w:pPr>
            <w:r>
              <w:rPr>
                <w:rFonts w:hint="eastAsia" w:ascii="Times New Roman" w:hAnsi="Times New Roman" w:cs="宋体"/>
                <w:color w:val="auto"/>
                <w:sz w:val="24"/>
                <w:szCs w:val="24"/>
                <w:highlight w:val="none"/>
              </w:rPr>
              <w:t>堆场扬尘</w:t>
            </w:r>
          </w:p>
        </w:tc>
        <w:tc>
          <w:tcPr>
            <w:tcW w:w="1330" w:type="dxa"/>
            <w:noWrap w:val="0"/>
            <w:vAlign w:val="center"/>
          </w:tcPr>
          <w:p w14:paraId="13739E51">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颗粒物</w:t>
            </w:r>
          </w:p>
        </w:tc>
        <w:tc>
          <w:tcPr>
            <w:tcW w:w="2676" w:type="dxa"/>
            <w:noWrap w:val="0"/>
            <w:vAlign w:val="center"/>
          </w:tcPr>
          <w:p w14:paraId="77BF9962">
            <w:pPr>
              <w:spacing w:line="240" w:lineRule="atLeast"/>
              <w:ind w:left="-105" w:leftChars="-50" w:right="-105" w:rightChars="-50"/>
              <w:jc w:val="center"/>
              <w:rPr>
                <w:rFonts w:hint="default" w:ascii="Times New Roman" w:hAnsi="Times New Roman" w:cs="宋体"/>
                <w:color w:val="auto"/>
                <w:sz w:val="24"/>
                <w:szCs w:val="24"/>
                <w:highlight w:val="none"/>
                <w:lang w:eastAsia="zh-CN"/>
              </w:rPr>
            </w:pPr>
            <w:r>
              <w:rPr>
                <w:rFonts w:hint="eastAsia" w:ascii="Times New Roman" w:hAnsi="Times New Roman" w:cs="宋体"/>
                <w:color w:val="auto"/>
                <w:sz w:val="24"/>
                <w:szCs w:val="24"/>
                <w:highlight w:val="none"/>
                <w:lang w:eastAsia="zh-CN"/>
              </w:rPr>
              <w:t>本项目设置防风抑尘网遮盖并进行内部洒水降尘</w:t>
            </w:r>
          </w:p>
        </w:tc>
        <w:tc>
          <w:tcPr>
            <w:tcW w:w="2751" w:type="dxa"/>
            <w:vMerge w:val="continue"/>
            <w:noWrap w:val="0"/>
            <w:vAlign w:val="center"/>
          </w:tcPr>
          <w:p w14:paraId="60DA6A6A">
            <w:pPr>
              <w:spacing w:line="240" w:lineRule="atLeast"/>
              <w:ind w:left="-105" w:leftChars="-50" w:right="-105" w:rightChars="-50"/>
              <w:jc w:val="center"/>
              <w:rPr>
                <w:rFonts w:hint="default" w:ascii="Times New Roman" w:hAnsi="Times New Roman" w:cs="宋体"/>
                <w:color w:val="auto"/>
                <w:sz w:val="24"/>
                <w:szCs w:val="24"/>
                <w:highlight w:val="none"/>
                <w:lang w:eastAsia="zh-CN"/>
              </w:rPr>
            </w:pPr>
          </w:p>
        </w:tc>
      </w:tr>
      <w:tr w14:paraId="1FDF1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80" w:hRule="atLeast"/>
          <w:jc w:val="center"/>
        </w:trPr>
        <w:tc>
          <w:tcPr>
            <w:tcW w:w="1287" w:type="dxa"/>
            <w:vMerge w:val="restart"/>
            <w:noWrap w:val="0"/>
            <w:vAlign w:val="center"/>
          </w:tcPr>
          <w:p w14:paraId="299017BF">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地表水环境</w:t>
            </w:r>
          </w:p>
        </w:tc>
        <w:tc>
          <w:tcPr>
            <w:tcW w:w="1310" w:type="dxa"/>
            <w:noWrap w:val="0"/>
            <w:vAlign w:val="center"/>
          </w:tcPr>
          <w:p w14:paraId="3E2DCE12">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员工</w:t>
            </w:r>
          </w:p>
        </w:tc>
        <w:tc>
          <w:tcPr>
            <w:tcW w:w="1330" w:type="dxa"/>
            <w:noWrap w:val="0"/>
            <w:vAlign w:val="center"/>
          </w:tcPr>
          <w:p w14:paraId="43A5B0BB">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生活污水</w:t>
            </w:r>
          </w:p>
        </w:tc>
        <w:tc>
          <w:tcPr>
            <w:tcW w:w="2676" w:type="dxa"/>
            <w:noWrap w:val="0"/>
            <w:vAlign w:val="center"/>
          </w:tcPr>
          <w:p w14:paraId="41C85EDD">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cs="宋体"/>
                <w:color w:val="auto"/>
                <w:sz w:val="24"/>
                <w:szCs w:val="24"/>
                <w:highlight w:val="none"/>
                <w:lang w:eastAsia="zh-CN"/>
              </w:rPr>
              <w:t>生活污水排入防渗旱厕，定期清掏，外运至污水处理厂</w:t>
            </w:r>
            <w:r>
              <w:rPr>
                <w:rFonts w:hint="eastAsia" w:ascii="Times New Roman" w:hAnsi="Times New Roman" w:cs="宋体"/>
                <w:color w:val="auto"/>
                <w:sz w:val="24"/>
                <w:szCs w:val="24"/>
                <w:highlight w:val="none"/>
              </w:rPr>
              <w:t>。</w:t>
            </w:r>
          </w:p>
        </w:tc>
        <w:tc>
          <w:tcPr>
            <w:tcW w:w="2751" w:type="dxa"/>
            <w:noWrap w:val="0"/>
            <w:vAlign w:val="center"/>
          </w:tcPr>
          <w:p w14:paraId="7D4365B2">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不外排</w:t>
            </w:r>
          </w:p>
        </w:tc>
      </w:tr>
      <w:tr w14:paraId="6E034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80" w:hRule="atLeast"/>
          <w:jc w:val="center"/>
        </w:trPr>
        <w:tc>
          <w:tcPr>
            <w:tcW w:w="1287" w:type="dxa"/>
            <w:vMerge w:val="continue"/>
            <w:noWrap w:val="0"/>
            <w:vAlign w:val="center"/>
          </w:tcPr>
          <w:p w14:paraId="1CFDF465">
            <w:pPr>
              <w:spacing w:line="240" w:lineRule="atLeast"/>
              <w:ind w:left="-105" w:leftChars="-50" w:right="-105" w:rightChars="-50"/>
              <w:jc w:val="center"/>
              <w:rPr>
                <w:rFonts w:hint="eastAsia" w:ascii="Times New Roman" w:hAnsi="Times New Roman" w:cs="宋体"/>
                <w:color w:val="auto"/>
                <w:sz w:val="24"/>
                <w:szCs w:val="24"/>
                <w:highlight w:val="none"/>
              </w:rPr>
            </w:pPr>
          </w:p>
        </w:tc>
        <w:tc>
          <w:tcPr>
            <w:tcW w:w="1310" w:type="dxa"/>
            <w:noWrap w:val="0"/>
            <w:vAlign w:val="center"/>
          </w:tcPr>
          <w:p w14:paraId="113E0AA8">
            <w:pPr>
              <w:spacing w:line="240" w:lineRule="atLeast"/>
              <w:ind w:left="-105" w:leftChars="-50" w:right="-105" w:rightChars="-50"/>
              <w:jc w:val="center"/>
              <w:rPr>
                <w:rFonts w:hint="eastAsia" w:ascii="Times New Roman" w:hAnsi="Times New Roman" w:eastAsia="宋体"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生产</w:t>
            </w:r>
          </w:p>
        </w:tc>
        <w:tc>
          <w:tcPr>
            <w:tcW w:w="1330" w:type="dxa"/>
            <w:noWrap w:val="0"/>
            <w:vAlign w:val="center"/>
          </w:tcPr>
          <w:p w14:paraId="079407C2">
            <w:pPr>
              <w:spacing w:line="240" w:lineRule="atLeast"/>
              <w:ind w:left="-105" w:leftChars="-50" w:right="-105" w:rightChars="-50"/>
              <w:jc w:val="center"/>
              <w:rPr>
                <w:rFonts w:hint="default" w:ascii="Times New Roman" w:hAnsi="Times New Roman" w:eastAsia="宋体"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生产废水</w:t>
            </w:r>
          </w:p>
        </w:tc>
        <w:tc>
          <w:tcPr>
            <w:tcW w:w="2676" w:type="dxa"/>
            <w:noWrap w:val="0"/>
            <w:vAlign w:val="center"/>
          </w:tcPr>
          <w:p w14:paraId="3BB7B9A9">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生产废水经处理后全部回用不外排</w:t>
            </w:r>
          </w:p>
        </w:tc>
        <w:tc>
          <w:tcPr>
            <w:tcW w:w="2751" w:type="dxa"/>
            <w:noWrap w:val="0"/>
            <w:vAlign w:val="center"/>
          </w:tcPr>
          <w:p w14:paraId="38E65E66">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不外排</w:t>
            </w:r>
          </w:p>
        </w:tc>
      </w:tr>
      <w:tr w14:paraId="540AB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21" w:hRule="atLeast"/>
          <w:jc w:val="center"/>
        </w:trPr>
        <w:tc>
          <w:tcPr>
            <w:tcW w:w="1287" w:type="dxa"/>
            <w:vMerge w:val="restart"/>
            <w:noWrap w:val="0"/>
            <w:vAlign w:val="center"/>
          </w:tcPr>
          <w:p w14:paraId="37990713">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rPr>
              <w:t>固体废物</w:t>
            </w:r>
          </w:p>
        </w:tc>
        <w:tc>
          <w:tcPr>
            <w:tcW w:w="1310" w:type="dxa"/>
            <w:noWrap w:val="0"/>
            <w:vAlign w:val="center"/>
          </w:tcPr>
          <w:p w14:paraId="28CA658F">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生产</w:t>
            </w:r>
          </w:p>
        </w:tc>
        <w:tc>
          <w:tcPr>
            <w:tcW w:w="1330" w:type="dxa"/>
            <w:noWrap w:val="0"/>
            <w:vAlign w:val="center"/>
          </w:tcPr>
          <w:p w14:paraId="076E880F">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除铁杂质</w:t>
            </w:r>
          </w:p>
        </w:tc>
        <w:tc>
          <w:tcPr>
            <w:tcW w:w="2676" w:type="dxa"/>
            <w:noWrap w:val="0"/>
            <w:vAlign w:val="center"/>
          </w:tcPr>
          <w:p w14:paraId="460BD93E">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暂存于洗选车间内，外售处理</w:t>
            </w:r>
          </w:p>
        </w:tc>
        <w:tc>
          <w:tcPr>
            <w:tcW w:w="2751" w:type="dxa"/>
            <w:vMerge w:val="restart"/>
            <w:noWrap w:val="0"/>
            <w:vAlign w:val="center"/>
          </w:tcPr>
          <w:p w14:paraId="0A897413">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执行《</w:t>
            </w:r>
            <w:r>
              <w:rPr>
                <w:rFonts w:hint="eastAsia" w:ascii="Times New Roman" w:hAnsi="Times New Roman" w:cs="宋体"/>
                <w:color w:val="auto"/>
                <w:sz w:val="24"/>
                <w:szCs w:val="24"/>
                <w:highlight w:val="none"/>
                <w:lang w:val="en-US" w:eastAsia="zh-CN"/>
              </w:rPr>
              <w:t>一般工业固体废物贮存和填埋污染控制标准</w:t>
            </w:r>
            <w:r>
              <w:rPr>
                <w:rFonts w:hint="eastAsia" w:ascii="Times New Roman" w:hAnsi="Times New Roman" w:cs="宋体"/>
                <w:color w:val="auto"/>
                <w:sz w:val="24"/>
                <w:szCs w:val="24"/>
                <w:highlight w:val="none"/>
              </w:rPr>
              <w:t>》（GB18599-20</w:t>
            </w:r>
            <w:r>
              <w:rPr>
                <w:rFonts w:hint="eastAsia" w:ascii="Times New Roman" w:hAnsi="Times New Roman" w:cs="宋体"/>
                <w:color w:val="auto"/>
                <w:sz w:val="24"/>
                <w:szCs w:val="24"/>
                <w:highlight w:val="none"/>
                <w:lang w:val="en-US" w:eastAsia="zh-CN"/>
              </w:rPr>
              <w:t>20</w:t>
            </w:r>
            <w:r>
              <w:rPr>
                <w:rFonts w:hint="eastAsia" w:ascii="Times New Roman" w:hAnsi="Times New Roman" w:cs="宋体"/>
                <w:color w:val="auto"/>
                <w:sz w:val="24"/>
                <w:szCs w:val="24"/>
                <w:highlight w:val="none"/>
              </w:rPr>
              <w:t>）</w:t>
            </w:r>
          </w:p>
        </w:tc>
      </w:tr>
      <w:tr w14:paraId="0F367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21" w:hRule="atLeast"/>
          <w:jc w:val="center"/>
        </w:trPr>
        <w:tc>
          <w:tcPr>
            <w:tcW w:w="1287" w:type="dxa"/>
            <w:vMerge w:val="continue"/>
            <w:noWrap w:val="0"/>
            <w:vAlign w:val="center"/>
          </w:tcPr>
          <w:p w14:paraId="78470A85">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p>
        </w:tc>
        <w:tc>
          <w:tcPr>
            <w:tcW w:w="1310" w:type="dxa"/>
            <w:noWrap w:val="0"/>
            <w:vAlign w:val="center"/>
          </w:tcPr>
          <w:p w14:paraId="55ECD258">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生产</w:t>
            </w:r>
          </w:p>
        </w:tc>
        <w:tc>
          <w:tcPr>
            <w:tcW w:w="1330" w:type="dxa"/>
            <w:noWrap w:val="0"/>
            <w:vAlign w:val="center"/>
          </w:tcPr>
          <w:p w14:paraId="59C2425B">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包装袋</w:t>
            </w:r>
          </w:p>
        </w:tc>
        <w:tc>
          <w:tcPr>
            <w:tcW w:w="2676" w:type="dxa"/>
            <w:noWrap w:val="0"/>
            <w:vAlign w:val="center"/>
          </w:tcPr>
          <w:p w14:paraId="5A1EFF1D">
            <w:pPr>
              <w:spacing w:line="240" w:lineRule="atLeast"/>
              <w:ind w:left="-105" w:leftChars="-50" w:right="-105" w:rightChars="-50"/>
              <w:jc w:val="center"/>
              <w:rPr>
                <w:rFonts w:hint="default"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rPr>
              <w:t>暂存洗选车间，由厂家回收处理</w:t>
            </w:r>
          </w:p>
        </w:tc>
        <w:tc>
          <w:tcPr>
            <w:tcW w:w="2751" w:type="dxa"/>
            <w:vMerge w:val="continue"/>
            <w:noWrap w:val="0"/>
            <w:vAlign w:val="center"/>
          </w:tcPr>
          <w:p w14:paraId="3DAD6835">
            <w:pPr>
              <w:spacing w:line="240" w:lineRule="atLeast"/>
              <w:ind w:left="-105" w:leftChars="-50" w:right="-105" w:rightChars="-50"/>
              <w:jc w:val="center"/>
              <w:rPr>
                <w:rFonts w:hint="eastAsia" w:ascii="Times New Roman" w:hAnsi="Times New Roman" w:cs="宋体"/>
                <w:color w:val="auto"/>
                <w:sz w:val="24"/>
                <w:szCs w:val="24"/>
                <w:highlight w:val="none"/>
              </w:rPr>
            </w:pPr>
          </w:p>
        </w:tc>
      </w:tr>
      <w:tr w14:paraId="4D35A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21" w:hRule="atLeast"/>
          <w:jc w:val="center"/>
        </w:trPr>
        <w:tc>
          <w:tcPr>
            <w:tcW w:w="1287" w:type="dxa"/>
            <w:vMerge w:val="continue"/>
            <w:noWrap w:val="0"/>
            <w:vAlign w:val="center"/>
          </w:tcPr>
          <w:p w14:paraId="7DBAA7D0">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p>
        </w:tc>
        <w:tc>
          <w:tcPr>
            <w:tcW w:w="1310" w:type="dxa"/>
            <w:noWrap w:val="0"/>
            <w:vAlign w:val="center"/>
          </w:tcPr>
          <w:p w14:paraId="044693FD">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生产</w:t>
            </w:r>
          </w:p>
        </w:tc>
        <w:tc>
          <w:tcPr>
            <w:tcW w:w="1330" w:type="dxa"/>
            <w:noWrap w:val="0"/>
            <w:vAlign w:val="center"/>
          </w:tcPr>
          <w:p w14:paraId="71355954">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煤泥</w:t>
            </w:r>
          </w:p>
        </w:tc>
        <w:tc>
          <w:tcPr>
            <w:tcW w:w="2676" w:type="dxa"/>
            <w:noWrap w:val="0"/>
            <w:vAlign w:val="center"/>
          </w:tcPr>
          <w:p w14:paraId="22452113">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暂存于煤泥堆场后，外售综合利用</w:t>
            </w:r>
          </w:p>
        </w:tc>
        <w:tc>
          <w:tcPr>
            <w:tcW w:w="2751" w:type="dxa"/>
            <w:vMerge w:val="continue"/>
            <w:noWrap w:val="0"/>
            <w:vAlign w:val="center"/>
          </w:tcPr>
          <w:p w14:paraId="31EB3812">
            <w:pPr>
              <w:spacing w:line="240" w:lineRule="atLeast"/>
              <w:ind w:left="-105" w:leftChars="-50" w:right="-105" w:rightChars="-50"/>
              <w:jc w:val="center"/>
              <w:rPr>
                <w:rFonts w:hint="eastAsia" w:ascii="Times New Roman" w:hAnsi="Times New Roman" w:cs="宋体"/>
                <w:color w:val="auto"/>
                <w:sz w:val="24"/>
                <w:szCs w:val="24"/>
                <w:highlight w:val="none"/>
              </w:rPr>
            </w:pPr>
          </w:p>
        </w:tc>
      </w:tr>
      <w:tr w14:paraId="48D7D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4" w:hRule="atLeast"/>
          <w:jc w:val="center"/>
        </w:trPr>
        <w:tc>
          <w:tcPr>
            <w:tcW w:w="1287" w:type="dxa"/>
            <w:vMerge w:val="continue"/>
            <w:noWrap w:val="0"/>
            <w:textDirection w:val="tbRlV"/>
            <w:vAlign w:val="center"/>
          </w:tcPr>
          <w:p w14:paraId="636823BC">
            <w:pPr>
              <w:spacing w:line="240" w:lineRule="atLeast"/>
              <w:ind w:left="-105" w:leftChars="-50" w:right="-105" w:rightChars="-50"/>
              <w:jc w:val="center"/>
              <w:rPr>
                <w:rFonts w:hint="eastAsia" w:ascii="Times New Roman" w:hAnsi="Times New Roman" w:cs="宋体"/>
                <w:color w:val="auto"/>
                <w:sz w:val="24"/>
                <w:szCs w:val="24"/>
                <w:highlight w:val="none"/>
              </w:rPr>
            </w:pPr>
          </w:p>
        </w:tc>
        <w:tc>
          <w:tcPr>
            <w:tcW w:w="1310" w:type="dxa"/>
            <w:noWrap w:val="0"/>
            <w:vAlign w:val="center"/>
          </w:tcPr>
          <w:p w14:paraId="29337A8D">
            <w:pPr>
              <w:spacing w:line="240" w:lineRule="atLeast"/>
              <w:ind w:left="-105" w:leftChars="-50" w:right="-105" w:rightChars="-50"/>
              <w:jc w:val="center"/>
              <w:rPr>
                <w:rFonts w:hint="eastAsia" w:ascii="Times New Roman" w:hAnsi="Times New Roman" w:cs="宋体"/>
                <w:color w:val="auto"/>
                <w:sz w:val="24"/>
                <w:szCs w:val="24"/>
                <w:highlight w:val="none"/>
                <w:lang w:eastAsia="zh-CN"/>
              </w:rPr>
            </w:pPr>
            <w:r>
              <w:rPr>
                <w:rFonts w:hint="eastAsia" w:ascii="Times New Roman" w:hAnsi="Times New Roman" w:cs="宋体"/>
                <w:color w:val="auto"/>
                <w:sz w:val="24"/>
                <w:szCs w:val="24"/>
                <w:highlight w:val="none"/>
              </w:rPr>
              <w:t>厂区</w:t>
            </w:r>
          </w:p>
        </w:tc>
        <w:tc>
          <w:tcPr>
            <w:tcW w:w="1330" w:type="dxa"/>
            <w:noWrap w:val="0"/>
            <w:vAlign w:val="center"/>
          </w:tcPr>
          <w:p w14:paraId="6F3174BC">
            <w:pPr>
              <w:spacing w:line="240" w:lineRule="atLeast"/>
              <w:ind w:left="-105" w:leftChars="-50" w:right="-105" w:rightChars="-50"/>
              <w:jc w:val="center"/>
              <w:rPr>
                <w:rFonts w:hint="eastAsia" w:ascii="Times New Roman" w:hAnsi="Times New Roman" w:cs="宋体"/>
                <w:color w:val="auto"/>
                <w:sz w:val="24"/>
                <w:szCs w:val="24"/>
                <w:highlight w:val="none"/>
                <w:lang w:eastAsia="zh-CN"/>
              </w:rPr>
            </w:pPr>
            <w:r>
              <w:rPr>
                <w:rFonts w:hint="eastAsia" w:ascii="Times New Roman" w:hAnsi="Times New Roman" w:cs="宋体"/>
                <w:color w:val="auto"/>
                <w:sz w:val="24"/>
                <w:szCs w:val="24"/>
                <w:highlight w:val="none"/>
              </w:rPr>
              <w:t>生活垃圾</w:t>
            </w:r>
          </w:p>
        </w:tc>
        <w:tc>
          <w:tcPr>
            <w:tcW w:w="2676" w:type="dxa"/>
            <w:noWrap w:val="0"/>
            <w:vAlign w:val="center"/>
          </w:tcPr>
          <w:p w14:paraId="6D94AB18">
            <w:pPr>
              <w:spacing w:line="240" w:lineRule="atLeast"/>
              <w:ind w:left="-105" w:leftChars="-50" w:right="-105" w:rightChars="-50"/>
              <w:jc w:val="center"/>
              <w:rPr>
                <w:rFonts w:hint="default"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rPr>
              <w:t>项目生活垃圾收集后由环卫处清运</w:t>
            </w:r>
          </w:p>
        </w:tc>
        <w:tc>
          <w:tcPr>
            <w:tcW w:w="2751" w:type="dxa"/>
            <w:vMerge w:val="continue"/>
            <w:noWrap w:val="0"/>
            <w:vAlign w:val="center"/>
          </w:tcPr>
          <w:p w14:paraId="2F4B12A1">
            <w:pPr>
              <w:spacing w:line="240" w:lineRule="atLeast"/>
              <w:ind w:left="-105" w:leftChars="-50" w:right="-105" w:rightChars="-50"/>
              <w:jc w:val="center"/>
              <w:rPr>
                <w:rFonts w:hint="eastAsia" w:ascii="Times New Roman" w:hAnsi="Times New Roman" w:cs="宋体"/>
                <w:color w:val="auto"/>
                <w:sz w:val="24"/>
                <w:szCs w:val="24"/>
                <w:highlight w:val="none"/>
              </w:rPr>
            </w:pPr>
          </w:p>
        </w:tc>
      </w:tr>
      <w:tr w14:paraId="7FD04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4" w:hRule="atLeast"/>
          <w:jc w:val="center"/>
        </w:trPr>
        <w:tc>
          <w:tcPr>
            <w:tcW w:w="1287" w:type="dxa"/>
            <w:vMerge w:val="continue"/>
            <w:noWrap w:val="0"/>
            <w:textDirection w:val="tbRlV"/>
            <w:vAlign w:val="center"/>
          </w:tcPr>
          <w:p w14:paraId="44F77D4F">
            <w:pPr>
              <w:spacing w:line="240" w:lineRule="atLeast"/>
              <w:ind w:left="-105" w:leftChars="-50" w:right="-105" w:rightChars="-50"/>
              <w:jc w:val="center"/>
              <w:rPr>
                <w:rFonts w:hint="eastAsia" w:ascii="Times New Roman" w:hAnsi="Times New Roman" w:cs="宋体"/>
                <w:color w:val="auto"/>
                <w:sz w:val="24"/>
                <w:szCs w:val="24"/>
                <w:highlight w:val="none"/>
              </w:rPr>
            </w:pPr>
          </w:p>
        </w:tc>
        <w:tc>
          <w:tcPr>
            <w:tcW w:w="1310" w:type="dxa"/>
            <w:noWrap w:val="0"/>
            <w:vAlign w:val="center"/>
          </w:tcPr>
          <w:p w14:paraId="17CBDB36">
            <w:pPr>
              <w:spacing w:line="240" w:lineRule="atLeast"/>
              <w:ind w:left="-105" w:leftChars="-50" w:right="-105" w:rightChars="-50"/>
              <w:jc w:val="center"/>
              <w:rPr>
                <w:rFonts w:hint="eastAsia" w:ascii="Times New Roman" w:hAnsi="Times New Roman" w:eastAsia="宋体" w:cs="宋体"/>
                <w:color w:val="auto"/>
                <w:sz w:val="24"/>
                <w:szCs w:val="24"/>
                <w:highlight w:val="none"/>
                <w:lang w:eastAsia="zh-CN"/>
              </w:rPr>
            </w:pPr>
            <w:r>
              <w:rPr>
                <w:rFonts w:hint="eastAsia" w:ascii="Times New Roman" w:hAnsi="Times New Roman" w:cs="宋体"/>
                <w:color w:val="auto"/>
                <w:sz w:val="24"/>
                <w:szCs w:val="24"/>
                <w:highlight w:val="none"/>
                <w:lang w:eastAsia="zh-CN"/>
              </w:rPr>
              <w:t>设备维修</w:t>
            </w:r>
          </w:p>
        </w:tc>
        <w:tc>
          <w:tcPr>
            <w:tcW w:w="1330" w:type="dxa"/>
            <w:noWrap w:val="0"/>
            <w:vAlign w:val="center"/>
          </w:tcPr>
          <w:p w14:paraId="64A97AC5">
            <w:pPr>
              <w:spacing w:line="240" w:lineRule="atLeast"/>
              <w:ind w:left="-105" w:leftChars="-50" w:right="-105" w:rightChars="-50"/>
              <w:jc w:val="center"/>
              <w:rPr>
                <w:rFonts w:hint="eastAsia" w:ascii="Times New Roman" w:hAnsi="Times New Roman" w:eastAsia="宋体" w:cs="宋体"/>
                <w:color w:val="auto"/>
                <w:sz w:val="24"/>
                <w:szCs w:val="24"/>
                <w:highlight w:val="none"/>
                <w:lang w:eastAsia="zh-CN"/>
              </w:rPr>
            </w:pPr>
            <w:r>
              <w:rPr>
                <w:rFonts w:hint="eastAsia" w:ascii="Times New Roman" w:hAnsi="Times New Roman" w:cs="宋体"/>
                <w:color w:val="auto"/>
                <w:sz w:val="24"/>
                <w:szCs w:val="24"/>
                <w:highlight w:val="none"/>
                <w:lang w:eastAsia="zh-CN"/>
              </w:rPr>
              <w:t>废机油</w:t>
            </w:r>
          </w:p>
        </w:tc>
        <w:tc>
          <w:tcPr>
            <w:tcW w:w="2676" w:type="dxa"/>
            <w:noWrap w:val="0"/>
            <w:vAlign w:val="center"/>
          </w:tcPr>
          <w:p w14:paraId="4B1EEE0A">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废机油暂存在危废间，委托有资质单位处置</w:t>
            </w:r>
          </w:p>
        </w:tc>
        <w:tc>
          <w:tcPr>
            <w:tcW w:w="2751" w:type="dxa"/>
            <w:noWrap w:val="0"/>
            <w:vAlign w:val="center"/>
          </w:tcPr>
          <w:p w14:paraId="754A5CCD">
            <w:pPr>
              <w:spacing w:line="240" w:lineRule="atLeast"/>
              <w:ind w:left="-105" w:leftChars="-50" w:right="-105" w:rightChars="-50"/>
              <w:jc w:val="center"/>
              <w:rPr>
                <w:rFonts w:hint="eastAsia" w:ascii="Times New Roman" w:hAnsi="Times New Roman" w:eastAsia="宋体" w:cs="宋体"/>
                <w:color w:val="auto"/>
                <w:sz w:val="24"/>
                <w:szCs w:val="24"/>
                <w:highlight w:val="none"/>
                <w:lang w:eastAsia="zh-CN"/>
              </w:rPr>
            </w:pPr>
            <w:r>
              <w:rPr>
                <w:rFonts w:hint="eastAsia" w:cs="宋体"/>
                <w:color w:val="auto"/>
                <w:sz w:val="24"/>
                <w:szCs w:val="24"/>
                <w:highlight w:val="none"/>
                <w:lang w:eastAsia="zh-CN"/>
              </w:rPr>
              <w:t>《危险废物贮存污染控制标准》（GB 18597—2023）</w:t>
            </w:r>
          </w:p>
        </w:tc>
      </w:tr>
      <w:tr w14:paraId="5FAAE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1" w:hRule="atLeast"/>
          <w:jc w:val="center"/>
        </w:trPr>
        <w:tc>
          <w:tcPr>
            <w:tcW w:w="1287" w:type="dxa"/>
            <w:noWrap w:val="0"/>
            <w:vAlign w:val="center"/>
          </w:tcPr>
          <w:p w14:paraId="2C33C565">
            <w:pPr>
              <w:spacing w:line="240" w:lineRule="atLeast"/>
              <w:ind w:left="-105" w:leftChars="-50" w:right="-105" w:rightChars="-50"/>
              <w:jc w:val="center"/>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rPr>
              <w:t>声环境</w:t>
            </w:r>
          </w:p>
        </w:tc>
        <w:tc>
          <w:tcPr>
            <w:tcW w:w="1310" w:type="dxa"/>
            <w:noWrap w:val="0"/>
            <w:vAlign w:val="center"/>
          </w:tcPr>
          <w:p w14:paraId="666FE058">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设备运行</w:t>
            </w:r>
          </w:p>
        </w:tc>
        <w:tc>
          <w:tcPr>
            <w:tcW w:w="1330" w:type="dxa"/>
            <w:noWrap w:val="0"/>
            <w:vAlign w:val="center"/>
          </w:tcPr>
          <w:p w14:paraId="19208A26">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噪 声</w:t>
            </w:r>
          </w:p>
        </w:tc>
        <w:tc>
          <w:tcPr>
            <w:tcW w:w="2676" w:type="dxa"/>
            <w:noWrap w:val="0"/>
            <w:vAlign w:val="center"/>
          </w:tcPr>
          <w:p w14:paraId="5157EC3E">
            <w:pPr>
              <w:spacing w:line="240" w:lineRule="atLeast"/>
              <w:ind w:left="-105" w:leftChars="-50" w:right="-105" w:rightChars="-50"/>
              <w:jc w:val="center"/>
              <w:rPr>
                <w:rFonts w:hint="eastAsia" w:ascii="Times New Roman" w:hAnsi="Times New Roman" w:cs="宋体"/>
                <w:color w:val="auto"/>
                <w:sz w:val="24"/>
                <w:szCs w:val="24"/>
                <w:highlight w:val="none"/>
              </w:rPr>
            </w:pPr>
            <w:r>
              <w:rPr>
                <w:rFonts w:hint="eastAsia" w:ascii="Times New Roman" w:hAnsi="Times New Roman" w:cs="宋体"/>
                <w:color w:val="auto"/>
                <w:sz w:val="24"/>
                <w:szCs w:val="24"/>
                <w:highlight w:val="none"/>
              </w:rPr>
              <w:t>科学布置强噪声设备，选择低噪声设备，减振、隔声等措施</w:t>
            </w:r>
          </w:p>
        </w:tc>
        <w:tc>
          <w:tcPr>
            <w:tcW w:w="2751" w:type="dxa"/>
            <w:noWrap w:val="0"/>
            <w:vAlign w:val="center"/>
          </w:tcPr>
          <w:p w14:paraId="0B2A8D25">
            <w:pPr>
              <w:spacing w:line="240" w:lineRule="atLeast"/>
              <w:ind w:left="-105" w:leftChars="-50" w:right="-105" w:rightChars="-50"/>
              <w:jc w:val="center"/>
              <w:rPr>
                <w:rFonts w:hint="eastAsia" w:ascii="Times New Roman" w:hAnsi="Times New Roman" w:cs="宋体"/>
                <w:color w:val="auto"/>
                <w:sz w:val="24"/>
                <w:szCs w:val="24"/>
                <w:highlight w:val="none"/>
              </w:rPr>
            </w:pPr>
            <w:r>
              <w:rPr>
                <w:rFonts w:hint="default" w:ascii="Times New Roman" w:hAnsi="Times New Roman" w:cs="宋体"/>
                <w:color w:val="auto"/>
                <w:sz w:val="24"/>
                <w:szCs w:val="24"/>
                <w:highlight w:val="none"/>
              </w:rPr>
              <w:t>厂界</w:t>
            </w:r>
            <w:r>
              <w:rPr>
                <w:rFonts w:hint="eastAsia" w:ascii="Times New Roman" w:hAnsi="Times New Roman" w:cs="宋体"/>
                <w:color w:val="auto"/>
                <w:sz w:val="24"/>
                <w:szCs w:val="24"/>
                <w:highlight w:val="none"/>
                <w:lang w:val="en-US" w:eastAsia="zh-CN"/>
              </w:rPr>
              <w:t>四周</w:t>
            </w:r>
            <w:r>
              <w:rPr>
                <w:rFonts w:hint="default" w:ascii="Times New Roman" w:hAnsi="Times New Roman" w:cs="宋体"/>
                <w:color w:val="auto"/>
                <w:sz w:val="24"/>
                <w:szCs w:val="24"/>
                <w:highlight w:val="none"/>
              </w:rPr>
              <w:t>满足《工业企业厂界环境噪声排放标准》（GB12348-2008）表1中</w:t>
            </w:r>
            <w:r>
              <w:rPr>
                <w:rFonts w:hint="eastAsia" w:ascii="Times New Roman" w:hAnsi="Times New Roman" w:cs="宋体"/>
                <w:color w:val="auto"/>
                <w:sz w:val="24"/>
                <w:szCs w:val="24"/>
                <w:highlight w:val="none"/>
                <w:lang w:val="en-US" w:eastAsia="zh-CN"/>
              </w:rPr>
              <w:t>2</w:t>
            </w:r>
            <w:r>
              <w:rPr>
                <w:rFonts w:hint="default" w:ascii="Times New Roman" w:hAnsi="Times New Roman" w:cs="宋体"/>
                <w:color w:val="auto"/>
                <w:sz w:val="24"/>
                <w:szCs w:val="24"/>
                <w:highlight w:val="none"/>
              </w:rPr>
              <w:t>类标准</w:t>
            </w:r>
          </w:p>
        </w:tc>
      </w:tr>
      <w:tr w14:paraId="6BF8A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 w:hRule="atLeast"/>
          <w:jc w:val="center"/>
        </w:trPr>
        <w:tc>
          <w:tcPr>
            <w:tcW w:w="1287" w:type="dxa"/>
            <w:noWrap w:val="0"/>
            <w:vAlign w:val="center"/>
          </w:tcPr>
          <w:p w14:paraId="6C28EC81">
            <w:pPr>
              <w:adjustRightInd w:val="0"/>
              <w:snapToGrid w:val="0"/>
              <w:jc w:val="center"/>
              <w:rPr>
                <w:rFonts w:ascii="Times New Roman" w:hAnsi="Times New Roman"/>
                <w:color w:val="auto"/>
                <w:sz w:val="24"/>
                <w:szCs w:val="24"/>
                <w:highlight w:val="none"/>
              </w:rPr>
            </w:pPr>
            <w:r>
              <w:rPr>
                <w:rFonts w:hint="default" w:ascii="Times New Roman" w:hAnsi="Times New Roman" w:cs="Times New Roman"/>
                <w:color w:val="auto"/>
                <w:sz w:val="24"/>
                <w:szCs w:val="24"/>
                <w:highlight w:val="none"/>
              </w:rPr>
              <w:t>土壤及地下水污染防治措施</w:t>
            </w:r>
          </w:p>
        </w:tc>
        <w:tc>
          <w:tcPr>
            <w:tcW w:w="8067" w:type="dxa"/>
            <w:gridSpan w:val="4"/>
            <w:noWrap w:val="0"/>
            <w:vAlign w:val="center"/>
          </w:tcPr>
          <w:p w14:paraId="5C0D0451">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危废间采取重点防渗措施</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原料堆场、中煤堆场、煤泥堆场、矸石堆场、生产车间、受煤坑、循环水池、事故池、沉淀池等建构筑物采取一般防渗措施。</w:t>
            </w:r>
          </w:p>
          <w:p w14:paraId="64D28A22">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采用抗渗钢纤维混凝土面，层中掺水泥基透结晶型防水剂，其下粘土务实，单位面积防渗能力达到等效黏土防渗层Mb≥1.5m，渗透系数≤1×10-7cm/s，符合《环境影响评价技术导则  地下水环境》（HJ 610-2016）一般防渗区要求。除一般防渗区以外，其他厂房为简单防渗区，采取水泥地面硬化。</w:t>
            </w:r>
          </w:p>
          <w:p w14:paraId="310EE1C1">
            <w:pPr>
              <w:keepNext w:val="0"/>
              <w:keepLines w:val="0"/>
              <w:pageBreakBefore w:val="0"/>
              <w:kinsoku/>
              <w:wordWrap/>
              <w:overflowPunct/>
              <w:topLinePunct w:val="0"/>
              <w:autoSpaceDE/>
              <w:autoSpaceDN/>
              <w:bidi w:val="0"/>
              <w:spacing w:line="360" w:lineRule="auto"/>
              <w:ind w:firstLine="480" w:firstLineChars="200"/>
              <w:textAlignment w:val="auto"/>
              <w:rPr>
                <w:rFonts w:ascii="Times New Roman" w:hAnsi="Times New Roman"/>
                <w:color w:val="auto"/>
                <w:sz w:val="24"/>
                <w:szCs w:val="24"/>
                <w:highlight w:val="none"/>
              </w:rPr>
            </w:pPr>
            <w:r>
              <w:rPr>
                <w:rFonts w:hint="default" w:ascii="Times New Roman" w:hAnsi="Times New Roman" w:eastAsia="宋体" w:cs="Times New Roman"/>
                <w:color w:val="auto"/>
                <w:sz w:val="24"/>
                <w:highlight w:val="none"/>
              </w:rPr>
              <w:t>综上所述，本项目</w:t>
            </w:r>
            <w:r>
              <w:rPr>
                <w:rFonts w:hint="eastAsia" w:ascii="Times New Roman" w:hAnsi="Times New Roman" w:cs="Times New Roman"/>
                <w:color w:val="auto"/>
                <w:sz w:val="24"/>
                <w:highlight w:val="none"/>
                <w:lang w:eastAsia="zh-CN"/>
              </w:rPr>
              <w:t>危废间、</w:t>
            </w:r>
            <w:r>
              <w:rPr>
                <w:rFonts w:hint="default" w:ascii="Times New Roman" w:hAnsi="Times New Roman" w:eastAsia="宋体" w:cs="Times New Roman"/>
                <w:color w:val="auto"/>
                <w:sz w:val="24"/>
                <w:highlight w:val="none"/>
              </w:rPr>
              <w:t>循环水池、事故池采取严格的防渗措施，可有效避免由于污水下渗造成的地下水环境污染。</w:t>
            </w:r>
          </w:p>
        </w:tc>
      </w:tr>
      <w:tr w14:paraId="65D51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2" w:hRule="atLeast"/>
          <w:jc w:val="center"/>
        </w:trPr>
        <w:tc>
          <w:tcPr>
            <w:tcW w:w="1287" w:type="dxa"/>
            <w:noWrap w:val="0"/>
            <w:vAlign w:val="center"/>
          </w:tcPr>
          <w:p w14:paraId="47EBFADC">
            <w:pPr>
              <w:adjustRightInd w:val="0"/>
              <w:snapToGrid w:val="0"/>
              <w:jc w:val="center"/>
              <w:rPr>
                <w:rFonts w:ascii="Times New Roman" w:hAnsi="Times New Roman"/>
                <w:color w:val="auto"/>
                <w:sz w:val="24"/>
                <w:szCs w:val="24"/>
                <w:highlight w:val="none"/>
              </w:rPr>
            </w:pPr>
            <w:r>
              <w:rPr>
                <w:rFonts w:hint="default" w:ascii="Times New Roman" w:hAnsi="Times New Roman" w:cs="Times New Roman"/>
                <w:color w:val="auto"/>
                <w:sz w:val="24"/>
                <w:szCs w:val="24"/>
                <w:highlight w:val="none"/>
              </w:rPr>
              <w:t>生态保护措施</w:t>
            </w:r>
          </w:p>
        </w:tc>
        <w:tc>
          <w:tcPr>
            <w:tcW w:w="8067" w:type="dxa"/>
            <w:gridSpan w:val="4"/>
            <w:noWrap w:val="0"/>
            <w:vAlign w:val="center"/>
          </w:tcPr>
          <w:p w14:paraId="72A347C3">
            <w:pPr>
              <w:pStyle w:val="86"/>
              <w:spacing w:line="360" w:lineRule="auto"/>
              <w:ind w:firstLine="480" w:firstLineChars="200"/>
              <w:rPr>
                <w:rFonts w:ascii="Times New Roman" w:hAnsi="Times New Roman"/>
                <w:color w:val="auto"/>
                <w:sz w:val="24"/>
                <w:szCs w:val="24"/>
                <w:highlight w:val="none"/>
              </w:rPr>
            </w:pPr>
            <w:r>
              <w:rPr>
                <w:rFonts w:ascii="Times New Roman" w:hAnsi="Times New Roman" w:eastAsia="宋体" w:cs="Times New Roman"/>
                <w:color w:val="auto"/>
                <w:highlight w:val="none"/>
              </w:rPr>
              <w:t>本项目占地范围内不含生态环境保护目标，废气采用合理的处理措施， 能够达标排放</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项目无生产生活废水排放</w:t>
            </w:r>
            <w:r>
              <w:rPr>
                <w:rFonts w:hint="eastAsia" w:ascii="Times New Roman" w:hAnsi="Times New Roman" w:cs="Times New Roman"/>
                <w:color w:val="auto"/>
                <w:highlight w:val="none"/>
                <w:lang w:eastAsia="zh-CN"/>
              </w:rPr>
              <w:t>。</w:t>
            </w:r>
            <w:r>
              <w:rPr>
                <w:rFonts w:ascii="Times New Roman" w:hAnsi="Times New Roman" w:eastAsia="宋体" w:cs="Times New Roman"/>
                <w:color w:val="auto"/>
                <w:highlight w:val="none"/>
              </w:rPr>
              <w:t>厂区内种植灌木、花草，减少裸露地面，能隔声、吸尘、吸收有害气体。能起到降低扬尘、净化空气、改善环境的作用。因此，本项目对周围生态环境影响较小。</w:t>
            </w:r>
          </w:p>
        </w:tc>
      </w:tr>
      <w:tr w14:paraId="29492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1287" w:type="dxa"/>
            <w:noWrap w:val="0"/>
            <w:vAlign w:val="center"/>
          </w:tcPr>
          <w:p w14:paraId="70839100">
            <w:pPr>
              <w:adjustRightInd w:val="0"/>
              <w:snapToGrid w:val="0"/>
              <w:jc w:val="center"/>
              <w:rPr>
                <w:rFonts w:hint="default" w:ascii="Times New Roman" w:hAnsi="Times New Roman" w:cs="Times New Roman"/>
                <w:color w:val="auto"/>
                <w:spacing w:val="-8"/>
                <w:sz w:val="24"/>
                <w:szCs w:val="24"/>
                <w:highlight w:val="none"/>
              </w:rPr>
            </w:pPr>
            <w:r>
              <w:rPr>
                <w:rFonts w:hint="default" w:ascii="Times New Roman" w:hAnsi="Times New Roman" w:cs="Times New Roman"/>
                <w:color w:val="auto"/>
                <w:spacing w:val="-8"/>
                <w:sz w:val="24"/>
                <w:szCs w:val="24"/>
                <w:highlight w:val="none"/>
              </w:rPr>
              <w:t>环境风险</w:t>
            </w:r>
          </w:p>
          <w:p w14:paraId="6A3FE86E">
            <w:pPr>
              <w:adjustRightInd w:val="0"/>
              <w:snapToGrid w:val="0"/>
              <w:jc w:val="center"/>
              <w:rPr>
                <w:rFonts w:ascii="Times New Roman" w:hAnsi="Times New Roman"/>
                <w:color w:val="auto"/>
                <w:sz w:val="24"/>
                <w:szCs w:val="24"/>
                <w:highlight w:val="none"/>
              </w:rPr>
            </w:pPr>
            <w:r>
              <w:rPr>
                <w:rFonts w:hint="default" w:ascii="Times New Roman" w:hAnsi="Times New Roman" w:cs="Times New Roman"/>
                <w:color w:val="auto"/>
                <w:spacing w:val="-8"/>
                <w:sz w:val="24"/>
                <w:szCs w:val="24"/>
                <w:highlight w:val="none"/>
              </w:rPr>
              <w:t>防范措施</w:t>
            </w:r>
          </w:p>
        </w:tc>
        <w:tc>
          <w:tcPr>
            <w:tcW w:w="8067" w:type="dxa"/>
            <w:gridSpan w:val="4"/>
            <w:noWrap w:val="0"/>
            <w:vAlign w:val="center"/>
          </w:tcPr>
          <w:p w14:paraId="2B359EAF">
            <w:pPr>
              <w:pStyle w:val="86"/>
              <w:spacing w:line="360" w:lineRule="auto"/>
              <w:ind w:firstLine="480" w:firstLineChars="200"/>
              <w:rPr>
                <w:rFonts w:ascii="Times New Roman" w:hAnsi="Times New Roman"/>
                <w:color w:val="auto"/>
                <w:highlight w:val="none"/>
              </w:rPr>
            </w:pPr>
            <w:r>
              <w:rPr>
                <w:rFonts w:hint="eastAsia" w:ascii="Times New Roman" w:hAnsi="Times New Roman"/>
                <w:color w:val="auto"/>
                <w:highlight w:val="none"/>
              </w:rPr>
              <w:t>各类事故及非正常生产情况的发生大多数与操作不当、管理不严有直接关系，因此必须建立健全一整套严格的管理制度。管理制度应在以下几个方面予以关注：</w:t>
            </w:r>
          </w:p>
          <w:p w14:paraId="3967E892">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①本项目矸石堆为小型堆场，周转周期较短，不会长期堆存，且堆存量较小，可降低矸石自燃现象发生的概率，可做到日产日清，基本不会发生自燃； </w:t>
            </w:r>
          </w:p>
          <w:p w14:paraId="6BF3F980">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②矸石堆场和输送皮带定期洒水，保持一定的湿度，可有效避免自燃现象的发生；</w:t>
            </w:r>
          </w:p>
          <w:p w14:paraId="58875247">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③应针对带式输送机设置速度信号、输送带跑偏信号、落煤斗堵煤信号显示或报警</w:t>
            </w:r>
            <w:r>
              <w:rPr>
                <w:rFonts w:hint="eastAsia" w:ascii="Times New Roman" w:hAnsi="Times New Roman" w:cs="Times New Roman"/>
                <w:color w:val="auto"/>
                <w:sz w:val="24"/>
                <w:szCs w:val="24"/>
                <w:highlight w:val="none"/>
                <w:lang w:eastAsia="zh-CN"/>
              </w:rPr>
              <w:t>装置</w:t>
            </w:r>
            <w:r>
              <w:rPr>
                <w:rFonts w:hint="default" w:ascii="Times New Roman" w:hAnsi="Times New Roman" w:eastAsia="宋体" w:cs="Times New Roman"/>
                <w:color w:val="auto"/>
                <w:sz w:val="24"/>
                <w:szCs w:val="24"/>
                <w:highlight w:val="none"/>
              </w:rPr>
              <w:t xml:space="preserve">和紧急拉绳开关安全防护设施，带式输送机的皮带应采用难燃胶带； </w:t>
            </w:r>
          </w:p>
          <w:p w14:paraId="30F97751">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④厂区内应处置消火栓系统和火灾报警系统，并配备相应的灭火装置。 </w:t>
            </w:r>
          </w:p>
          <w:p w14:paraId="20668887">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⑤输煤皮带应定期进行轮换、试验，及时清除输煤皮带、辅助设备、电缆排架等各处的积煤和积粉，保证输煤系统无积煤和积粉。 </w:t>
            </w:r>
          </w:p>
          <w:p w14:paraId="60CE0A55">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⑥运行人员要按规定对运行和停用输煤皮带进行全面巡视检查，当发现输煤皮带上有带火种的煤时，应立即停止上煤，并查明原因，及时消除。输煤皮带停用时，要将皮带上的煤走完以后再停，确保皮带不存煤。</w:t>
            </w:r>
          </w:p>
          <w:p w14:paraId="6C49D090">
            <w:pPr>
              <w:pStyle w:val="73"/>
              <w:spacing w:line="500" w:lineRule="exact"/>
              <w:ind w:firstLine="42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⑦车间及设施安排专人负责看管并日常性巡查，巡查主要包括管道、阀门等工况是否正常，是否出现漏、滴等现象。</w:t>
            </w:r>
          </w:p>
          <w:p w14:paraId="63235BE0">
            <w:pPr>
              <w:pStyle w:val="73"/>
              <w:spacing w:line="500" w:lineRule="exact"/>
              <w:ind w:firstLine="420"/>
              <w:rPr>
                <w:rFonts w:ascii="Times New Roman" w:hAnsi="Times New Roman"/>
                <w:color w:val="auto"/>
                <w:sz w:val="24"/>
                <w:szCs w:val="24"/>
                <w:highlight w:val="none"/>
              </w:rPr>
            </w:pPr>
            <w:r>
              <w:rPr>
                <w:rFonts w:hint="default" w:ascii="Times New Roman" w:hAnsi="Times New Roman" w:eastAsia="宋体" w:cs="Times New Roman"/>
                <w:color w:val="auto"/>
                <w:sz w:val="24"/>
                <w:szCs w:val="24"/>
                <w:highlight w:val="none"/>
              </w:rPr>
              <w:t>⑧生产过程中、使用浮选剂时工作人员要按照规定穿戴防护衣具。</w:t>
            </w:r>
          </w:p>
        </w:tc>
      </w:tr>
      <w:tr w14:paraId="0A870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3" w:hRule="atLeast"/>
          <w:jc w:val="center"/>
        </w:trPr>
        <w:tc>
          <w:tcPr>
            <w:tcW w:w="1287" w:type="dxa"/>
            <w:noWrap w:val="0"/>
            <w:vAlign w:val="center"/>
          </w:tcPr>
          <w:p w14:paraId="7B895643">
            <w:pPr>
              <w:adjustRightInd w:val="0"/>
              <w:snapToGrid w:val="0"/>
              <w:jc w:val="center"/>
              <w:rPr>
                <w:rFonts w:hint="eastAsia" w:ascii="Times New Roman" w:hAnsi="Times New Roman" w:eastAsia="宋体" w:cs="Times New Roman"/>
                <w:color w:val="auto"/>
                <w:spacing w:val="-8"/>
                <w:sz w:val="24"/>
                <w:szCs w:val="24"/>
                <w:highlight w:val="none"/>
                <w:lang w:eastAsia="zh-CN"/>
              </w:rPr>
            </w:pPr>
            <w:r>
              <w:rPr>
                <w:rFonts w:hint="eastAsia" w:ascii="Times New Roman" w:hAnsi="Times New Roman" w:cs="Times New Roman"/>
                <w:color w:val="auto"/>
                <w:spacing w:val="-8"/>
                <w:sz w:val="24"/>
                <w:szCs w:val="24"/>
                <w:highlight w:val="none"/>
                <w:lang w:eastAsia="zh-CN"/>
              </w:rPr>
              <w:t>电磁辐射</w:t>
            </w:r>
          </w:p>
        </w:tc>
        <w:tc>
          <w:tcPr>
            <w:tcW w:w="8067" w:type="dxa"/>
            <w:gridSpan w:val="4"/>
            <w:noWrap w:val="0"/>
            <w:vAlign w:val="center"/>
          </w:tcPr>
          <w:p w14:paraId="5A07E4BC">
            <w:pPr>
              <w:pStyle w:val="27"/>
              <w:widowControl/>
              <w:spacing w:beforeAutospacing="0" w:afterAutospacing="0" w:line="360" w:lineRule="auto"/>
              <w:jc w:val="center"/>
              <w:rPr>
                <w:rFonts w:hint="eastAsia" w:ascii="Times New Roman" w:hAnsi="Times New Roman" w:eastAsia="宋体" w:cs="Times New Roman"/>
                <w:color w:val="auto"/>
                <w:kern w:val="2"/>
                <w:highlight w:val="none"/>
                <w:lang w:val="en-US" w:eastAsia="zh-CN"/>
              </w:rPr>
            </w:pPr>
            <w:r>
              <w:rPr>
                <w:rFonts w:hint="eastAsia" w:ascii="Times New Roman" w:hAnsi="Times New Roman" w:eastAsia="宋体" w:cs="Times New Roman"/>
                <w:color w:val="auto"/>
                <w:kern w:val="2"/>
                <w:highlight w:val="none"/>
                <w:lang w:val="en-US" w:eastAsia="zh-CN"/>
              </w:rPr>
              <w:t>/</w:t>
            </w:r>
          </w:p>
        </w:tc>
      </w:tr>
      <w:tr w14:paraId="6EFD4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2" w:hRule="atLeast"/>
          <w:jc w:val="center"/>
        </w:trPr>
        <w:tc>
          <w:tcPr>
            <w:tcW w:w="1287" w:type="dxa"/>
            <w:noWrap w:val="0"/>
            <w:vAlign w:val="center"/>
          </w:tcPr>
          <w:p w14:paraId="6AC2E6D0">
            <w:pPr>
              <w:adjustRightInd w:val="0"/>
              <w:snapToGrid w:val="0"/>
              <w:jc w:val="center"/>
              <w:rPr>
                <w:rFonts w:hint="default" w:ascii="Times New Roman" w:hAnsi="Times New Roman" w:cs="Times New Roman"/>
                <w:color w:val="auto"/>
                <w:spacing w:val="-8"/>
                <w:sz w:val="24"/>
                <w:szCs w:val="24"/>
                <w:highlight w:val="none"/>
              </w:rPr>
            </w:pPr>
            <w:r>
              <w:rPr>
                <w:rFonts w:hint="default" w:ascii="Times New Roman" w:hAnsi="Times New Roman" w:cs="Times New Roman"/>
                <w:color w:val="auto"/>
                <w:spacing w:val="-8"/>
                <w:sz w:val="24"/>
                <w:szCs w:val="24"/>
                <w:highlight w:val="none"/>
              </w:rPr>
              <w:t>其他环境</w:t>
            </w:r>
          </w:p>
          <w:p w14:paraId="6288E778">
            <w:pPr>
              <w:adjustRightInd w:val="0"/>
              <w:snapToGrid w:val="0"/>
              <w:jc w:val="center"/>
              <w:rPr>
                <w:rFonts w:ascii="Times New Roman" w:hAnsi="Times New Roman"/>
                <w:color w:val="auto"/>
                <w:sz w:val="24"/>
                <w:szCs w:val="24"/>
                <w:highlight w:val="none"/>
              </w:rPr>
            </w:pPr>
            <w:r>
              <w:rPr>
                <w:rFonts w:hint="default" w:ascii="Times New Roman" w:hAnsi="Times New Roman" w:cs="Times New Roman"/>
                <w:color w:val="auto"/>
                <w:spacing w:val="-8"/>
                <w:sz w:val="24"/>
                <w:szCs w:val="24"/>
                <w:highlight w:val="none"/>
              </w:rPr>
              <w:t>管理要求</w:t>
            </w:r>
          </w:p>
        </w:tc>
        <w:tc>
          <w:tcPr>
            <w:tcW w:w="8067" w:type="dxa"/>
            <w:gridSpan w:val="4"/>
            <w:noWrap w:val="0"/>
            <w:vAlign w:val="center"/>
          </w:tcPr>
          <w:p w14:paraId="0D5DC967">
            <w:pPr>
              <w:adjustRightInd w:val="0"/>
              <w:snapToGrid w:val="0"/>
              <w:jc w:val="center"/>
              <w:rPr>
                <w:rFonts w:ascii="Times New Roman" w:hAnsi="Times New Roman"/>
                <w:color w:val="auto"/>
                <w:sz w:val="24"/>
                <w:szCs w:val="24"/>
                <w:highlight w:val="none"/>
              </w:rPr>
            </w:pPr>
            <w:r>
              <w:rPr>
                <w:rFonts w:hint="default" w:ascii="Times New Roman" w:hAnsi="Times New Roman" w:cs="Times New Roman"/>
                <w:color w:val="auto"/>
                <w:sz w:val="24"/>
                <w:szCs w:val="24"/>
                <w:highlight w:val="none"/>
                <w:lang w:val="en-US" w:eastAsia="zh-CN"/>
              </w:rPr>
              <w:t>/</w:t>
            </w:r>
          </w:p>
        </w:tc>
      </w:tr>
    </w:tbl>
    <w:p w14:paraId="2D551CB9">
      <w:pPr>
        <w:spacing w:line="300" w:lineRule="auto"/>
        <w:jc w:val="left"/>
        <w:outlineLvl w:val="9"/>
        <w:rPr>
          <w:rFonts w:hint="default" w:ascii="Times New Roman" w:hAnsi="Times New Roman" w:eastAsia="黑体" w:cs="Times New Roman"/>
          <w:b/>
          <w:bCs/>
          <w:color w:val="auto"/>
          <w:sz w:val="28"/>
          <w:highlight w:val="none"/>
        </w:rPr>
        <w:sectPr>
          <w:pgSz w:w="11906" w:h="16838"/>
          <w:pgMar w:top="1440" w:right="1191" w:bottom="1440" w:left="1191"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3F9E0A3E">
      <w:pPr>
        <w:pStyle w:val="27"/>
        <w:numPr>
          <w:ilvl w:val="0"/>
          <w:numId w:val="0"/>
        </w:numPr>
        <w:jc w:val="center"/>
        <w:outlineLvl w:val="0"/>
        <w:rPr>
          <w:rFonts w:hint="default" w:ascii="Times New Roman" w:hAnsi="Times New Roman" w:eastAsia="黑体" w:cs="Times New Roman"/>
          <w:snapToGrid w:val="0"/>
          <w:color w:val="auto"/>
          <w:sz w:val="30"/>
          <w:szCs w:val="30"/>
          <w:highlight w:val="none"/>
          <w:lang w:val="en-US" w:eastAsia="zh-CN"/>
        </w:rPr>
      </w:pPr>
      <w:bookmarkStart w:id="15" w:name="_Toc9580104"/>
      <w:bookmarkStart w:id="16" w:name="_Toc30983"/>
      <w:r>
        <w:rPr>
          <w:rFonts w:hint="eastAsia" w:ascii="Times New Roman" w:hAnsi="Times New Roman" w:eastAsia="黑体" w:cs="Times New Roman"/>
          <w:snapToGrid w:val="0"/>
          <w:color w:val="auto"/>
          <w:sz w:val="30"/>
          <w:szCs w:val="30"/>
          <w:highlight w:val="none"/>
          <w:lang w:val="en-US" w:eastAsia="zh-CN"/>
        </w:rPr>
        <w:t>六、</w:t>
      </w:r>
      <w:r>
        <w:rPr>
          <w:rFonts w:hint="default" w:ascii="Times New Roman" w:hAnsi="Times New Roman" w:eastAsia="黑体" w:cs="Times New Roman"/>
          <w:snapToGrid w:val="0"/>
          <w:color w:val="auto"/>
          <w:sz w:val="30"/>
          <w:szCs w:val="30"/>
          <w:highlight w:val="none"/>
          <w:lang w:val="en-US" w:eastAsia="zh-CN"/>
        </w:rPr>
        <w:t>结论与建议</w:t>
      </w:r>
      <w:bookmarkEnd w:id="15"/>
      <w:bookmarkEnd w:id="16"/>
    </w:p>
    <w:tbl>
      <w:tblPr>
        <w:tblStyle w:val="31"/>
        <w:tblW w:w="9548"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9548"/>
      </w:tblGrid>
      <w:tr w14:paraId="3B337D6C">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2175" w:hRule="atLeast"/>
          <w:jc w:val="center"/>
        </w:trPr>
        <w:tc>
          <w:tcPr>
            <w:tcW w:w="9548" w:type="dxa"/>
            <w:tcBorders>
              <w:top w:val="single" w:color="auto" w:sz="4" w:space="0"/>
              <w:left w:val="single" w:color="auto" w:sz="4" w:space="0"/>
              <w:bottom w:val="single" w:color="auto" w:sz="4" w:space="0"/>
              <w:right w:val="single" w:color="auto" w:sz="4" w:space="0"/>
            </w:tcBorders>
            <w:noWrap w:val="0"/>
            <w:vAlign w:val="top"/>
          </w:tcPr>
          <w:p w14:paraId="0E9D27F9">
            <w:pPr>
              <w:pStyle w:val="38"/>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color w:val="auto"/>
                <w:sz w:val="24"/>
              </w:rPr>
              <w:t>本项目属于新建项目，符合国家产业政策，选址布局合理，项目拟采用各项环境保护措施具有经济和技术可行性，可确保达标排放。本项目的建设有利于当地的经济发展，有一定的经济效益和社会效益。产生的各种污染物经相应措施处理后能做到达标排放，产生的污染物对当地的环境影响不大。只要在本项目的建设中认真执行环保</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三同时</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，落实本环评中提出的各污染防治措施，从环保角度考虑，建设项目在选定地址内实施是可行的。</w:t>
            </w:r>
          </w:p>
          <w:p w14:paraId="1C091CA7">
            <w:pPr>
              <w:pStyle w:val="72"/>
              <w:keepNext w:val="0"/>
              <w:keepLines w:val="0"/>
              <w:pageBreakBefore w:val="0"/>
              <w:kinsoku/>
              <w:wordWrap/>
              <w:overflowPunct/>
              <w:topLinePunct w:val="0"/>
              <w:autoSpaceDE/>
              <w:autoSpaceDN/>
              <w:bidi w:val="0"/>
              <w:spacing w:before="0" w:beforeLines="0" w:after="0" w:afterLines="0" w:line="360" w:lineRule="auto"/>
              <w:ind w:firstLine="480"/>
              <w:rPr>
                <w:rFonts w:hint="default" w:ascii="Times New Roman" w:hAnsi="Times New Roman" w:eastAsia="宋体" w:cs="Times New Roman"/>
                <w:color w:val="auto"/>
                <w:sz w:val="24"/>
                <w:highlight w:val="none"/>
                <w:lang w:val="en-US" w:eastAsia="zh-CN"/>
              </w:rPr>
            </w:pPr>
          </w:p>
        </w:tc>
      </w:tr>
    </w:tbl>
    <w:p w14:paraId="3344091E">
      <w:pPr>
        <w:rPr>
          <w:rFonts w:hint="default" w:ascii="Times New Roman" w:hAnsi="Times New Roman" w:cs="Times New Roman"/>
          <w:color w:val="auto"/>
          <w:highlight w:val="none"/>
        </w:rPr>
        <w:sectPr>
          <w:pgSz w:w="11906" w:h="16838"/>
          <w:pgMar w:top="1440" w:right="1191" w:bottom="1440" w:left="1191" w:header="851" w:footer="851" w:gutter="0"/>
          <w:pgBorders>
            <w:top w:val="none" w:sz="0" w:space="0"/>
            <w:left w:val="none" w:sz="0" w:space="0"/>
            <w:bottom w:val="none" w:sz="0" w:space="0"/>
            <w:right w:val="none" w:sz="0" w:space="0"/>
          </w:pgBorders>
          <w:pgNumType w:fmt="decimal"/>
          <w:cols w:space="720" w:num="1"/>
          <w:docGrid w:linePitch="312" w:charSpace="0"/>
        </w:sectPr>
      </w:pPr>
    </w:p>
    <w:p w14:paraId="59BA0694">
      <w:pPr>
        <w:pStyle w:val="12"/>
        <w:outlineLvl w:val="0"/>
        <w:rPr>
          <w:rFonts w:hint="default" w:ascii="Times New Roman" w:hAnsi="Times New Roman" w:eastAsia="方正小标宋_GBK" w:cs="Times New Roman"/>
          <w:snapToGrid w:val="0"/>
          <w:color w:val="auto"/>
          <w:sz w:val="38"/>
          <w:szCs w:val="38"/>
          <w:highlight w:val="none"/>
        </w:rPr>
      </w:pPr>
      <w:bookmarkStart w:id="17" w:name="_Toc30545"/>
      <w:r>
        <w:rPr>
          <w:rFonts w:hint="eastAsia" w:ascii="Times New Roman" w:hAnsi="Times New Roman"/>
          <w:b/>
          <w:bCs/>
          <w:color w:val="auto"/>
          <w:sz w:val="24"/>
          <w:szCs w:val="24"/>
          <w:highlight w:val="none"/>
          <w:lang w:eastAsia="zh-CN"/>
        </w:rPr>
        <w:t>附表</w:t>
      </w:r>
      <w:r>
        <w:rPr>
          <w:rFonts w:hint="eastAsia" w:ascii="Times New Roman" w:hAnsi="Times New Roman"/>
          <w:b/>
          <w:bCs/>
          <w:color w:val="auto"/>
          <w:sz w:val="24"/>
          <w:szCs w:val="24"/>
          <w:highlight w:val="none"/>
          <w:lang w:val="en-US" w:eastAsia="zh-CN"/>
        </w:rPr>
        <w:t>1 建设项目污染物排放量汇总表</w:t>
      </w:r>
      <w:bookmarkEnd w:id="17"/>
    </w:p>
    <w:p w14:paraId="44D3EBB5">
      <w:pPr>
        <w:pStyle w:val="24"/>
        <w:bidi w:val="0"/>
        <w:jc w:val="center"/>
        <w:rPr>
          <w:rFonts w:hint="eastAsia" w:ascii="Times New Roman" w:hAnsi="Times New Roman" w:eastAsia="宋体" w:cs="宋体"/>
          <w:color w:val="auto"/>
          <w:sz w:val="36"/>
          <w:szCs w:val="36"/>
          <w:highlight w:val="none"/>
        </w:rPr>
      </w:pPr>
      <w:r>
        <w:rPr>
          <w:rFonts w:hint="eastAsia" w:ascii="Times New Roman" w:hAnsi="Times New Roman" w:eastAsia="宋体" w:cs="宋体"/>
          <w:color w:val="auto"/>
          <w:sz w:val="36"/>
          <w:szCs w:val="36"/>
          <w:highlight w:val="none"/>
        </w:rPr>
        <w:t>建设项目污染物排放量汇总表</w:t>
      </w:r>
    </w:p>
    <w:tbl>
      <w:tblPr>
        <w:tblStyle w:val="31"/>
        <w:tblW w:w="1390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9"/>
        <w:gridCol w:w="1418"/>
        <w:gridCol w:w="1702"/>
        <w:gridCol w:w="1277"/>
        <w:gridCol w:w="1702"/>
        <w:gridCol w:w="1560"/>
        <w:gridCol w:w="1762"/>
        <w:gridCol w:w="1686"/>
        <w:gridCol w:w="1206"/>
      </w:tblGrid>
      <w:tr w14:paraId="71269D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9" w:type="dxa"/>
            <w:tcBorders>
              <w:tl2br w:val="single" w:color="auto" w:sz="4" w:space="0"/>
            </w:tcBorders>
            <w:noWrap w:val="0"/>
            <w:tcMar>
              <w:left w:w="28" w:type="dxa"/>
              <w:right w:w="28" w:type="dxa"/>
            </w:tcMar>
            <w:vAlign w:val="center"/>
          </w:tcPr>
          <w:p w14:paraId="6D825EA3">
            <w:pPr>
              <w:widowControl w:val="0"/>
              <w:adjustRightInd w:val="0"/>
              <w:snapToGrid w:val="0"/>
              <w:spacing w:beforeLines="0" w:afterLines="0" w:line="240" w:lineRule="auto"/>
              <w:jc w:val="right"/>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项目</w:t>
            </w:r>
          </w:p>
          <w:p w14:paraId="1A700836">
            <w:pPr>
              <w:widowControl w:val="0"/>
              <w:adjustRightInd w:val="0"/>
              <w:snapToGrid w:val="0"/>
              <w:spacing w:beforeLines="0" w:afterLines="0" w:line="240" w:lineRule="auto"/>
              <w:jc w:val="left"/>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分类</w:t>
            </w:r>
          </w:p>
        </w:tc>
        <w:tc>
          <w:tcPr>
            <w:tcW w:w="1418" w:type="dxa"/>
            <w:noWrap w:val="0"/>
            <w:tcMar>
              <w:left w:w="28" w:type="dxa"/>
              <w:right w:w="28" w:type="dxa"/>
            </w:tcMar>
            <w:vAlign w:val="center"/>
          </w:tcPr>
          <w:p w14:paraId="137F3B08">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污染物名称</w:t>
            </w:r>
          </w:p>
        </w:tc>
        <w:tc>
          <w:tcPr>
            <w:tcW w:w="1702" w:type="dxa"/>
            <w:noWrap w:val="0"/>
            <w:tcMar>
              <w:left w:w="28" w:type="dxa"/>
              <w:right w:w="28" w:type="dxa"/>
            </w:tcMar>
            <w:vAlign w:val="center"/>
          </w:tcPr>
          <w:p w14:paraId="1A83F898">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现有工程</w:t>
            </w:r>
          </w:p>
          <w:p w14:paraId="4EBCB57F">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bidi="ar-SA"/>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separate"/>
            </w:r>
            <w:r>
              <w:rPr>
                <w:rFonts w:hint="default" w:ascii="Times New Roman" w:hAnsi="Times New Roman" w:eastAsia="黑体" w:cs="Times New Roman"/>
                <w:color w:val="auto"/>
                <w:kern w:val="2"/>
                <w:sz w:val="21"/>
                <w:szCs w:val="21"/>
                <w:highlight w:val="none"/>
                <w:lang w:val="en-US" w:eastAsia="zh-CN" w:bidi="ar-SA"/>
              </w:rPr>
              <w:t>①</w: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end"/>
            </w:r>
          </w:p>
        </w:tc>
        <w:tc>
          <w:tcPr>
            <w:tcW w:w="1277" w:type="dxa"/>
            <w:noWrap w:val="0"/>
            <w:tcMar>
              <w:left w:w="28" w:type="dxa"/>
              <w:right w:w="28" w:type="dxa"/>
            </w:tcMar>
            <w:vAlign w:val="center"/>
          </w:tcPr>
          <w:p w14:paraId="09A6344E">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现有工程</w:t>
            </w:r>
          </w:p>
          <w:p w14:paraId="05E3AEE4">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许可排放量</w:t>
            </w:r>
          </w:p>
          <w:p w14:paraId="205138C0">
            <w:pPr>
              <w:widowControl w:val="0"/>
              <w:adjustRightInd w:val="0"/>
              <w:snapToGrid w:val="0"/>
              <w:spacing w:beforeLines="0" w:afterLines="0" w:line="259"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bidi="ar-SA"/>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separate"/>
            </w:r>
            <w:r>
              <w:rPr>
                <w:rFonts w:hint="default" w:ascii="Times New Roman" w:hAnsi="Times New Roman" w:eastAsia="黑体" w:cs="Times New Roman"/>
                <w:snapToGrid w:val="0"/>
                <w:color w:val="auto"/>
                <w:spacing w:val="-6"/>
                <w:kern w:val="21"/>
                <w:sz w:val="21"/>
                <w:szCs w:val="21"/>
                <w:highlight w:val="none"/>
                <w:lang w:val="en-US" w:eastAsia="zh-CN" w:bidi="ar-SA"/>
              </w:rPr>
              <w:t>②</w: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end"/>
            </w:r>
          </w:p>
        </w:tc>
        <w:tc>
          <w:tcPr>
            <w:tcW w:w="1702" w:type="dxa"/>
            <w:noWrap w:val="0"/>
            <w:tcMar>
              <w:left w:w="28" w:type="dxa"/>
              <w:right w:w="28" w:type="dxa"/>
            </w:tcMar>
            <w:vAlign w:val="center"/>
          </w:tcPr>
          <w:p w14:paraId="3D4DA3AE">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在建工程</w:t>
            </w:r>
          </w:p>
          <w:p w14:paraId="6AE67B0C">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bidi="ar-SA"/>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separate"/>
            </w:r>
            <w:r>
              <w:rPr>
                <w:rFonts w:hint="default" w:ascii="Times New Roman" w:hAnsi="Times New Roman" w:eastAsia="黑体" w:cs="Times New Roman"/>
                <w:color w:val="auto"/>
                <w:kern w:val="2"/>
                <w:sz w:val="21"/>
                <w:szCs w:val="21"/>
                <w:highlight w:val="none"/>
                <w:lang w:val="en-US" w:eastAsia="zh-CN" w:bidi="ar-SA"/>
              </w:rPr>
              <w:t>③</w: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end"/>
            </w:r>
          </w:p>
        </w:tc>
        <w:tc>
          <w:tcPr>
            <w:tcW w:w="1560" w:type="dxa"/>
            <w:noWrap w:val="0"/>
            <w:tcMar>
              <w:left w:w="28" w:type="dxa"/>
              <w:right w:w="28" w:type="dxa"/>
            </w:tcMar>
            <w:vAlign w:val="center"/>
          </w:tcPr>
          <w:p w14:paraId="09E93566">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本项目</w:t>
            </w:r>
          </w:p>
          <w:p w14:paraId="162914AB">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bidi="ar-SA"/>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separate"/>
            </w:r>
            <w:r>
              <w:rPr>
                <w:rFonts w:hint="default" w:ascii="Times New Roman" w:hAnsi="Times New Roman" w:eastAsia="黑体" w:cs="Times New Roman"/>
                <w:color w:val="auto"/>
                <w:kern w:val="2"/>
                <w:sz w:val="21"/>
                <w:szCs w:val="21"/>
                <w:highlight w:val="none"/>
                <w:lang w:val="en-US" w:eastAsia="zh-CN" w:bidi="ar-SA"/>
              </w:rPr>
              <w:t>④</w: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end"/>
            </w:r>
          </w:p>
        </w:tc>
        <w:tc>
          <w:tcPr>
            <w:tcW w:w="1762" w:type="dxa"/>
            <w:noWrap w:val="0"/>
            <w:tcMar>
              <w:left w:w="28" w:type="dxa"/>
              <w:right w:w="28" w:type="dxa"/>
            </w:tcMar>
            <w:vAlign w:val="center"/>
          </w:tcPr>
          <w:p w14:paraId="1B756E7B">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16"/>
                <w:kern w:val="21"/>
                <w:sz w:val="21"/>
                <w:szCs w:val="21"/>
                <w:highlight w:val="none"/>
                <w:lang w:val="en-US" w:eastAsia="zh-CN" w:bidi="ar-SA"/>
              </w:rPr>
            </w:pPr>
            <w:r>
              <w:rPr>
                <w:rFonts w:hint="default" w:ascii="Times New Roman" w:hAnsi="Times New Roman" w:eastAsia="黑体" w:cs="Times New Roman"/>
                <w:snapToGrid w:val="0"/>
                <w:color w:val="auto"/>
                <w:spacing w:val="-16"/>
                <w:kern w:val="21"/>
                <w:sz w:val="21"/>
                <w:szCs w:val="21"/>
                <w:highlight w:val="none"/>
                <w:lang w:val="en-US" w:eastAsia="zh-CN" w:bidi="ar-SA"/>
              </w:rPr>
              <w:t>以新带老削减量</w:t>
            </w:r>
          </w:p>
          <w:p w14:paraId="761F7E95">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16"/>
                <w:kern w:val="21"/>
                <w:sz w:val="21"/>
                <w:szCs w:val="21"/>
                <w:highlight w:val="none"/>
                <w:lang w:val="en-US" w:eastAsia="zh-CN" w:bidi="ar-SA"/>
              </w:rPr>
            </w:pPr>
            <w:r>
              <w:rPr>
                <w:rFonts w:hint="default" w:ascii="Times New Roman" w:hAnsi="Times New Roman" w:eastAsia="黑体" w:cs="Times New Roman"/>
                <w:snapToGrid w:val="0"/>
                <w:color w:val="auto"/>
                <w:spacing w:val="-16"/>
                <w:kern w:val="21"/>
                <w:sz w:val="21"/>
                <w:szCs w:val="21"/>
                <w:highlight w:val="none"/>
                <w:lang w:val="en-US" w:eastAsia="zh-CN" w:bidi="ar-SA"/>
              </w:rPr>
              <w:t>（新建项目不填）</w:t>
            </w:r>
            <w:r>
              <w:rPr>
                <w:rFonts w:hint="default" w:ascii="Times New Roman" w:hAnsi="Times New Roman" w:eastAsia="黑体" w:cs="Times New Roman"/>
                <w:snapToGrid w:val="0"/>
                <w:color w:val="auto"/>
                <w:spacing w:val="-16"/>
                <w:kern w:val="21"/>
                <w:sz w:val="21"/>
                <w:szCs w:val="21"/>
                <w:highlight w:val="none"/>
                <w:lang w:val="en-US" w:eastAsia="zh-CN" w:bidi="ar-SA"/>
              </w:rPr>
              <w:fldChar w:fldCharType="begin"/>
            </w:r>
            <w:r>
              <w:rPr>
                <w:rFonts w:hint="default" w:ascii="Times New Roman" w:hAnsi="Times New Roman" w:eastAsia="黑体" w:cs="Times New Roman"/>
                <w:snapToGrid w:val="0"/>
                <w:color w:val="auto"/>
                <w:spacing w:val="-16"/>
                <w:kern w:val="21"/>
                <w:sz w:val="21"/>
                <w:szCs w:val="21"/>
                <w:highlight w:val="none"/>
                <w:lang w:val="en-US" w:eastAsia="zh-CN" w:bidi="ar-SA"/>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lang w:val="en-US" w:eastAsia="zh-CN" w:bidi="ar-SA"/>
              </w:rPr>
              <w:fldChar w:fldCharType="separate"/>
            </w:r>
            <w:r>
              <w:rPr>
                <w:rFonts w:hint="default" w:ascii="Times New Roman" w:hAnsi="Times New Roman" w:eastAsia="黑体" w:cs="Times New Roman"/>
                <w:color w:val="auto"/>
                <w:kern w:val="2"/>
                <w:sz w:val="21"/>
                <w:szCs w:val="21"/>
                <w:highlight w:val="none"/>
                <w:lang w:val="en-US" w:eastAsia="zh-CN" w:bidi="ar-SA"/>
              </w:rPr>
              <w:t>⑤</w:t>
            </w:r>
            <w:r>
              <w:rPr>
                <w:rFonts w:hint="default" w:ascii="Times New Roman" w:hAnsi="Times New Roman" w:eastAsia="黑体" w:cs="Times New Roman"/>
                <w:snapToGrid w:val="0"/>
                <w:color w:val="auto"/>
                <w:spacing w:val="-16"/>
                <w:kern w:val="21"/>
                <w:sz w:val="21"/>
                <w:szCs w:val="21"/>
                <w:highlight w:val="none"/>
                <w:lang w:val="en-US" w:eastAsia="zh-CN" w:bidi="ar-SA"/>
              </w:rPr>
              <w:fldChar w:fldCharType="end"/>
            </w:r>
          </w:p>
        </w:tc>
        <w:tc>
          <w:tcPr>
            <w:tcW w:w="1686" w:type="dxa"/>
            <w:noWrap w:val="0"/>
            <w:tcMar>
              <w:left w:w="28" w:type="dxa"/>
              <w:right w:w="28" w:type="dxa"/>
            </w:tcMar>
            <w:vAlign w:val="center"/>
          </w:tcPr>
          <w:p w14:paraId="7B22CEFA">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16"/>
                <w:kern w:val="21"/>
                <w:sz w:val="21"/>
                <w:szCs w:val="21"/>
                <w:highlight w:val="none"/>
                <w:lang w:val="en-US" w:eastAsia="zh-CN" w:bidi="ar-SA"/>
              </w:rPr>
            </w:pPr>
            <w:r>
              <w:rPr>
                <w:rFonts w:hint="default" w:ascii="Times New Roman" w:hAnsi="Times New Roman" w:eastAsia="黑体" w:cs="Times New Roman"/>
                <w:snapToGrid w:val="0"/>
                <w:color w:val="auto"/>
                <w:spacing w:val="-16"/>
                <w:kern w:val="21"/>
                <w:sz w:val="21"/>
                <w:szCs w:val="21"/>
                <w:highlight w:val="none"/>
                <w:lang w:val="en-US" w:eastAsia="zh-CN" w:bidi="ar-SA"/>
              </w:rPr>
              <w:t>本项目建成后</w:t>
            </w:r>
          </w:p>
          <w:p w14:paraId="765A7386">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16"/>
                <w:kern w:val="21"/>
                <w:sz w:val="21"/>
                <w:szCs w:val="21"/>
                <w:highlight w:val="none"/>
                <w:lang w:val="en-US" w:eastAsia="zh-CN" w:bidi="ar-SA"/>
              </w:rPr>
            </w:pPr>
            <w:r>
              <w:rPr>
                <w:rFonts w:hint="default" w:ascii="Times New Roman" w:hAnsi="Times New Roman" w:eastAsia="黑体" w:cs="Times New Roman"/>
                <w:snapToGrid w:val="0"/>
                <w:color w:val="auto"/>
                <w:spacing w:val="-16"/>
                <w:kern w:val="21"/>
                <w:sz w:val="21"/>
                <w:szCs w:val="21"/>
                <w:highlight w:val="none"/>
                <w:lang w:val="en-US" w:eastAsia="zh-CN" w:bidi="ar-SA"/>
              </w:rPr>
              <w:t>全厂排放量（固体废物产生量）</w:t>
            </w:r>
            <w:r>
              <w:rPr>
                <w:rFonts w:hint="default" w:ascii="Times New Roman" w:hAnsi="Times New Roman" w:eastAsia="黑体" w:cs="Times New Roman"/>
                <w:snapToGrid w:val="0"/>
                <w:color w:val="auto"/>
                <w:spacing w:val="-16"/>
                <w:kern w:val="21"/>
                <w:sz w:val="21"/>
                <w:szCs w:val="21"/>
                <w:highlight w:val="none"/>
                <w:lang w:val="en-US" w:eastAsia="zh-CN" w:bidi="ar-SA"/>
              </w:rPr>
              <w:fldChar w:fldCharType="begin"/>
            </w:r>
            <w:r>
              <w:rPr>
                <w:rFonts w:hint="default" w:ascii="Times New Roman" w:hAnsi="Times New Roman" w:eastAsia="黑体" w:cs="Times New Roman"/>
                <w:snapToGrid w:val="0"/>
                <w:color w:val="auto"/>
                <w:spacing w:val="-16"/>
                <w:kern w:val="21"/>
                <w:sz w:val="21"/>
                <w:szCs w:val="21"/>
                <w:highlight w:val="none"/>
                <w:lang w:val="en-US" w:eastAsia="zh-CN" w:bidi="ar-SA"/>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lang w:val="en-US" w:eastAsia="zh-CN" w:bidi="ar-SA"/>
              </w:rPr>
              <w:fldChar w:fldCharType="separate"/>
            </w:r>
            <w:r>
              <w:rPr>
                <w:rFonts w:hint="default" w:ascii="Times New Roman" w:hAnsi="Times New Roman" w:eastAsia="黑体" w:cs="Times New Roman"/>
                <w:color w:val="auto"/>
                <w:kern w:val="2"/>
                <w:sz w:val="21"/>
                <w:szCs w:val="21"/>
                <w:highlight w:val="none"/>
                <w:lang w:val="en-US" w:eastAsia="zh-CN" w:bidi="ar-SA"/>
              </w:rPr>
              <w:t>⑥</w:t>
            </w:r>
            <w:r>
              <w:rPr>
                <w:rFonts w:hint="default" w:ascii="Times New Roman" w:hAnsi="Times New Roman" w:eastAsia="黑体" w:cs="Times New Roman"/>
                <w:snapToGrid w:val="0"/>
                <w:color w:val="auto"/>
                <w:spacing w:val="-16"/>
                <w:kern w:val="21"/>
                <w:sz w:val="21"/>
                <w:szCs w:val="21"/>
                <w:highlight w:val="none"/>
                <w:lang w:val="en-US" w:eastAsia="zh-CN" w:bidi="ar-SA"/>
              </w:rPr>
              <w:fldChar w:fldCharType="end"/>
            </w:r>
          </w:p>
        </w:tc>
        <w:tc>
          <w:tcPr>
            <w:tcW w:w="1206" w:type="dxa"/>
            <w:noWrap w:val="0"/>
            <w:tcMar>
              <w:left w:w="28" w:type="dxa"/>
              <w:right w:w="28" w:type="dxa"/>
            </w:tcMar>
            <w:vAlign w:val="center"/>
          </w:tcPr>
          <w:p w14:paraId="3487DB13">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t>变化量</w:t>
            </w:r>
          </w:p>
          <w:p w14:paraId="29DD3DCD">
            <w:pPr>
              <w:widowControl w:val="0"/>
              <w:adjustRightInd w:val="0"/>
              <w:snapToGrid w:val="0"/>
              <w:spacing w:beforeLines="0" w:afterLines="0" w:line="240" w:lineRule="auto"/>
              <w:jc w:val="center"/>
              <w:rPr>
                <w:rFonts w:hint="default" w:ascii="Times New Roman" w:hAnsi="Times New Roman" w:eastAsia="黑体" w:cs="Times New Roman"/>
                <w:snapToGrid w:val="0"/>
                <w:color w:val="auto"/>
                <w:spacing w:val="-6"/>
                <w:kern w:val="21"/>
                <w:sz w:val="21"/>
                <w:szCs w:val="21"/>
                <w:highlight w:val="none"/>
                <w:lang w:val="en-US" w:eastAsia="zh-CN" w:bidi="ar-SA"/>
              </w:rPr>
            </w:pP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bidi="ar-SA"/>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separate"/>
            </w:r>
            <w:r>
              <w:rPr>
                <w:rFonts w:hint="default" w:ascii="Times New Roman" w:hAnsi="Times New Roman" w:eastAsia="黑体" w:cs="Times New Roman"/>
                <w:color w:val="auto"/>
                <w:kern w:val="2"/>
                <w:sz w:val="21"/>
                <w:szCs w:val="21"/>
                <w:highlight w:val="none"/>
                <w:lang w:val="en-US" w:eastAsia="zh-CN" w:bidi="ar-SA"/>
              </w:rPr>
              <w:t>⑦</w:t>
            </w:r>
            <w:r>
              <w:rPr>
                <w:rFonts w:hint="default" w:ascii="Times New Roman" w:hAnsi="Times New Roman" w:eastAsia="黑体" w:cs="Times New Roman"/>
                <w:snapToGrid w:val="0"/>
                <w:color w:val="auto"/>
                <w:spacing w:val="-6"/>
                <w:kern w:val="21"/>
                <w:sz w:val="21"/>
                <w:szCs w:val="21"/>
                <w:highlight w:val="none"/>
                <w:lang w:val="en-US" w:eastAsia="zh-CN" w:bidi="ar-SA"/>
              </w:rPr>
              <w:fldChar w:fldCharType="end"/>
            </w:r>
          </w:p>
        </w:tc>
      </w:tr>
      <w:tr w14:paraId="3C70E9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589" w:type="dxa"/>
            <w:noWrap w:val="0"/>
            <w:vAlign w:val="center"/>
          </w:tcPr>
          <w:p w14:paraId="2274349A">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cs="宋体"/>
                <w:snapToGrid w:val="0"/>
                <w:color w:val="auto"/>
                <w:kern w:val="21"/>
                <w:szCs w:val="21"/>
                <w:highlight w:val="none"/>
                <w:lang w:val="en-US" w:eastAsia="zh-CN"/>
              </w:rPr>
              <w:t>废气</w:t>
            </w:r>
          </w:p>
        </w:tc>
        <w:tc>
          <w:tcPr>
            <w:tcW w:w="1418" w:type="dxa"/>
            <w:noWrap w:val="0"/>
            <w:vAlign w:val="center"/>
          </w:tcPr>
          <w:p w14:paraId="52DA7272">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cs="Times New Roman"/>
                <w:color w:val="auto"/>
                <w:sz w:val="21"/>
                <w:szCs w:val="21"/>
                <w:highlight w:val="none"/>
              </w:rPr>
              <w:t>颗粒物</w:t>
            </w:r>
          </w:p>
        </w:tc>
        <w:tc>
          <w:tcPr>
            <w:tcW w:w="1702" w:type="dxa"/>
            <w:noWrap w:val="0"/>
            <w:vAlign w:val="center"/>
          </w:tcPr>
          <w:p w14:paraId="1D0F5D86">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277" w:type="dxa"/>
            <w:noWrap w:val="0"/>
            <w:vAlign w:val="center"/>
          </w:tcPr>
          <w:p w14:paraId="03C11611">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702" w:type="dxa"/>
            <w:noWrap w:val="0"/>
            <w:vAlign w:val="center"/>
          </w:tcPr>
          <w:p w14:paraId="4617D007">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560" w:type="dxa"/>
            <w:noWrap w:val="0"/>
            <w:vAlign w:val="center"/>
          </w:tcPr>
          <w:p w14:paraId="517C6C70">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cs="Times New Roman"/>
                <w:snapToGrid w:val="0"/>
                <w:color w:val="auto"/>
                <w:kern w:val="21"/>
                <w:sz w:val="21"/>
                <w:szCs w:val="21"/>
                <w:highlight w:val="none"/>
                <w:lang w:val="en-US" w:eastAsia="zh-CN" w:bidi="ar-SA"/>
              </w:rPr>
              <w:t>0.24t/a</w:t>
            </w:r>
          </w:p>
        </w:tc>
        <w:tc>
          <w:tcPr>
            <w:tcW w:w="1762" w:type="dxa"/>
            <w:noWrap w:val="0"/>
            <w:vAlign w:val="center"/>
          </w:tcPr>
          <w:p w14:paraId="36505A66">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686" w:type="dxa"/>
            <w:noWrap w:val="0"/>
            <w:vAlign w:val="center"/>
          </w:tcPr>
          <w:p w14:paraId="55730448">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cs="Times New Roman"/>
                <w:snapToGrid w:val="0"/>
                <w:color w:val="auto"/>
                <w:kern w:val="21"/>
                <w:sz w:val="21"/>
                <w:szCs w:val="21"/>
                <w:highlight w:val="none"/>
                <w:lang w:val="en-US" w:eastAsia="zh-CN" w:bidi="ar-SA"/>
              </w:rPr>
              <w:t>0.24t/a</w:t>
            </w:r>
          </w:p>
        </w:tc>
        <w:tc>
          <w:tcPr>
            <w:tcW w:w="1206" w:type="dxa"/>
            <w:noWrap w:val="0"/>
            <w:vAlign w:val="center"/>
          </w:tcPr>
          <w:p w14:paraId="58FD74CF">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+0.24t/a</w:t>
            </w:r>
          </w:p>
        </w:tc>
      </w:tr>
      <w:tr w14:paraId="04698C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9" w:type="dxa"/>
            <w:vMerge w:val="restart"/>
            <w:noWrap w:val="0"/>
            <w:vAlign w:val="center"/>
          </w:tcPr>
          <w:p w14:paraId="71F944F7">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废水</w:t>
            </w:r>
          </w:p>
        </w:tc>
        <w:tc>
          <w:tcPr>
            <w:tcW w:w="1418" w:type="dxa"/>
            <w:noWrap w:val="0"/>
            <w:vAlign w:val="center"/>
          </w:tcPr>
          <w:p w14:paraId="0491C74B">
            <w:pPr>
              <w:jc w:val="center"/>
              <w:rPr>
                <w:rFonts w:hint="default" w:ascii="Times New Roman" w:hAnsi="Times New Roman" w:eastAsia="宋体" w:cs="Times New Roman"/>
                <w:snapToGrid w:val="0"/>
                <w:color w:val="auto"/>
                <w:kern w:val="21"/>
                <w:szCs w:val="21"/>
                <w:highlight w:val="none"/>
              </w:rPr>
            </w:pPr>
            <w:r>
              <w:rPr>
                <w:rFonts w:ascii="Times New Roman" w:hAnsi="Times New Roman"/>
                <w:color w:val="auto"/>
                <w:szCs w:val="21"/>
                <w:highlight w:val="none"/>
              </w:rPr>
              <w:t>COD</w:t>
            </w:r>
            <w:r>
              <w:rPr>
                <w:rFonts w:ascii="Times New Roman" w:hAnsi="Times New Roman"/>
                <w:color w:val="auto"/>
                <w:szCs w:val="21"/>
                <w:highlight w:val="none"/>
                <w:vertAlign w:val="subscript"/>
              </w:rPr>
              <w:t>Cr</w:t>
            </w:r>
          </w:p>
        </w:tc>
        <w:tc>
          <w:tcPr>
            <w:tcW w:w="1702" w:type="dxa"/>
            <w:noWrap w:val="0"/>
            <w:vAlign w:val="center"/>
          </w:tcPr>
          <w:p w14:paraId="54D4F517">
            <w:pPr>
              <w:pStyle w:val="60"/>
              <w:adjustRightInd/>
              <w:snapToGrid/>
              <w:spacing w:before="0" w:beforeLines="0" w:after="0" w:afterLines="0" w:line="240" w:lineRule="auto"/>
              <w:ind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snapToGrid w:val="0"/>
                <w:color w:val="auto"/>
                <w:kern w:val="21"/>
                <w:szCs w:val="21"/>
                <w:highlight w:val="none"/>
              </w:rPr>
              <w:t>/</w:t>
            </w:r>
          </w:p>
        </w:tc>
        <w:tc>
          <w:tcPr>
            <w:tcW w:w="1277" w:type="dxa"/>
            <w:noWrap w:val="0"/>
            <w:vAlign w:val="center"/>
          </w:tcPr>
          <w:p w14:paraId="166FB744">
            <w:pPr>
              <w:pStyle w:val="60"/>
              <w:adjustRightInd/>
              <w:snapToGrid/>
              <w:spacing w:before="0" w:beforeLines="0" w:after="0" w:afterLines="0" w:line="240" w:lineRule="auto"/>
              <w:ind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Cs w:val="21"/>
                <w:highlight w:val="none"/>
              </w:rPr>
              <w:t>/</w:t>
            </w:r>
          </w:p>
        </w:tc>
        <w:tc>
          <w:tcPr>
            <w:tcW w:w="1702" w:type="dxa"/>
            <w:noWrap w:val="0"/>
            <w:vAlign w:val="center"/>
          </w:tcPr>
          <w:p w14:paraId="520A29A3">
            <w:pPr>
              <w:pStyle w:val="60"/>
              <w:adjustRightInd/>
              <w:snapToGrid/>
              <w:spacing w:before="0" w:beforeLines="0" w:after="0" w:afterLines="0" w:line="240" w:lineRule="auto"/>
              <w:ind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Cs w:val="21"/>
                <w:highlight w:val="none"/>
              </w:rPr>
              <w:t>/</w:t>
            </w:r>
          </w:p>
        </w:tc>
        <w:tc>
          <w:tcPr>
            <w:tcW w:w="1560" w:type="dxa"/>
            <w:noWrap w:val="0"/>
            <w:vAlign w:val="center"/>
          </w:tcPr>
          <w:p w14:paraId="52BFD88F">
            <w:pPr>
              <w:adjustRightInd/>
              <w:snapToGrid/>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Cs w:val="21"/>
                <w:highlight w:val="none"/>
                <w:lang w:eastAsia="zh-CN"/>
              </w:rPr>
            </w:pPr>
            <w:r>
              <w:rPr>
                <w:rFonts w:hint="eastAsia" w:ascii="Times New Roman" w:hAnsi="Times New Roman"/>
                <w:snapToGrid w:val="0"/>
                <w:color w:val="auto"/>
                <w:kern w:val="21"/>
                <w:szCs w:val="21"/>
                <w:highlight w:val="none"/>
              </w:rPr>
              <w:t>/</w:t>
            </w:r>
          </w:p>
        </w:tc>
        <w:tc>
          <w:tcPr>
            <w:tcW w:w="1762" w:type="dxa"/>
            <w:noWrap w:val="0"/>
            <w:vAlign w:val="center"/>
          </w:tcPr>
          <w:p w14:paraId="156E24BA">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snapToGrid w:val="0"/>
                <w:color w:val="auto"/>
                <w:kern w:val="21"/>
                <w:szCs w:val="21"/>
                <w:highlight w:val="none"/>
              </w:rPr>
              <w:t>/</w:t>
            </w:r>
          </w:p>
        </w:tc>
        <w:tc>
          <w:tcPr>
            <w:tcW w:w="1686" w:type="dxa"/>
            <w:noWrap w:val="0"/>
            <w:vAlign w:val="center"/>
          </w:tcPr>
          <w:p w14:paraId="5EDAD5DE">
            <w:pPr>
              <w:adjustRightInd/>
              <w:snapToGrid/>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Cs w:val="21"/>
                <w:highlight w:val="none"/>
                <w:lang w:eastAsia="zh-CN"/>
              </w:rPr>
            </w:pPr>
            <w:r>
              <w:rPr>
                <w:rFonts w:hint="eastAsia" w:ascii="Times New Roman" w:hAnsi="Times New Roman"/>
                <w:snapToGrid w:val="0"/>
                <w:color w:val="auto"/>
                <w:kern w:val="21"/>
                <w:szCs w:val="21"/>
                <w:highlight w:val="none"/>
              </w:rPr>
              <w:t>/</w:t>
            </w:r>
          </w:p>
        </w:tc>
        <w:tc>
          <w:tcPr>
            <w:tcW w:w="1206" w:type="dxa"/>
            <w:noWrap w:val="0"/>
            <w:vAlign w:val="center"/>
          </w:tcPr>
          <w:p w14:paraId="66C02615">
            <w:pPr>
              <w:pStyle w:val="60"/>
              <w:adjustRightInd/>
              <w:snapToGrid/>
              <w:spacing w:before="0" w:beforeLines="0" w:after="0" w:afterLines="0" w:line="240" w:lineRule="auto"/>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79035F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9" w:type="dxa"/>
            <w:vMerge w:val="continue"/>
            <w:noWrap w:val="0"/>
            <w:vAlign w:val="center"/>
          </w:tcPr>
          <w:p w14:paraId="0FB97A0C">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p>
        </w:tc>
        <w:tc>
          <w:tcPr>
            <w:tcW w:w="1418" w:type="dxa"/>
            <w:noWrap w:val="0"/>
            <w:vAlign w:val="center"/>
          </w:tcPr>
          <w:p w14:paraId="5D74DA98">
            <w:pPr>
              <w:jc w:val="center"/>
              <w:rPr>
                <w:rFonts w:hint="default" w:ascii="Times New Roman" w:hAnsi="Times New Roman" w:eastAsia="宋体" w:cs="Times New Roman"/>
                <w:snapToGrid w:val="0"/>
                <w:color w:val="auto"/>
                <w:kern w:val="21"/>
                <w:szCs w:val="21"/>
                <w:highlight w:val="none"/>
              </w:rPr>
            </w:pPr>
            <w:r>
              <w:rPr>
                <w:rFonts w:ascii="Times New Roman" w:hAnsi="Times New Roman"/>
                <w:color w:val="auto"/>
                <w:szCs w:val="21"/>
                <w:highlight w:val="none"/>
              </w:rPr>
              <w:t>BOD</w:t>
            </w:r>
            <w:r>
              <w:rPr>
                <w:rFonts w:ascii="Times New Roman" w:hAnsi="Times New Roman"/>
                <w:color w:val="auto"/>
                <w:szCs w:val="21"/>
                <w:highlight w:val="none"/>
                <w:vertAlign w:val="subscript"/>
              </w:rPr>
              <w:t>5</w:t>
            </w:r>
          </w:p>
        </w:tc>
        <w:tc>
          <w:tcPr>
            <w:tcW w:w="1702" w:type="dxa"/>
            <w:noWrap w:val="0"/>
            <w:vAlign w:val="center"/>
          </w:tcPr>
          <w:p w14:paraId="215A468D">
            <w:pPr>
              <w:pStyle w:val="60"/>
              <w:adjustRightInd/>
              <w:snapToGrid/>
              <w:spacing w:before="0" w:beforeLines="0" w:after="0" w:afterLines="0" w:line="240" w:lineRule="auto"/>
              <w:ind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snapToGrid w:val="0"/>
                <w:color w:val="auto"/>
                <w:kern w:val="21"/>
                <w:szCs w:val="21"/>
                <w:highlight w:val="none"/>
              </w:rPr>
              <w:t>/</w:t>
            </w:r>
          </w:p>
        </w:tc>
        <w:tc>
          <w:tcPr>
            <w:tcW w:w="1277" w:type="dxa"/>
            <w:noWrap w:val="0"/>
            <w:vAlign w:val="center"/>
          </w:tcPr>
          <w:p w14:paraId="2CE64951">
            <w:pPr>
              <w:pStyle w:val="60"/>
              <w:adjustRightInd/>
              <w:snapToGrid/>
              <w:spacing w:before="0" w:beforeLines="0" w:after="0" w:afterLines="0" w:line="240" w:lineRule="auto"/>
              <w:ind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Cs w:val="21"/>
                <w:highlight w:val="none"/>
              </w:rPr>
              <w:t>/</w:t>
            </w:r>
          </w:p>
        </w:tc>
        <w:tc>
          <w:tcPr>
            <w:tcW w:w="1702" w:type="dxa"/>
            <w:noWrap w:val="0"/>
            <w:vAlign w:val="center"/>
          </w:tcPr>
          <w:p w14:paraId="07BC7307">
            <w:pPr>
              <w:pStyle w:val="60"/>
              <w:adjustRightInd/>
              <w:snapToGrid/>
              <w:spacing w:before="0" w:beforeLines="0" w:after="0" w:afterLines="0" w:line="240" w:lineRule="auto"/>
              <w:ind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Cs w:val="21"/>
                <w:highlight w:val="none"/>
              </w:rPr>
              <w:t>/</w:t>
            </w:r>
          </w:p>
        </w:tc>
        <w:tc>
          <w:tcPr>
            <w:tcW w:w="1560" w:type="dxa"/>
            <w:noWrap w:val="0"/>
            <w:vAlign w:val="center"/>
          </w:tcPr>
          <w:p w14:paraId="31E4ACBA">
            <w:pPr>
              <w:adjustRightInd/>
              <w:snapToGrid/>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Cs w:val="21"/>
                <w:highlight w:val="none"/>
                <w:lang w:eastAsia="zh-CN"/>
              </w:rPr>
            </w:pPr>
            <w:r>
              <w:rPr>
                <w:rFonts w:hint="eastAsia" w:ascii="Times New Roman" w:hAnsi="Times New Roman"/>
                <w:snapToGrid w:val="0"/>
                <w:color w:val="auto"/>
                <w:kern w:val="21"/>
                <w:szCs w:val="21"/>
                <w:highlight w:val="none"/>
              </w:rPr>
              <w:t>/</w:t>
            </w:r>
          </w:p>
        </w:tc>
        <w:tc>
          <w:tcPr>
            <w:tcW w:w="1762" w:type="dxa"/>
            <w:noWrap w:val="0"/>
            <w:vAlign w:val="center"/>
          </w:tcPr>
          <w:p w14:paraId="1988AFF2">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snapToGrid w:val="0"/>
                <w:color w:val="auto"/>
                <w:kern w:val="21"/>
                <w:szCs w:val="21"/>
                <w:highlight w:val="none"/>
              </w:rPr>
              <w:t>/</w:t>
            </w:r>
          </w:p>
        </w:tc>
        <w:tc>
          <w:tcPr>
            <w:tcW w:w="1686" w:type="dxa"/>
            <w:noWrap w:val="0"/>
            <w:vAlign w:val="center"/>
          </w:tcPr>
          <w:p w14:paraId="3A6B5326">
            <w:pPr>
              <w:adjustRightInd/>
              <w:snapToGrid/>
              <w:spacing w:before="0" w:beforeLines="0" w:after="0" w:afterLines="0" w:line="240" w:lineRule="auto"/>
              <w:ind w:firstLine="0" w:firstLineChars="0"/>
              <w:jc w:val="center"/>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snapToGrid w:val="0"/>
                <w:color w:val="auto"/>
                <w:kern w:val="21"/>
                <w:szCs w:val="21"/>
                <w:highlight w:val="none"/>
              </w:rPr>
              <w:t>/</w:t>
            </w:r>
          </w:p>
        </w:tc>
        <w:tc>
          <w:tcPr>
            <w:tcW w:w="1206" w:type="dxa"/>
            <w:noWrap w:val="0"/>
            <w:vAlign w:val="center"/>
          </w:tcPr>
          <w:p w14:paraId="7749E076">
            <w:pPr>
              <w:pStyle w:val="60"/>
              <w:adjustRightInd/>
              <w:snapToGrid/>
              <w:spacing w:before="0" w:beforeLines="0" w:after="0" w:afterLines="0" w:line="240" w:lineRule="auto"/>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14A6F5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9" w:type="dxa"/>
            <w:vMerge w:val="continue"/>
            <w:noWrap w:val="0"/>
            <w:vAlign w:val="center"/>
          </w:tcPr>
          <w:p w14:paraId="77ECD9E6">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p>
        </w:tc>
        <w:tc>
          <w:tcPr>
            <w:tcW w:w="1418" w:type="dxa"/>
            <w:noWrap w:val="0"/>
            <w:vAlign w:val="center"/>
          </w:tcPr>
          <w:p w14:paraId="6814EAB3">
            <w:pPr>
              <w:jc w:val="center"/>
              <w:rPr>
                <w:rFonts w:hint="default" w:ascii="Times New Roman" w:hAnsi="Times New Roman" w:eastAsia="宋体" w:cs="Times New Roman"/>
                <w:color w:val="auto"/>
                <w:highlight w:val="none"/>
              </w:rPr>
            </w:pPr>
            <w:r>
              <w:rPr>
                <w:rFonts w:ascii="Times New Roman" w:hAnsi="Times New Roman"/>
                <w:color w:val="auto"/>
                <w:szCs w:val="21"/>
                <w:highlight w:val="none"/>
              </w:rPr>
              <w:t>SS</w:t>
            </w:r>
          </w:p>
        </w:tc>
        <w:tc>
          <w:tcPr>
            <w:tcW w:w="1702" w:type="dxa"/>
            <w:noWrap w:val="0"/>
            <w:vAlign w:val="center"/>
          </w:tcPr>
          <w:p w14:paraId="0EC4AC6C">
            <w:pPr>
              <w:pStyle w:val="60"/>
              <w:adjustRightInd/>
              <w:snapToGrid/>
              <w:spacing w:before="0" w:beforeLines="0" w:after="0" w:afterLines="0" w:line="240" w:lineRule="auto"/>
              <w:ind w:firstLine="0" w:firstLineChars="0"/>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snapToGrid w:val="0"/>
                <w:color w:val="auto"/>
                <w:kern w:val="21"/>
                <w:szCs w:val="21"/>
                <w:highlight w:val="none"/>
              </w:rPr>
              <w:t>/</w:t>
            </w:r>
          </w:p>
        </w:tc>
        <w:tc>
          <w:tcPr>
            <w:tcW w:w="1277" w:type="dxa"/>
            <w:noWrap w:val="0"/>
            <w:vAlign w:val="center"/>
          </w:tcPr>
          <w:p w14:paraId="5D1677F1">
            <w:pPr>
              <w:pStyle w:val="60"/>
              <w:adjustRightInd/>
              <w:snapToGrid/>
              <w:spacing w:before="0" w:beforeLines="0" w:after="0" w:afterLines="0" w:line="240" w:lineRule="auto"/>
              <w:ind w:firstLine="0" w:firstLineChars="0"/>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Cs w:val="21"/>
                <w:highlight w:val="none"/>
              </w:rPr>
              <w:t>/</w:t>
            </w:r>
          </w:p>
        </w:tc>
        <w:tc>
          <w:tcPr>
            <w:tcW w:w="1702" w:type="dxa"/>
            <w:noWrap w:val="0"/>
            <w:vAlign w:val="center"/>
          </w:tcPr>
          <w:p w14:paraId="74B6648F">
            <w:pPr>
              <w:pStyle w:val="60"/>
              <w:adjustRightInd/>
              <w:snapToGrid/>
              <w:spacing w:before="0" w:beforeLines="0" w:after="0" w:afterLines="0" w:line="240" w:lineRule="auto"/>
              <w:ind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Cs w:val="21"/>
                <w:highlight w:val="none"/>
              </w:rPr>
              <w:t>/</w:t>
            </w:r>
          </w:p>
        </w:tc>
        <w:tc>
          <w:tcPr>
            <w:tcW w:w="1560" w:type="dxa"/>
            <w:noWrap w:val="0"/>
            <w:vAlign w:val="center"/>
          </w:tcPr>
          <w:p w14:paraId="63A5F33F">
            <w:pPr>
              <w:adjustRightInd/>
              <w:snapToGrid/>
              <w:spacing w:before="0" w:beforeLines="0" w:after="0" w:afterLines="0" w:line="240" w:lineRule="auto"/>
              <w:ind w:firstLine="0" w:firstLineChars="0"/>
              <w:jc w:val="center"/>
              <w:rPr>
                <w:rFonts w:hint="default" w:ascii="Times New Roman" w:hAnsi="Times New Roman" w:eastAsia="宋体" w:cs="Times New Roman"/>
                <w:color w:val="auto"/>
                <w:highlight w:val="none"/>
                <w:lang w:val="en-US" w:eastAsia="zh-CN"/>
              </w:rPr>
            </w:pPr>
            <w:r>
              <w:rPr>
                <w:rFonts w:hint="eastAsia" w:ascii="Times New Roman" w:hAnsi="Times New Roman"/>
                <w:snapToGrid w:val="0"/>
                <w:color w:val="auto"/>
                <w:kern w:val="21"/>
                <w:szCs w:val="21"/>
                <w:highlight w:val="none"/>
              </w:rPr>
              <w:t>/</w:t>
            </w:r>
          </w:p>
        </w:tc>
        <w:tc>
          <w:tcPr>
            <w:tcW w:w="1762" w:type="dxa"/>
            <w:noWrap w:val="0"/>
            <w:vAlign w:val="center"/>
          </w:tcPr>
          <w:p w14:paraId="611569FC">
            <w:pPr>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snapToGrid w:val="0"/>
                <w:color w:val="auto"/>
                <w:kern w:val="21"/>
                <w:szCs w:val="21"/>
                <w:highlight w:val="none"/>
              </w:rPr>
              <w:t>/</w:t>
            </w:r>
          </w:p>
        </w:tc>
        <w:tc>
          <w:tcPr>
            <w:tcW w:w="1686" w:type="dxa"/>
            <w:noWrap w:val="0"/>
            <w:vAlign w:val="center"/>
          </w:tcPr>
          <w:p w14:paraId="35FF0920">
            <w:pPr>
              <w:adjustRightInd/>
              <w:snapToGrid/>
              <w:spacing w:before="0" w:beforeLines="0" w:after="0" w:afterLines="0" w:line="240" w:lineRule="auto"/>
              <w:ind w:firstLine="0" w:firstLineChars="0"/>
              <w:jc w:val="center"/>
              <w:rPr>
                <w:rFonts w:hint="default" w:ascii="Times New Roman" w:hAnsi="Times New Roman" w:eastAsia="宋体" w:cs="Times New Roman"/>
                <w:color w:val="auto"/>
                <w:highlight w:val="none"/>
                <w:lang w:val="en-US" w:eastAsia="zh-CN"/>
              </w:rPr>
            </w:pPr>
            <w:r>
              <w:rPr>
                <w:rFonts w:hint="eastAsia" w:ascii="Times New Roman" w:hAnsi="Times New Roman"/>
                <w:snapToGrid w:val="0"/>
                <w:color w:val="auto"/>
                <w:kern w:val="21"/>
                <w:szCs w:val="21"/>
                <w:highlight w:val="none"/>
              </w:rPr>
              <w:t>/</w:t>
            </w:r>
          </w:p>
        </w:tc>
        <w:tc>
          <w:tcPr>
            <w:tcW w:w="1206" w:type="dxa"/>
            <w:noWrap w:val="0"/>
            <w:vAlign w:val="center"/>
          </w:tcPr>
          <w:p w14:paraId="2195B4E3">
            <w:pPr>
              <w:pStyle w:val="60"/>
              <w:adjustRightInd/>
              <w:snapToGrid/>
              <w:spacing w:before="0" w:beforeLines="0" w:after="0" w:afterLines="0" w:line="240" w:lineRule="auto"/>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37B883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9" w:type="dxa"/>
            <w:vMerge w:val="continue"/>
            <w:noWrap w:val="0"/>
            <w:vAlign w:val="center"/>
          </w:tcPr>
          <w:p w14:paraId="29D12AB0">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p>
        </w:tc>
        <w:tc>
          <w:tcPr>
            <w:tcW w:w="1418" w:type="dxa"/>
            <w:noWrap w:val="0"/>
            <w:vAlign w:val="center"/>
          </w:tcPr>
          <w:p w14:paraId="7A88EC66">
            <w:pPr>
              <w:jc w:val="center"/>
              <w:rPr>
                <w:rFonts w:hint="default" w:ascii="Times New Roman" w:hAnsi="Times New Roman" w:eastAsia="宋体" w:cs="Times New Roman"/>
                <w:color w:val="auto"/>
                <w:highlight w:val="none"/>
              </w:rPr>
            </w:pPr>
            <w:r>
              <w:rPr>
                <w:rFonts w:ascii="Times New Roman" w:hAnsi="Times New Roman"/>
                <w:color w:val="auto"/>
                <w:szCs w:val="21"/>
                <w:highlight w:val="none"/>
              </w:rPr>
              <w:t>NH</w:t>
            </w:r>
            <w:r>
              <w:rPr>
                <w:rFonts w:ascii="Times New Roman" w:hAnsi="Times New Roman"/>
                <w:color w:val="auto"/>
                <w:szCs w:val="21"/>
                <w:highlight w:val="none"/>
                <w:vertAlign w:val="subscript"/>
              </w:rPr>
              <w:t>3</w:t>
            </w:r>
            <w:r>
              <w:rPr>
                <w:rFonts w:ascii="Times New Roman" w:hAnsi="Times New Roman"/>
                <w:color w:val="auto"/>
                <w:szCs w:val="21"/>
                <w:highlight w:val="none"/>
              </w:rPr>
              <w:t>-N</w:t>
            </w:r>
          </w:p>
        </w:tc>
        <w:tc>
          <w:tcPr>
            <w:tcW w:w="1702" w:type="dxa"/>
            <w:noWrap w:val="0"/>
            <w:vAlign w:val="center"/>
          </w:tcPr>
          <w:p w14:paraId="0A6939E6">
            <w:pPr>
              <w:pStyle w:val="60"/>
              <w:adjustRightInd/>
              <w:snapToGrid/>
              <w:spacing w:before="0" w:beforeLines="0" w:after="0" w:afterLines="0" w:line="240" w:lineRule="auto"/>
              <w:ind w:firstLine="0" w:firstLineChars="0"/>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snapToGrid w:val="0"/>
                <w:color w:val="auto"/>
                <w:kern w:val="21"/>
                <w:szCs w:val="21"/>
                <w:highlight w:val="none"/>
              </w:rPr>
              <w:t>/</w:t>
            </w:r>
          </w:p>
        </w:tc>
        <w:tc>
          <w:tcPr>
            <w:tcW w:w="1277" w:type="dxa"/>
            <w:noWrap w:val="0"/>
            <w:vAlign w:val="center"/>
          </w:tcPr>
          <w:p w14:paraId="58122AB9">
            <w:pPr>
              <w:pStyle w:val="60"/>
              <w:adjustRightInd/>
              <w:snapToGrid/>
              <w:spacing w:before="0" w:beforeLines="0" w:after="0" w:afterLines="0" w:line="240" w:lineRule="auto"/>
              <w:ind w:firstLine="0" w:firstLineChars="0"/>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Cs w:val="21"/>
                <w:highlight w:val="none"/>
              </w:rPr>
              <w:t>/</w:t>
            </w:r>
          </w:p>
        </w:tc>
        <w:tc>
          <w:tcPr>
            <w:tcW w:w="1702" w:type="dxa"/>
            <w:noWrap w:val="0"/>
            <w:vAlign w:val="center"/>
          </w:tcPr>
          <w:p w14:paraId="1729F20F">
            <w:pPr>
              <w:pStyle w:val="60"/>
              <w:adjustRightInd/>
              <w:snapToGrid/>
              <w:spacing w:before="0" w:beforeLines="0" w:after="0" w:afterLines="0" w:line="240" w:lineRule="auto"/>
              <w:ind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Cs w:val="21"/>
                <w:highlight w:val="none"/>
              </w:rPr>
              <w:t>/</w:t>
            </w:r>
          </w:p>
        </w:tc>
        <w:tc>
          <w:tcPr>
            <w:tcW w:w="1560" w:type="dxa"/>
            <w:noWrap w:val="0"/>
            <w:vAlign w:val="center"/>
          </w:tcPr>
          <w:p w14:paraId="1321FE5A">
            <w:pPr>
              <w:adjustRightInd/>
              <w:snapToGrid/>
              <w:spacing w:before="0" w:beforeLines="0" w:after="0" w:afterLines="0" w:line="240" w:lineRule="auto"/>
              <w:ind w:firstLine="0" w:firstLineChars="0"/>
              <w:jc w:val="center"/>
              <w:rPr>
                <w:rFonts w:hint="default" w:ascii="Times New Roman" w:hAnsi="Times New Roman" w:eastAsia="宋体" w:cs="Times New Roman"/>
                <w:color w:val="auto"/>
                <w:highlight w:val="none"/>
                <w:lang w:val="en-US" w:eastAsia="zh-CN"/>
              </w:rPr>
            </w:pPr>
            <w:r>
              <w:rPr>
                <w:rFonts w:hint="eastAsia" w:ascii="Times New Roman" w:hAnsi="Times New Roman"/>
                <w:snapToGrid w:val="0"/>
                <w:color w:val="auto"/>
                <w:kern w:val="21"/>
                <w:szCs w:val="21"/>
                <w:highlight w:val="none"/>
              </w:rPr>
              <w:t>/</w:t>
            </w:r>
          </w:p>
        </w:tc>
        <w:tc>
          <w:tcPr>
            <w:tcW w:w="1762" w:type="dxa"/>
            <w:noWrap w:val="0"/>
            <w:vAlign w:val="center"/>
          </w:tcPr>
          <w:p w14:paraId="0962C729">
            <w:pPr>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snapToGrid w:val="0"/>
                <w:color w:val="auto"/>
                <w:kern w:val="21"/>
                <w:szCs w:val="21"/>
                <w:highlight w:val="none"/>
              </w:rPr>
              <w:t>/</w:t>
            </w:r>
          </w:p>
        </w:tc>
        <w:tc>
          <w:tcPr>
            <w:tcW w:w="1686" w:type="dxa"/>
            <w:noWrap w:val="0"/>
            <w:vAlign w:val="center"/>
          </w:tcPr>
          <w:p w14:paraId="3E862AC4">
            <w:pPr>
              <w:adjustRightInd/>
              <w:snapToGrid/>
              <w:spacing w:before="0" w:beforeLines="0" w:after="0" w:afterLines="0" w:line="240" w:lineRule="auto"/>
              <w:ind w:firstLine="0" w:firstLineChars="0"/>
              <w:jc w:val="center"/>
              <w:rPr>
                <w:rFonts w:hint="default" w:ascii="Times New Roman" w:hAnsi="Times New Roman" w:eastAsia="宋体" w:cs="Times New Roman"/>
                <w:color w:val="auto"/>
                <w:highlight w:val="none"/>
                <w:lang w:val="en-US" w:eastAsia="zh-CN"/>
              </w:rPr>
            </w:pPr>
            <w:r>
              <w:rPr>
                <w:rFonts w:hint="eastAsia" w:ascii="Times New Roman" w:hAnsi="Times New Roman"/>
                <w:snapToGrid w:val="0"/>
                <w:color w:val="auto"/>
                <w:kern w:val="21"/>
                <w:szCs w:val="21"/>
                <w:highlight w:val="none"/>
              </w:rPr>
              <w:t>/</w:t>
            </w:r>
          </w:p>
        </w:tc>
        <w:tc>
          <w:tcPr>
            <w:tcW w:w="1206" w:type="dxa"/>
            <w:noWrap w:val="0"/>
            <w:vAlign w:val="center"/>
          </w:tcPr>
          <w:p w14:paraId="03AFD0B3">
            <w:pPr>
              <w:pStyle w:val="60"/>
              <w:adjustRightInd/>
              <w:snapToGrid/>
              <w:spacing w:before="0" w:beforeLines="0" w:after="0" w:afterLines="0" w:line="240" w:lineRule="auto"/>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5C7EB5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9" w:type="dxa"/>
            <w:vMerge w:val="restart"/>
            <w:noWrap w:val="0"/>
            <w:vAlign w:val="center"/>
          </w:tcPr>
          <w:p w14:paraId="5E7163D3">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一般工业</w:t>
            </w:r>
          </w:p>
          <w:p w14:paraId="06A44E19">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固体废物</w:t>
            </w:r>
          </w:p>
        </w:tc>
        <w:tc>
          <w:tcPr>
            <w:tcW w:w="1418" w:type="dxa"/>
            <w:noWrap w:val="0"/>
            <w:vAlign w:val="center"/>
          </w:tcPr>
          <w:p w14:paraId="0F9262AD">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Cs w:val="21"/>
                <w:highlight w:val="none"/>
                <w:lang w:val="en-US" w:eastAsia="zh-CN"/>
              </w:rPr>
              <w:t>除铁器</w:t>
            </w:r>
          </w:p>
        </w:tc>
        <w:tc>
          <w:tcPr>
            <w:tcW w:w="1702" w:type="dxa"/>
            <w:noWrap w:val="0"/>
            <w:vAlign w:val="center"/>
          </w:tcPr>
          <w:p w14:paraId="14D47F77">
            <w:pPr>
              <w:pStyle w:val="60"/>
              <w:adjustRightInd/>
              <w:snapToGrid/>
              <w:spacing w:before="0" w:beforeLines="0" w:after="0" w:afterLines="0" w:line="240" w:lineRule="auto"/>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277" w:type="dxa"/>
            <w:noWrap w:val="0"/>
            <w:vAlign w:val="center"/>
          </w:tcPr>
          <w:p w14:paraId="7AB1415F">
            <w:pPr>
              <w:pStyle w:val="60"/>
              <w:adjustRightInd/>
              <w:snapToGrid/>
              <w:spacing w:before="0" w:beforeLines="0" w:after="0" w:afterLines="0" w:line="240" w:lineRule="auto"/>
              <w:ind w:firstLine="0" w:firstLineChars="0"/>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Cs w:val="21"/>
                <w:highlight w:val="none"/>
              </w:rPr>
              <w:t>/</w:t>
            </w:r>
          </w:p>
        </w:tc>
        <w:tc>
          <w:tcPr>
            <w:tcW w:w="1702" w:type="dxa"/>
            <w:noWrap w:val="0"/>
            <w:vAlign w:val="center"/>
          </w:tcPr>
          <w:p w14:paraId="51C20729">
            <w:pPr>
              <w:pStyle w:val="60"/>
              <w:adjustRightInd/>
              <w:snapToGrid/>
              <w:spacing w:before="0" w:beforeLines="0" w:after="0" w:afterLines="0" w:line="240" w:lineRule="auto"/>
              <w:ind w:firstLine="0" w:firstLineChars="0"/>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Cs w:val="21"/>
                <w:highlight w:val="none"/>
              </w:rPr>
              <w:t>/</w:t>
            </w:r>
          </w:p>
        </w:tc>
        <w:tc>
          <w:tcPr>
            <w:tcW w:w="1560" w:type="dxa"/>
            <w:noWrap w:val="0"/>
            <w:vAlign w:val="center"/>
          </w:tcPr>
          <w:p w14:paraId="5537262A">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napToGrid w:val="0"/>
                <w:color w:val="auto"/>
                <w:kern w:val="21"/>
                <w:szCs w:val="21"/>
                <w:highlight w:val="none"/>
                <w:lang w:val="en-US"/>
              </w:rPr>
            </w:pPr>
            <w:r>
              <w:rPr>
                <w:rFonts w:hint="eastAsia" w:ascii="Times New Roman" w:hAnsi="Times New Roman"/>
                <w:color w:val="auto"/>
                <w:szCs w:val="21"/>
                <w:highlight w:val="none"/>
                <w:lang w:val="en-US" w:eastAsia="zh-CN"/>
              </w:rPr>
              <w:t>2t/a</w:t>
            </w:r>
          </w:p>
        </w:tc>
        <w:tc>
          <w:tcPr>
            <w:tcW w:w="1762" w:type="dxa"/>
            <w:noWrap w:val="0"/>
            <w:vAlign w:val="center"/>
          </w:tcPr>
          <w:p w14:paraId="45644531">
            <w:pPr>
              <w:pStyle w:val="60"/>
              <w:adjustRightInd/>
              <w:snapToGrid/>
              <w:spacing w:before="0" w:beforeLines="0" w:after="0" w:afterLines="0" w:line="240" w:lineRule="auto"/>
              <w:ind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snapToGrid w:val="0"/>
                <w:color w:val="auto"/>
                <w:kern w:val="21"/>
                <w:szCs w:val="21"/>
                <w:highlight w:val="none"/>
              </w:rPr>
              <w:t>/</w:t>
            </w:r>
          </w:p>
        </w:tc>
        <w:tc>
          <w:tcPr>
            <w:tcW w:w="1686" w:type="dxa"/>
            <w:noWrap w:val="0"/>
            <w:vAlign w:val="center"/>
          </w:tcPr>
          <w:p w14:paraId="180059FA">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napToGrid w:val="0"/>
                <w:color w:val="auto"/>
                <w:kern w:val="21"/>
                <w:szCs w:val="21"/>
                <w:highlight w:val="none"/>
                <w:lang w:val="en-US"/>
              </w:rPr>
            </w:pPr>
            <w:r>
              <w:rPr>
                <w:rFonts w:hint="eastAsia" w:ascii="Times New Roman" w:hAnsi="Times New Roman"/>
                <w:color w:val="auto"/>
                <w:szCs w:val="21"/>
                <w:highlight w:val="none"/>
                <w:lang w:val="en-US" w:eastAsia="zh-CN"/>
              </w:rPr>
              <w:t>2t/a</w:t>
            </w:r>
          </w:p>
        </w:tc>
        <w:tc>
          <w:tcPr>
            <w:tcW w:w="1206" w:type="dxa"/>
            <w:noWrap w:val="0"/>
            <w:vAlign w:val="center"/>
          </w:tcPr>
          <w:p w14:paraId="1E5C4D60">
            <w:pPr>
              <w:pStyle w:val="60"/>
              <w:adjustRightInd/>
              <w:snapToGrid/>
              <w:spacing w:before="0" w:beforeLines="0" w:after="0" w:afterLines="0" w:line="240" w:lineRule="auto"/>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+2t/a</w:t>
            </w:r>
          </w:p>
        </w:tc>
      </w:tr>
      <w:tr w14:paraId="1884B8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9" w:type="dxa"/>
            <w:vMerge w:val="continue"/>
            <w:noWrap w:val="0"/>
            <w:vAlign w:val="center"/>
          </w:tcPr>
          <w:p w14:paraId="79026A3A">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p>
        </w:tc>
        <w:tc>
          <w:tcPr>
            <w:tcW w:w="1418" w:type="dxa"/>
            <w:noWrap w:val="0"/>
            <w:vAlign w:val="center"/>
          </w:tcPr>
          <w:p w14:paraId="4E6CB29C">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olor w:val="auto"/>
                <w:szCs w:val="21"/>
                <w:highlight w:val="none"/>
                <w:lang w:val="en-US" w:eastAsia="zh-CN"/>
              </w:rPr>
              <w:t>包装袋</w:t>
            </w:r>
          </w:p>
        </w:tc>
        <w:tc>
          <w:tcPr>
            <w:tcW w:w="1702" w:type="dxa"/>
            <w:noWrap w:val="0"/>
            <w:vAlign w:val="center"/>
          </w:tcPr>
          <w:p w14:paraId="4DD611C0">
            <w:pPr>
              <w:widowControl w:val="0"/>
              <w:adjustRightInd w:val="0"/>
              <w:snapToGrid w:val="0"/>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277" w:type="dxa"/>
            <w:noWrap w:val="0"/>
            <w:vAlign w:val="center"/>
          </w:tcPr>
          <w:p w14:paraId="1E3E510F">
            <w:pPr>
              <w:widowControl w:val="0"/>
              <w:adjustRightInd w:val="0"/>
              <w:snapToGrid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702" w:type="dxa"/>
            <w:noWrap w:val="0"/>
            <w:vAlign w:val="center"/>
          </w:tcPr>
          <w:p w14:paraId="6BE20F53">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560" w:type="dxa"/>
            <w:noWrap w:val="0"/>
            <w:vAlign w:val="center"/>
          </w:tcPr>
          <w:p w14:paraId="137BEEB4">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olor w:val="auto"/>
                <w:szCs w:val="21"/>
                <w:highlight w:val="none"/>
                <w:lang w:val="en-US" w:eastAsia="zh-CN"/>
              </w:rPr>
              <w:t>800个/a</w:t>
            </w:r>
          </w:p>
        </w:tc>
        <w:tc>
          <w:tcPr>
            <w:tcW w:w="1762" w:type="dxa"/>
            <w:noWrap w:val="0"/>
            <w:vAlign w:val="center"/>
          </w:tcPr>
          <w:p w14:paraId="183DBE5F">
            <w:pPr>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686" w:type="dxa"/>
            <w:noWrap w:val="0"/>
            <w:vAlign w:val="center"/>
          </w:tcPr>
          <w:p w14:paraId="69FE21FA">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hAnsi="Times New Roman"/>
                <w:color w:val="auto"/>
                <w:szCs w:val="21"/>
                <w:highlight w:val="none"/>
                <w:lang w:val="en-US" w:eastAsia="zh-CN"/>
              </w:rPr>
              <w:t>800个/a</w:t>
            </w:r>
          </w:p>
        </w:tc>
        <w:tc>
          <w:tcPr>
            <w:tcW w:w="1206" w:type="dxa"/>
            <w:noWrap w:val="0"/>
            <w:vAlign w:val="center"/>
          </w:tcPr>
          <w:p w14:paraId="2287A199">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+800个/a</w:t>
            </w:r>
          </w:p>
        </w:tc>
      </w:tr>
      <w:tr w14:paraId="4E2B16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9" w:type="dxa"/>
            <w:vMerge w:val="continue"/>
            <w:noWrap w:val="0"/>
            <w:vAlign w:val="center"/>
          </w:tcPr>
          <w:p w14:paraId="16C3AEA6">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p>
        </w:tc>
        <w:tc>
          <w:tcPr>
            <w:tcW w:w="1418" w:type="dxa"/>
            <w:noWrap w:val="0"/>
            <w:vAlign w:val="center"/>
          </w:tcPr>
          <w:p w14:paraId="3643FC14">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煤泥</w:t>
            </w:r>
          </w:p>
        </w:tc>
        <w:tc>
          <w:tcPr>
            <w:tcW w:w="1702" w:type="dxa"/>
            <w:noWrap w:val="0"/>
            <w:vAlign w:val="center"/>
          </w:tcPr>
          <w:p w14:paraId="2AE3539D">
            <w:pPr>
              <w:widowControl w:val="0"/>
              <w:adjustRightInd w:val="0"/>
              <w:snapToGrid w:val="0"/>
              <w:spacing w:beforeLines="0" w:afterLines="0"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277" w:type="dxa"/>
            <w:noWrap w:val="0"/>
            <w:vAlign w:val="center"/>
          </w:tcPr>
          <w:p w14:paraId="4D5C9831">
            <w:pPr>
              <w:widowControl w:val="0"/>
              <w:adjustRightInd w:val="0"/>
              <w:snapToGrid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702" w:type="dxa"/>
            <w:noWrap w:val="0"/>
            <w:vAlign w:val="center"/>
          </w:tcPr>
          <w:p w14:paraId="7598CE82">
            <w:pPr>
              <w:widowControl w:val="0"/>
              <w:adjustRightInd w:val="0"/>
              <w:snapToGrid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560" w:type="dxa"/>
            <w:noWrap w:val="0"/>
            <w:vAlign w:val="center"/>
          </w:tcPr>
          <w:p w14:paraId="527EB9DD">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130804t/a</w:t>
            </w:r>
          </w:p>
        </w:tc>
        <w:tc>
          <w:tcPr>
            <w:tcW w:w="1762" w:type="dxa"/>
            <w:noWrap w:val="0"/>
            <w:vAlign w:val="center"/>
          </w:tcPr>
          <w:p w14:paraId="75C0EB95">
            <w:pPr>
              <w:widowControl w:val="0"/>
              <w:adjustRightInd w:val="0"/>
              <w:snapToGrid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686" w:type="dxa"/>
            <w:noWrap w:val="0"/>
            <w:vAlign w:val="center"/>
          </w:tcPr>
          <w:p w14:paraId="2380D8AA">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130804t/a</w:t>
            </w:r>
          </w:p>
        </w:tc>
        <w:tc>
          <w:tcPr>
            <w:tcW w:w="1206" w:type="dxa"/>
            <w:noWrap w:val="0"/>
            <w:vAlign w:val="center"/>
          </w:tcPr>
          <w:p w14:paraId="1F69B43F">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r>
              <w:rPr>
                <w:rFonts w:hint="eastAsia" w:ascii="Times New Roman" w:hAnsi="Times New Roman"/>
                <w:color w:val="auto"/>
                <w:szCs w:val="21"/>
                <w:highlight w:val="none"/>
                <w:lang w:val="en-US" w:eastAsia="zh-CN"/>
              </w:rPr>
              <w:t>130804t/a</w:t>
            </w:r>
          </w:p>
        </w:tc>
      </w:tr>
      <w:tr w14:paraId="6D475C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9" w:type="dxa"/>
            <w:vMerge w:val="continue"/>
            <w:noWrap w:val="0"/>
            <w:vAlign w:val="center"/>
          </w:tcPr>
          <w:p w14:paraId="62915BD2">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p>
        </w:tc>
        <w:tc>
          <w:tcPr>
            <w:tcW w:w="1418" w:type="dxa"/>
            <w:noWrap w:val="0"/>
            <w:vAlign w:val="center"/>
          </w:tcPr>
          <w:p w14:paraId="25F99111">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煤矸石</w:t>
            </w:r>
          </w:p>
        </w:tc>
        <w:tc>
          <w:tcPr>
            <w:tcW w:w="1702" w:type="dxa"/>
            <w:noWrap w:val="0"/>
            <w:vAlign w:val="center"/>
          </w:tcPr>
          <w:p w14:paraId="4A34B146">
            <w:pPr>
              <w:widowControl w:val="0"/>
              <w:adjustRightInd w:val="0"/>
              <w:snapToGrid w:val="0"/>
              <w:spacing w:beforeLines="0" w:afterLines="0"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277" w:type="dxa"/>
            <w:noWrap w:val="0"/>
            <w:vAlign w:val="center"/>
          </w:tcPr>
          <w:p w14:paraId="5A1FFA1E">
            <w:pPr>
              <w:widowControl w:val="0"/>
              <w:adjustRightInd w:val="0"/>
              <w:snapToGrid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702" w:type="dxa"/>
            <w:noWrap w:val="0"/>
            <w:vAlign w:val="center"/>
          </w:tcPr>
          <w:p w14:paraId="56CBB209">
            <w:pPr>
              <w:widowControl w:val="0"/>
              <w:adjustRightInd w:val="0"/>
              <w:snapToGrid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560" w:type="dxa"/>
            <w:noWrap w:val="0"/>
            <w:vAlign w:val="center"/>
          </w:tcPr>
          <w:p w14:paraId="49F028BC">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color w:val="auto"/>
                <w:szCs w:val="21"/>
                <w:highlight w:val="none"/>
                <w:lang w:val="en-US" w:eastAsia="zh-CN"/>
              </w:rPr>
              <w:t>349400</w:t>
            </w:r>
            <w:r>
              <w:rPr>
                <w:rFonts w:hint="eastAsia" w:ascii="Times New Roman" w:hAnsi="Times New Roman"/>
                <w:color w:val="auto"/>
                <w:szCs w:val="21"/>
                <w:highlight w:val="none"/>
                <w:lang w:val="en-US" w:eastAsia="zh-CN"/>
              </w:rPr>
              <w:t>t/a</w:t>
            </w:r>
          </w:p>
        </w:tc>
        <w:tc>
          <w:tcPr>
            <w:tcW w:w="1762" w:type="dxa"/>
            <w:noWrap w:val="0"/>
            <w:vAlign w:val="center"/>
          </w:tcPr>
          <w:p w14:paraId="3D6374F4">
            <w:pPr>
              <w:widowControl w:val="0"/>
              <w:adjustRightInd w:val="0"/>
              <w:snapToGrid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686" w:type="dxa"/>
            <w:noWrap w:val="0"/>
            <w:vAlign w:val="center"/>
          </w:tcPr>
          <w:p w14:paraId="62CE3FF3">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olor w:val="auto"/>
                <w:szCs w:val="21"/>
                <w:highlight w:val="none"/>
                <w:lang w:val="en-US" w:eastAsia="zh-CN"/>
              </w:rPr>
            </w:pPr>
            <w:r>
              <w:rPr>
                <w:rFonts w:hint="eastAsia"/>
                <w:color w:val="auto"/>
                <w:szCs w:val="21"/>
                <w:highlight w:val="none"/>
                <w:lang w:val="en-US" w:eastAsia="zh-CN"/>
              </w:rPr>
              <w:t>349400</w:t>
            </w:r>
            <w:r>
              <w:rPr>
                <w:rFonts w:hint="eastAsia" w:ascii="Times New Roman" w:hAnsi="Times New Roman"/>
                <w:color w:val="auto"/>
                <w:szCs w:val="21"/>
                <w:highlight w:val="none"/>
                <w:lang w:val="en-US" w:eastAsia="zh-CN"/>
              </w:rPr>
              <w:t>t/a</w:t>
            </w:r>
          </w:p>
        </w:tc>
        <w:tc>
          <w:tcPr>
            <w:tcW w:w="1206" w:type="dxa"/>
            <w:noWrap w:val="0"/>
            <w:vAlign w:val="center"/>
          </w:tcPr>
          <w:p w14:paraId="1D73FDDD">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imes New Roman" w:hAnsi="Times New Roman" w:cs="Times New Roman"/>
                <w:color w:val="auto"/>
                <w:kern w:val="2"/>
                <w:sz w:val="21"/>
                <w:szCs w:val="21"/>
                <w:highlight w:val="none"/>
                <w:lang w:val="en-US" w:eastAsia="zh-CN" w:bidi="ar-SA"/>
              </w:rPr>
            </w:pPr>
            <w:r>
              <w:rPr>
                <w:rFonts w:hint="eastAsia"/>
                <w:color w:val="auto"/>
                <w:szCs w:val="21"/>
                <w:highlight w:val="none"/>
                <w:lang w:val="en-US" w:eastAsia="zh-CN"/>
              </w:rPr>
              <w:t>349400</w:t>
            </w:r>
            <w:r>
              <w:rPr>
                <w:rFonts w:hint="eastAsia" w:ascii="Times New Roman" w:hAnsi="Times New Roman"/>
                <w:color w:val="auto"/>
                <w:szCs w:val="21"/>
                <w:highlight w:val="none"/>
                <w:lang w:val="en-US" w:eastAsia="zh-CN"/>
              </w:rPr>
              <w:t>t/a</w:t>
            </w:r>
          </w:p>
        </w:tc>
      </w:tr>
      <w:tr w14:paraId="17112F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9" w:type="dxa"/>
            <w:noWrap w:val="0"/>
            <w:vAlign w:val="center"/>
          </w:tcPr>
          <w:p w14:paraId="7FC5E197">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cs="Times New Roman"/>
                <w:snapToGrid w:val="0"/>
                <w:color w:val="auto"/>
                <w:kern w:val="21"/>
                <w:sz w:val="21"/>
                <w:szCs w:val="21"/>
                <w:highlight w:val="none"/>
                <w:lang w:val="en-US" w:eastAsia="zh-CN" w:bidi="ar-SA"/>
              </w:rPr>
              <w:t>危险废物</w:t>
            </w:r>
          </w:p>
        </w:tc>
        <w:tc>
          <w:tcPr>
            <w:tcW w:w="1418" w:type="dxa"/>
            <w:noWrap w:val="0"/>
            <w:vAlign w:val="center"/>
          </w:tcPr>
          <w:p w14:paraId="2FC1E7C0">
            <w:pPr>
              <w:pStyle w:val="27"/>
              <w:widowControl/>
              <w:spacing w:line="18" w:lineRule="atLeast"/>
              <w:jc w:val="center"/>
              <w:rPr>
                <w:rFonts w:hint="eastAsia" w:ascii="Times New Roman" w:hAnsi="Times New Roman" w:eastAsia="宋体"/>
                <w:color w:val="auto"/>
                <w:sz w:val="21"/>
                <w:szCs w:val="21"/>
                <w:highlight w:val="none"/>
                <w:lang w:eastAsia="zh-CN"/>
              </w:rPr>
            </w:pPr>
            <w:r>
              <w:rPr>
                <w:rFonts w:hint="eastAsia" w:ascii="Times New Roman" w:hAnsi="Times New Roman"/>
                <w:color w:val="auto"/>
                <w:sz w:val="21"/>
                <w:szCs w:val="21"/>
                <w:highlight w:val="none"/>
                <w:lang w:eastAsia="zh-CN"/>
              </w:rPr>
              <w:t>废机油</w:t>
            </w:r>
          </w:p>
        </w:tc>
        <w:tc>
          <w:tcPr>
            <w:tcW w:w="1702" w:type="dxa"/>
            <w:noWrap w:val="0"/>
            <w:vAlign w:val="center"/>
          </w:tcPr>
          <w:p w14:paraId="0C20E28E">
            <w:pPr>
              <w:widowControl w:val="0"/>
              <w:adjustRightInd w:val="0"/>
              <w:snapToGrid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277" w:type="dxa"/>
            <w:noWrap w:val="0"/>
            <w:vAlign w:val="center"/>
          </w:tcPr>
          <w:p w14:paraId="6323116F">
            <w:pPr>
              <w:widowControl w:val="0"/>
              <w:adjustRightInd w:val="0"/>
              <w:snapToGrid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702" w:type="dxa"/>
            <w:noWrap w:val="0"/>
            <w:vAlign w:val="center"/>
          </w:tcPr>
          <w:p w14:paraId="204ECC62">
            <w:pPr>
              <w:widowControl w:val="0"/>
              <w:adjustRightInd w:val="0"/>
              <w:snapToGrid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560" w:type="dxa"/>
            <w:noWrap w:val="0"/>
            <w:vAlign w:val="center"/>
          </w:tcPr>
          <w:p w14:paraId="5FE2F50B">
            <w:pPr>
              <w:jc w:val="center"/>
              <w:rPr>
                <w:rFonts w:hint="default" w:ascii="Times New Roman" w:hAnsi="Times New Roman" w:cs="Times New Roman"/>
                <w:snapToGrid w:val="0"/>
                <w:color w:val="auto"/>
                <w:kern w:val="21"/>
                <w:sz w:val="21"/>
                <w:szCs w:val="21"/>
                <w:highlight w:val="none"/>
                <w:lang w:val="en-US" w:eastAsia="zh-CN" w:bidi="ar-SA"/>
              </w:rPr>
            </w:pPr>
            <w:r>
              <w:rPr>
                <w:rFonts w:hint="eastAsia" w:ascii="Times New Roman" w:hAnsi="Times New Roman" w:cs="Times New Roman"/>
                <w:snapToGrid w:val="0"/>
                <w:color w:val="auto"/>
                <w:kern w:val="21"/>
                <w:sz w:val="21"/>
                <w:szCs w:val="21"/>
                <w:highlight w:val="none"/>
                <w:lang w:val="en-US" w:eastAsia="zh-CN" w:bidi="ar-SA"/>
              </w:rPr>
              <w:t>0.2</w:t>
            </w:r>
            <w:r>
              <w:rPr>
                <w:rFonts w:hint="eastAsia" w:ascii="Times New Roman" w:hAnsi="Times New Roman"/>
                <w:color w:val="auto"/>
                <w:szCs w:val="21"/>
                <w:highlight w:val="none"/>
                <w:lang w:val="en-US" w:eastAsia="zh-CN"/>
              </w:rPr>
              <w:t>t/a</w:t>
            </w:r>
          </w:p>
        </w:tc>
        <w:tc>
          <w:tcPr>
            <w:tcW w:w="1762" w:type="dxa"/>
            <w:noWrap w:val="0"/>
            <w:vAlign w:val="center"/>
          </w:tcPr>
          <w:p w14:paraId="00D9BFF0">
            <w:pPr>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w:t>
            </w:r>
          </w:p>
        </w:tc>
        <w:tc>
          <w:tcPr>
            <w:tcW w:w="1686" w:type="dxa"/>
            <w:noWrap w:val="0"/>
            <w:vAlign w:val="center"/>
          </w:tcPr>
          <w:p w14:paraId="43327BDF">
            <w:pPr>
              <w:jc w:val="center"/>
              <w:rPr>
                <w:rFonts w:hint="default" w:ascii="Times New Roman" w:hAnsi="Times New Roman" w:cs="Times New Roman"/>
                <w:snapToGrid w:val="0"/>
                <w:color w:val="auto"/>
                <w:kern w:val="21"/>
                <w:sz w:val="21"/>
                <w:szCs w:val="21"/>
                <w:highlight w:val="none"/>
                <w:lang w:val="en-US" w:eastAsia="zh-CN" w:bidi="ar-SA"/>
              </w:rPr>
            </w:pPr>
            <w:r>
              <w:rPr>
                <w:rFonts w:hint="eastAsia" w:ascii="Times New Roman" w:hAnsi="Times New Roman" w:cs="Times New Roman"/>
                <w:snapToGrid w:val="0"/>
                <w:color w:val="auto"/>
                <w:kern w:val="21"/>
                <w:sz w:val="21"/>
                <w:szCs w:val="21"/>
                <w:highlight w:val="none"/>
                <w:lang w:val="en-US" w:eastAsia="zh-CN" w:bidi="ar-SA"/>
              </w:rPr>
              <w:t>0.2</w:t>
            </w:r>
            <w:r>
              <w:rPr>
                <w:rFonts w:hint="eastAsia" w:ascii="Times New Roman" w:hAnsi="Times New Roman"/>
                <w:color w:val="auto"/>
                <w:szCs w:val="21"/>
                <w:highlight w:val="none"/>
                <w:lang w:val="en-US" w:eastAsia="zh-CN"/>
              </w:rPr>
              <w:t>t/a</w:t>
            </w:r>
          </w:p>
        </w:tc>
        <w:tc>
          <w:tcPr>
            <w:tcW w:w="1206" w:type="dxa"/>
            <w:noWrap w:val="0"/>
            <w:vAlign w:val="center"/>
          </w:tcPr>
          <w:p w14:paraId="6FFFECAF">
            <w:pPr>
              <w:jc w:val="center"/>
              <w:rPr>
                <w:rFonts w:hint="default" w:ascii="Times New Roman" w:hAnsi="Times New Roman" w:cs="Times New Roman"/>
                <w:snapToGrid w:val="0"/>
                <w:color w:val="auto"/>
                <w:kern w:val="21"/>
                <w:sz w:val="21"/>
                <w:szCs w:val="21"/>
                <w:highlight w:val="none"/>
                <w:lang w:val="en-US" w:eastAsia="zh-CN" w:bidi="ar-SA"/>
              </w:rPr>
            </w:pPr>
            <w:r>
              <w:rPr>
                <w:rFonts w:hint="eastAsia" w:ascii="Times New Roman" w:hAnsi="Times New Roman" w:cs="Times New Roman"/>
                <w:snapToGrid w:val="0"/>
                <w:color w:val="auto"/>
                <w:kern w:val="21"/>
                <w:sz w:val="21"/>
                <w:szCs w:val="21"/>
                <w:highlight w:val="none"/>
                <w:lang w:val="en-US" w:eastAsia="zh-CN" w:bidi="ar-SA"/>
              </w:rPr>
              <w:t>+0.2</w:t>
            </w:r>
            <w:r>
              <w:rPr>
                <w:rFonts w:hint="eastAsia" w:ascii="Times New Roman" w:hAnsi="Times New Roman"/>
                <w:color w:val="auto"/>
                <w:szCs w:val="21"/>
                <w:highlight w:val="none"/>
                <w:lang w:val="en-US" w:eastAsia="zh-CN"/>
              </w:rPr>
              <w:t>t/a</w:t>
            </w:r>
          </w:p>
        </w:tc>
      </w:tr>
    </w:tbl>
    <w:p w14:paraId="5E0C1A64">
      <w:pPr>
        <w:widowControl w:val="0"/>
        <w:adjustRightInd w:val="0"/>
        <w:snapToGrid w:val="0"/>
        <w:spacing w:before="192" w:beforeLines="80" w:after="24" w:afterLines="10" w:line="259" w:lineRule="auto"/>
        <w:jc w:val="left"/>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注：</w:t>
      </w:r>
      <w:r>
        <w:rPr>
          <w:rFonts w:hint="default" w:ascii="Times New Roman" w:hAnsi="Times New Roman" w:eastAsia="宋体" w:cs="Times New Roman"/>
          <w:snapToGrid w:val="0"/>
          <w:color w:val="auto"/>
          <w:spacing w:val="-16"/>
          <w:kern w:val="21"/>
          <w:sz w:val="21"/>
          <w:szCs w:val="21"/>
          <w:highlight w:val="none"/>
          <w:lang w:val="en-US" w:eastAsia="zh-CN" w:bidi="ar-SA"/>
        </w:rPr>
        <w:fldChar w:fldCharType="begin"/>
      </w:r>
      <w:r>
        <w:rPr>
          <w:rFonts w:hint="default" w:ascii="Times New Roman" w:hAnsi="Times New Roman" w:eastAsia="宋体" w:cs="Times New Roman"/>
          <w:snapToGrid w:val="0"/>
          <w:color w:val="auto"/>
          <w:spacing w:val="-16"/>
          <w:kern w:val="21"/>
          <w:sz w:val="21"/>
          <w:szCs w:val="21"/>
          <w:highlight w:val="none"/>
          <w:lang w:val="en-US" w:eastAsia="zh-CN" w:bidi="ar-SA"/>
        </w:rPr>
        <w:instrText xml:space="preserve"> = 6 \* GB3 \* MERGEFORMAT </w:instrText>
      </w:r>
      <w:r>
        <w:rPr>
          <w:rFonts w:hint="default" w:ascii="Times New Roman" w:hAnsi="Times New Roman" w:eastAsia="宋体" w:cs="Times New Roman"/>
          <w:snapToGrid w:val="0"/>
          <w:color w:val="auto"/>
          <w:spacing w:val="-16"/>
          <w:kern w:val="21"/>
          <w:sz w:val="21"/>
          <w:szCs w:val="21"/>
          <w:highlight w:val="none"/>
          <w:lang w:val="en-US" w:eastAsia="zh-CN" w:bidi="ar-SA"/>
        </w:rPr>
        <w:fldChar w:fldCharType="separate"/>
      </w:r>
      <w:r>
        <w:rPr>
          <w:rFonts w:hint="default" w:ascii="Times New Roman" w:hAnsi="Times New Roman" w:eastAsia="宋体" w:cs="Times New Roman"/>
          <w:color w:val="auto"/>
          <w:kern w:val="0"/>
          <w:sz w:val="21"/>
          <w:szCs w:val="21"/>
          <w:highlight w:val="none"/>
          <w:lang w:val="en-US" w:eastAsia="zh-CN" w:bidi="ar-SA"/>
        </w:rPr>
        <w:t>⑥</w:t>
      </w:r>
      <w:r>
        <w:rPr>
          <w:rFonts w:hint="default" w:ascii="Times New Roman" w:hAnsi="Times New Roman" w:eastAsia="宋体" w:cs="Times New Roman"/>
          <w:snapToGrid w:val="0"/>
          <w:color w:val="auto"/>
          <w:spacing w:val="-16"/>
          <w:kern w:val="21"/>
          <w:sz w:val="21"/>
          <w:szCs w:val="21"/>
          <w:highlight w:val="none"/>
          <w:lang w:val="en-US" w:eastAsia="zh-CN" w:bidi="ar-SA"/>
        </w:rPr>
        <w:fldChar w:fldCharType="end"/>
      </w:r>
      <w:r>
        <w:rPr>
          <w:rFonts w:hint="default" w:ascii="Times New Roman" w:hAnsi="Times New Roman" w:eastAsia="宋体" w:cs="Times New Roman"/>
          <w:snapToGrid w:val="0"/>
          <w:color w:val="auto"/>
          <w:spacing w:val="-16"/>
          <w:kern w:val="21"/>
          <w:sz w:val="21"/>
          <w:szCs w:val="21"/>
          <w:highlight w:val="none"/>
          <w:lang w:val="en-US" w:eastAsia="zh-CN" w:bidi="ar-SA"/>
        </w:rPr>
        <w:t>=</w: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begin"/>
      </w:r>
      <w:r>
        <w:rPr>
          <w:rFonts w:hint="default" w:ascii="Times New Roman" w:hAnsi="Times New Roman" w:eastAsia="宋体" w:cs="Times New Roman"/>
          <w:snapToGrid w:val="0"/>
          <w:color w:val="auto"/>
          <w:spacing w:val="-6"/>
          <w:kern w:val="21"/>
          <w:sz w:val="21"/>
          <w:szCs w:val="21"/>
          <w:highlight w:val="none"/>
          <w:lang w:val="en-US" w:eastAsia="zh-CN" w:bidi="ar-SA"/>
        </w:rPr>
        <w:instrText xml:space="preserve"> = 1 \* GB3 \* MERGEFORMAT </w:instrTex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separate"/>
      </w:r>
      <w:r>
        <w:rPr>
          <w:rFonts w:hint="default" w:ascii="Times New Roman" w:hAnsi="Times New Roman" w:eastAsia="宋体" w:cs="Times New Roman"/>
          <w:color w:val="auto"/>
          <w:kern w:val="0"/>
          <w:sz w:val="21"/>
          <w:szCs w:val="21"/>
          <w:highlight w:val="none"/>
          <w:lang w:val="en-US" w:eastAsia="zh-CN" w:bidi="ar-SA"/>
        </w:rPr>
        <w:t>①</w: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end"/>
      </w:r>
      <w:r>
        <w:rPr>
          <w:rFonts w:hint="default" w:ascii="Times New Roman" w:hAnsi="Times New Roman" w:eastAsia="宋体" w:cs="Times New Roman"/>
          <w:snapToGrid w:val="0"/>
          <w:color w:val="auto"/>
          <w:spacing w:val="-6"/>
          <w:kern w:val="21"/>
          <w:sz w:val="21"/>
          <w:szCs w:val="21"/>
          <w:highlight w:val="none"/>
          <w:lang w:val="en-US" w:eastAsia="zh-CN" w:bidi="ar-SA"/>
        </w:rPr>
        <w:t>+</w: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begin"/>
      </w:r>
      <w:r>
        <w:rPr>
          <w:rFonts w:hint="default" w:ascii="Times New Roman" w:hAnsi="Times New Roman" w:eastAsia="宋体" w:cs="Times New Roman"/>
          <w:snapToGrid w:val="0"/>
          <w:color w:val="auto"/>
          <w:spacing w:val="-6"/>
          <w:kern w:val="21"/>
          <w:sz w:val="21"/>
          <w:szCs w:val="21"/>
          <w:highlight w:val="none"/>
          <w:lang w:val="en-US" w:eastAsia="zh-CN" w:bidi="ar-SA"/>
        </w:rPr>
        <w:instrText xml:space="preserve"> = 3 \* GB3 \* MERGEFORMAT </w:instrTex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separate"/>
      </w:r>
      <w:r>
        <w:rPr>
          <w:rFonts w:hint="default" w:ascii="Times New Roman" w:hAnsi="Times New Roman" w:eastAsia="宋体" w:cs="Times New Roman"/>
          <w:color w:val="auto"/>
          <w:kern w:val="0"/>
          <w:sz w:val="21"/>
          <w:szCs w:val="21"/>
          <w:highlight w:val="none"/>
          <w:lang w:val="en-US" w:eastAsia="zh-CN" w:bidi="ar-SA"/>
        </w:rPr>
        <w:t>③</w: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end"/>
      </w:r>
      <w:r>
        <w:rPr>
          <w:rFonts w:hint="default" w:ascii="Times New Roman" w:hAnsi="Times New Roman" w:eastAsia="宋体" w:cs="Times New Roman"/>
          <w:snapToGrid w:val="0"/>
          <w:color w:val="auto"/>
          <w:spacing w:val="-6"/>
          <w:kern w:val="21"/>
          <w:sz w:val="21"/>
          <w:szCs w:val="21"/>
          <w:highlight w:val="none"/>
          <w:lang w:val="en-US" w:eastAsia="zh-CN" w:bidi="ar-SA"/>
        </w:rPr>
        <w:t>+</w: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begin"/>
      </w:r>
      <w:r>
        <w:rPr>
          <w:rFonts w:hint="default" w:ascii="Times New Roman" w:hAnsi="Times New Roman" w:eastAsia="宋体" w:cs="Times New Roman"/>
          <w:snapToGrid w:val="0"/>
          <w:color w:val="auto"/>
          <w:spacing w:val="-6"/>
          <w:kern w:val="21"/>
          <w:sz w:val="21"/>
          <w:szCs w:val="21"/>
          <w:highlight w:val="none"/>
          <w:lang w:val="en-US" w:eastAsia="zh-CN" w:bidi="ar-SA"/>
        </w:rPr>
        <w:instrText xml:space="preserve"> = 4 \* GB3 \* MERGEFORMAT </w:instrTex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separate"/>
      </w:r>
      <w:r>
        <w:rPr>
          <w:rFonts w:hint="default" w:ascii="Times New Roman" w:hAnsi="Times New Roman" w:eastAsia="宋体" w:cs="Times New Roman"/>
          <w:color w:val="auto"/>
          <w:kern w:val="0"/>
          <w:sz w:val="21"/>
          <w:szCs w:val="21"/>
          <w:highlight w:val="none"/>
          <w:lang w:val="en-US" w:eastAsia="zh-CN" w:bidi="ar-SA"/>
        </w:rPr>
        <w:t>④</w: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end"/>
      </w:r>
      <w:r>
        <w:rPr>
          <w:rFonts w:hint="default" w:ascii="Times New Roman" w:hAnsi="Times New Roman" w:eastAsia="宋体" w:cs="Times New Roman"/>
          <w:snapToGrid w:val="0"/>
          <w:color w:val="auto"/>
          <w:spacing w:val="-6"/>
          <w:kern w:val="21"/>
          <w:sz w:val="21"/>
          <w:szCs w:val="21"/>
          <w:highlight w:val="none"/>
          <w:lang w:val="en-US" w:eastAsia="zh-CN" w:bidi="ar-SA"/>
        </w:rPr>
        <w:t>-</w:t>
      </w:r>
      <w:r>
        <w:rPr>
          <w:rFonts w:hint="default" w:ascii="Times New Roman" w:hAnsi="Times New Roman" w:eastAsia="宋体" w:cs="Times New Roman"/>
          <w:snapToGrid w:val="0"/>
          <w:color w:val="auto"/>
          <w:spacing w:val="-16"/>
          <w:kern w:val="21"/>
          <w:sz w:val="21"/>
          <w:szCs w:val="21"/>
          <w:highlight w:val="none"/>
          <w:lang w:val="en-US" w:eastAsia="zh-CN" w:bidi="ar-SA"/>
        </w:rPr>
        <w:fldChar w:fldCharType="begin"/>
      </w:r>
      <w:r>
        <w:rPr>
          <w:rFonts w:hint="default" w:ascii="Times New Roman" w:hAnsi="Times New Roman" w:eastAsia="宋体" w:cs="Times New Roman"/>
          <w:snapToGrid w:val="0"/>
          <w:color w:val="auto"/>
          <w:spacing w:val="-16"/>
          <w:kern w:val="21"/>
          <w:sz w:val="21"/>
          <w:szCs w:val="21"/>
          <w:highlight w:val="none"/>
          <w:lang w:val="en-US" w:eastAsia="zh-CN" w:bidi="ar-SA"/>
        </w:rPr>
        <w:instrText xml:space="preserve"> = 5 \* GB3 \* MERGEFORMAT </w:instrText>
      </w:r>
      <w:r>
        <w:rPr>
          <w:rFonts w:hint="default" w:ascii="Times New Roman" w:hAnsi="Times New Roman" w:eastAsia="宋体" w:cs="Times New Roman"/>
          <w:snapToGrid w:val="0"/>
          <w:color w:val="auto"/>
          <w:spacing w:val="-16"/>
          <w:kern w:val="21"/>
          <w:sz w:val="21"/>
          <w:szCs w:val="21"/>
          <w:highlight w:val="none"/>
          <w:lang w:val="en-US" w:eastAsia="zh-CN" w:bidi="ar-SA"/>
        </w:rPr>
        <w:fldChar w:fldCharType="separate"/>
      </w:r>
      <w:r>
        <w:rPr>
          <w:rFonts w:hint="default" w:ascii="Times New Roman" w:hAnsi="Times New Roman" w:eastAsia="宋体" w:cs="Times New Roman"/>
          <w:color w:val="auto"/>
          <w:kern w:val="0"/>
          <w:sz w:val="21"/>
          <w:szCs w:val="21"/>
          <w:highlight w:val="none"/>
          <w:lang w:val="en-US" w:eastAsia="zh-CN" w:bidi="ar-SA"/>
        </w:rPr>
        <w:t>⑤</w:t>
      </w:r>
      <w:r>
        <w:rPr>
          <w:rFonts w:hint="default" w:ascii="Times New Roman" w:hAnsi="Times New Roman" w:eastAsia="宋体" w:cs="Times New Roman"/>
          <w:snapToGrid w:val="0"/>
          <w:color w:val="auto"/>
          <w:spacing w:val="-16"/>
          <w:kern w:val="21"/>
          <w:sz w:val="21"/>
          <w:szCs w:val="21"/>
          <w:highlight w:val="none"/>
          <w:lang w:val="en-US" w:eastAsia="zh-CN" w:bidi="ar-SA"/>
        </w:rPr>
        <w:fldChar w:fldCharType="end"/>
      </w:r>
      <w:r>
        <w:rPr>
          <w:rFonts w:hint="default" w:ascii="Times New Roman" w:hAnsi="Times New Roman" w:eastAsia="宋体" w:cs="Times New Roman"/>
          <w:snapToGrid w:val="0"/>
          <w:color w:val="auto"/>
          <w:spacing w:val="-16"/>
          <w:kern w:val="21"/>
          <w:sz w:val="21"/>
          <w:szCs w:val="21"/>
          <w:highlight w:val="none"/>
          <w:lang w:val="en-US" w:eastAsia="zh-CN" w:bidi="ar-SA"/>
        </w:rPr>
        <w:t>；</w: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begin"/>
      </w:r>
      <w:r>
        <w:rPr>
          <w:rFonts w:hint="default" w:ascii="Times New Roman" w:hAnsi="Times New Roman" w:eastAsia="宋体" w:cs="Times New Roman"/>
          <w:snapToGrid w:val="0"/>
          <w:color w:val="auto"/>
          <w:spacing w:val="-6"/>
          <w:kern w:val="21"/>
          <w:sz w:val="21"/>
          <w:szCs w:val="21"/>
          <w:highlight w:val="none"/>
          <w:lang w:val="en-US" w:eastAsia="zh-CN" w:bidi="ar-SA"/>
        </w:rPr>
        <w:instrText xml:space="preserve"> = 7 \* GB3 \* MERGEFORMAT </w:instrTex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separate"/>
      </w:r>
      <w:r>
        <w:rPr>
          <w:rFonts w:hint="default" w:ascii="Times New Roman" w:hAnsi="Times New Roman" w:eastAsia="宋体" w:cs="Times New Roman"/>
          <w:color w:val="auto"/>
          <w:kern w:val="0"/>
          <w:sz w:val="21"/>
          <w:szCs w:val="21"/>
          <w:highlight w:val="none"/>
          <w:lang w:val="en-US" w:eastAsia="zh-CN" w:bidi="ar-SA"/>
        </w:rPr>
        <w:t>⑦</w: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end"/>
      </w:r>
      <w:r>
        <w:rPr>
          <w:rFonts w:hint="default" w:ascii="Times New Roman" w:hAnsi="Times New Roman" w:eastAsia="宋体" w:cs="Times New Roman"/>
          <w:snapToGrid w:val="0"/>
          <w:color w:val="auto"/>
          <w:spacing w:val="-6"/>
          <w:kern w:val="21"/>
          <w:sz w:val="21"/>
          <w:szCs w:val="21"/>
          <w:highlight w:val="none"/>
          <w:lang w:val="en-US" w:eastAsia="zh-CN" w:bidi="ar-SA"/>
        </w:rPr>
        <w:t>=</w:t>
      </w:r>
      <w:r>
        <w:rPr>
          <w:rFonts w:hint="default" w:ascii="Times New Roman" w:hAnsi="Times New Roman" w:eastAsia="宋体" w:cs="Times New Roman"/>
          <w:snapToGrid w:val="0"/>
          <w:color w:val="auto"/>
          <w:spacing w:val="-16"/>
          <w:kern w:val="21"/>
          <w:sz w:val="21"/>
          <w:szCs w:val="21"/>
          <w:highlight w:val="none"/>
          <w:lang w:val="en-US" w:eastAsia="zh-CN" w:bidi="ar-SA"/>
        </w:rPr>
        <w:fldChar w:fldCharType="begin"/>
      </w:r>
      <w:r>
        <w:rPr>
          <w:rFonts w:hint="default" w:ascii="Times New Roman" w:hAnsi="Times New Roman" w:eastAsia="宋体" w:cs="Times New Roman"/>
          <w:snapToGrid w:val="0"/>
          <w:color w:val="auto"/>
          <w:spacing w:val="-16"/>
          <w:kern w:val="21"/>
          <w:sz w:val="21"/>
          <w:szCs w:val="21"/>
          <w:highlight w:val="none"/>
          <w:lang w:val="en-US" w:eastAsia="zh-CN" w:bidi="ar-SA"/>
        </w:rPr>
        <w:instrText xml:space="preserve"> = 6 \* GB3 \* MERGEFORMAT </w:instrText>
      </w:r>
      <w:r>
        <w:rPr>
          <w:rFonts w:hint="default" w:ascii="Times New Roman" w:hAnsi="Times New Roman" w:eastAsia="宋体" w:cs="Times New Roman"/>
          <w:snapToGrid w:val="0"/>
          <w:color w:val="auto"/>
          <w:spacing w:val="-16"/>
          <w:kern w:val="21"/>
          <w:sz w:val="21"/>
          <w:szCs w:val="21"/>
          <w:highlight w:val="none"/>
          <w:lang w:val="en-US" w:eastAsia="zh-CN" w:bidi="ar-SA"/>
        </w:rPr>
        <w:fldChar w:fldCharType="separate"/>
      </w:r>
      <w:r>
        <w:rPr>
          <w:rFonts w:hint="default" w:ascii="Times New Roman" w:hAnsi="Times New Roman" w:eastAsia="宋体" w:cs="Times New Roman"/>
          <w:color w:val="auto"/>
          <w:kern w:val="0"/>
          <w:sz w:val="21"/>
          <w:szCs w:val="21"/>
          <w:highlight w:val="none"/>
          <w:lang w:val="en-US" w:eastAsia="zh-CN" w:bidi="ar-SA"/>
        </w:rPr>
        <w:t>⑥</w:t>
      </w:r>
      <w:r>
        <w:rPr>
          <w:rFonts w:hint="default" w:ascii="Times New Roman" w:hAnsi="Times New Roman" w:eastAsia="宋体" w:cs="Times New Roman"/>
          <w:snapToGrid w:val="0"/>
          <w:color w:val="auto"/>
          <w:spacing w:val="-16"/>
          <w:kern w:val="21"/>
          <w:sz w:val="21"/>
          <w:szCs w:val="21"/>
          <w:highlight w:val="none"/>
          <w:lang w:val="en-US" w:eastAsia="zh-CN" w:bidi="ar-SA"/>
        </w:rPr>
        <w:fldChar w:fldCharType="end"/>
      </w:r>
      <w:r>
        <w:rPr>
          <w:rFonts w:hint="default" w:ascii="Times New Roman" w:hAnsi="Times New Roman" w:eastAsia="宋体" w:cs="Times New Roman"/>
          <w:snapToGrid w:val="0"/>
          <w:color w:val="auto"/>
          <w:spacing w:val="-16"/>
          <w:kern w:val="21"/>
          <w:sz w:val="21"/>
          <w:szCs w:val="21"/>
          <w:highlight w:val="none"/>
          <w:lang w:val="en-US" w:eastAsia="zh-CN" w:bidi="ar-SA"/>
        </w:rPr>
        <w:t>-</w: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begin"/>
      </w:r>
      <w:r>
        <w:rPr>
          <w:rFonts w:hint="default" w:ascii="Times New Roman" w:hAnsi="Times New Roman" w:eastAsia="宋体" w:cs="Times New Roman"/>
          <w:snapToGrid w:val="0"/>
          <w:color w:val="auto"/>
          <w:spacing w:val="-6"/>
          <w:kern w:val="21"/>
          <w:sz w:val="21"/>
          <w:szCs w:val="21"/>
          <w:highlight w:val="none"/>
          <w:lang w:val="en-US" w:eastAsia="zh-CN" w:bidi="ar-SA"/>
        </w:rPr>
        <w:instrText xml:space="preserve"> = 1 \* GB3 \* MERGEFORMAT </w:instrTex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separate"/>
      </w:r>
      <w:r>
        <w:rPr>
          <w:rFonts w:hint="default" w:ascii="Times New Roman" w:hAnsi="Times New Roman" w:eastAsia="宋体" w:cs="Times New Roman"/>
          <w:color w:val="auto"/>
          <w:kern w:val="0"/>
          <w:sz w:val="21"/>
          <w:szCs w:val="21"/>
          <w:highlight w:val="none"/>
          <w:lang w:val="en-US" w:eastAsia="zh-CN" w:bidi="ar-SA"/>
        </w:rPr>
        <w:t>①</w:t>
      </w:r>
      <w:r>
        <w:rPr>
          <w:rFonts w:hint="default" w:ascii="Times New Roman" w:hAnsi="Times New Roman" w:eastAsia="宋体" w:cs="Times New Roman"/>
          <w:snapToGrid w:val="0"/>
          <w:color w:val="auto"/>
          <w:spacing w:val="-6"/>
          <w:kern w:val="21"/>
          <w:sz w:val="21"/>
          <w:szCs w:val="21"/>
          <w:highlight w:val="none"/>
          <w:lang w:val="en-US" w:eastAsia="zh-CN" w:bidi="ar-SA"/>
        </w:rPr>
        <w:fldChar w:fldCharType="end"/>
      </w:r>
    </w:p>
    <w:p w14:paraId="310FBA67">
      <w:pPr>
        <w:widowControl w:val="0"/>
        <w:adjustRightInd w:val="0"/>
        <w:snapToGrid w:val="0"/>
        <w:spacing w:before="192" w:beforeLines="80" w:after="24" w:afterLines="10" w:line="259" w:lineRule="auto"/>
        <w:jc w:val="left"/>
        <w:rPr>
          <w:rFonts w:hint="default" w:ascii="Times New Roman" w:hAnsi="Times New Roman" w:eastAsia="宋体" w:cs="Times New Roman"/>
          <w:snapToGrid w:val="0"/>
          <w:color w:val="auto"/>
          <w:spacing w:val="-6"/>
          <w:kern w:val="21"/>
          <w:sz w:val="21"/>
          <w:szCs w:val="21"/>
          <w:highlight w:val="none"/>
          <w:lang w:val="en-US" w:eastAsia="zh-CN" w:bidi="ar-SA"/>
        </w:rPr>
        <w:sectPr>
          <w:footerReference r:id="rId8"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75349E20">
      <w:pPr>
        <w:spacing w:before="156" w:beforeLines="50"/>
        <w:jc w:val="center"/>
        <w:rPr>
          <w:rFonts w:hint="eastAsia" w:ascii="Times New Roman" w:hAnsi="Times New Roman" w:eastAsia="宋体" w:cs="Times New Roman"/>
          <w:color w:val="auto"/>
          <w:highlight w:val="none"/>
          <w:lang w:val="en-US" w:eastAsia="zh-CN"/>
        </w:rPr>
      </w:pPr>
      <w:r>
        <w:rPr>
          <w:rFonts w:ascii="Times New Roman" w:hAnsi="Times New Roman" w:eastAsia="宋体" w:cs="Times New Roman"/>
          <w:color w:val="auto"/>
          <w:highlight w:val="none"/>
        </w:rPr>
        <mc:AlternateContent>
          <mc:Choice Requires="wps">
            <w:drawing>
              <wp:anchor distT="0" distB="0" distL="114300" distR="114300" simplePos="0" relativeHeight="251659264" behindDoc="0" locked="0" layoutInCell="1" allowOverlap="1">
                <wp:simplePos x="0" y="0"/>
                <wp:positionH relativeFrom="column">
                  <wp:posOffset>1595755</wp:posOffset>
                </wp:positionH>
                <wp:positionV relativeFrom="paragraph">
                  <wp:posOffset>3538220</wp:posOffset>
                </wp:positionV>
                <wp:extent cx="811530" cy="331470"/>
                <wp:effectExtent l="5080" t="4445" r="21590" b="83185"/>
                <wp:wrapNone/>
                <wp:docPr id="34" name="自选图形 26"/>
                <wp:cNvGraphicFramePr/>
                <a:graphic xmlns:a="http://schemas.openxmlformats.org/drawingml/2006/main">
                  <a:graphicData uri="http://schemas.microsoft.com/office/word/2010/wordprocessingShape">
                    <wps:wsp>
                      <wps:cNvSpPr/>
                      <wps:spPr>
                        <a:xfrm>
                          <a:off x="0" y="0"/>
                          <a:ext cx="811530" cy="331470"/>
                        </a:xfrm>
                        <a:prstGeom prst="wedgeRectCallout">
                          <a:avLst>
                            <a:gd name="adj1" fmla="val -43750"/>
                            <a:gd name="adj2" fmla="val 70000"/>
                          </a:avLst>
                        </a:prstGeom>
                        <a:solidFill>
                          <a:srgbClr val="FFFFFF">
                            <a:alpha val="34000"/>
                          </a:srgbClr>
                        </a:solidFill>
                        <a:ln w="9525" cap="flat" cmpd="sng">
                          <a:solidFill>
                            <a:srgbClr val="000000"/>
                          </a:solidFill>
                          <a:prstDash val="solid"/>
                          <a:miter/>
                          <a:headEnd type="none" w="med" len="med"/>
                          <a:tailEnd type="none" w="med" len="med"/>
                        </a:ln>
                      </wps:spPr>
                      <wps:txbx>
                        <w:txbxContent>
                          <w:p w14:paraId="6793141A">
                            <w:pPr>
                              <w:rPr>
                                <w:rFonts w:hint="eastAsia" w:eastAsia="宋体"/>
                                <w:lang w:eastAsia="zh-CN"/>
                              </w:rPr>
                            </w:pPr>
                            <w:r>
                              <w:rPr>
                                <w:rFonts w:hint="eastAsia"/>
                                <w:lang w:eastAsia="zh-CN"/>
                              </w:rPr>
                              <w:t>本项目</w:t>
                            </w:r>
                          </w:p>
                        </w:txbxContent>
                      </wps:txbx>
                      <wps:bodyPr wrap="square" upright="1"/>
                    </wps:wsp>
                  </a:graphicData>
                </a:graphic>
              </wp:anchor>
            </w:drawing>
          </mc:Choice>
          <mc:Fallback>
            <w:pict>
              <v:shape id="自选图形 26" o:spid="_x0000_s1026" o:spt="61" type="#_x0000_t61" style="position:absolute;left:0pt;margin-left:125.65pt;margin-top:278.6pt;height:26.1pt;width:63.9pt;z-index:251659264;mso-width-relative:page;mso-height-relative:page;" fillcolor="#FFFFFF" filled="t" stroked="t" coordsize="21600,21600" o:gfxdata="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NiliLPbAAAA&#10;CwEAAA8AAAAAAAAAAQAgAAAAIgAAAGRycy9kb3ducmV2LnhtbFBLAQIUABQAAAAIAIdO4kAmUUZO&#10;UwIAAL0EAAAOAAAAAAAAAAEAIAAAACoBAABkcnMvZTJvRG9jLnhtbFBLBQYAAAAABgAGAFkBAADv&#10;BQAAAAA=&#10;" adj="1350,25920">
                <v:fill on="t" opacity="22282f" focussize="0,0"/>
                <v:stroke color="#000000" joinstyle="miter"/>
                <v:imagedata o:title=""/>
                <o:lock v:ext="edit" aspectratio="f"/>
                <v:textbox>
                  <w:txbxContent>
                    <w:p w14:paraId="6793141A">
                      <w:pPr>
                        <w:rPr>
                          <w:rFonts w:hint="eastAsia" w:eastAsia="宋体"/>
                          <w:lang w:eastAsia="zh-CN"/>
                        </w:rPr>
                      </w:pPr>
                      <w:r>
                        <w:rPr>
                          <w:rFonts w:hint="eastAsia"/>
                          <w:lang w:eastAsia="zh-CN"/>
                        </w:rPr>
                        <w:t>本项目</w:t>
                      </w:r>
                    </w:p>
                  </w:txbxContent>
                </v:textbox>
              </v:shape>
            </w:pict>
          </mc:Fallback>
        </mc:AlternateContent>
      </w:r>
      <w:r>
        <w:rPr>
          <w:rFonts w:hint="eastAsia" w:ascii="Times New Roman" w:hAnsi="Times New Roman"/>
          <w:color w:val="auto"/>
          <w:lang w:val="en-US" w:eastAsia="zh-CN"/>
        </w:rPr>
        <w:drawing>
          <wp:inline distT="0" distB="0" distL="114300" distR="114300">
            <wp:extent cx="7787005" cy="5088890"/>
            <wp:effectExtent l="0" t="0" r="4445" b="16510"/>
            <wp:docPr id="5" name="图片 6" descr="971785f5e851cc10cc77fa6b452f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971785f5e851cc10cc77fa6b452fc50"/>
                    <pic:cNvPicPr>
                      <a:picLocks noChangeAspect="1"/>
                    </pic:cNvPicPr>
                  </pic:nvPicPr>
                  <pic:blipFill>
                    <a:blip r:embed="rId37"/>
                    <a:stretch>
                      <a:fillRect/>
                    </a:stretch>
                  </pic:blipFill>
                  <pic:spPr>
                    <a:xfrm>
                      <a:off x="0" y="0"/>
                      <a:ext cx="7787005" cy="5088890"/>
                    </a:xfrm>
                    <a:prstGeom prst="rect">
                      <a:avLst/>
                    </a:prstGeom>
                    <a:noFill/>
                    <a:ln>
                      <a:noFill/>
                    </a:ln>
                  </pic:spPr>
                </pic:pic>
              </a:graphicData>
            </a:graphic>
          </wp:inline>
        </w:drawing>
      </w:r>
    </w:p>
    <w:p w14:paraId="7E17AE5A">
      <w:pPr>
        <w:pStyle w:val="12"/>
        <w:jc w:val="center"/>
        <w:outlineLvl w:val="0"/>
        <w:rPr>
          <w:rFonts w:hint="eastAsia" w:ascii="Times New Roman" w:hAnsi="Times New Roman" w:eastAsia="宋体" w:cs="Times New Roman"/>
          <w:b/>
          <w:bCs/>
          <w:color w:val="auto"/>
          <w:sz w:val="24"/>
          <w:szCs w:val="24"/>
          <w:highlight w:val="none"/>
          <w:lang w:val="en-US" w:eastAsia="zh-CN"/>
        </w:rPr>
      </w:pPr>
      <w:bookmarkStart w:id="18" w:name="_Toc13299"/>
      <w:r>
        <w:rPr>
          <w:rFonts w:hint="eastAsia" w:ascii="Times New Roman" w:hAnsi="Times New Roman" w:eastAsia="宋体" w:cs="Times New Roman"/>
          <w:b/>
          <w:bCs/>
          <w:color w:val="auto"/>
          <w:sz w:val="24"/>
          <w:szCs w:val="24"/>
          <w:highlight w:val="none"/>
          <w:lang w:eastAsia="zh-CN"/>
        </w:rPr>
        <w:t>附图</w:t>
      </w:r>
      <w:r>
        <w:rPr>
          <w:rFonts w:hint="eastAsia" w:ascii="Times New Roman" w:hAnsi="Times New Roman" w:eastAsia="宋体" w:cs="Times New Roman"/>
          <w:b/>
          <w:bCs/>
          <w:color w:val="auto"/>
          <w:sz w:val="24"/>
          <w:szCs w:val="24"/>
          <w:highlight w:val="none"/>
          <w:lang w:val="en-US" w:eastAsia="zh-CN"/>
        </w:rPr>
        <w:t xml:space="preserve">1 </w:t>
      </w:r>
      <w:r>
        <w:rPr>
          <w:rFonts w:hint="eastAsia" w:ascii="Times New Roman" w:hAnsi="Times New Roman" w:cs="Times New Roman"/>
          <w:b/>
          <w:bCs/>
          <w:color w:val="auto"/>
          <w:sz w:val="24"/>
          <w:szCs w:val="24"/>
          <w:highlight w:val="none"/>
          <w:lang w:val="en-US" w:eastAsia="zh-CN"/>
        </w:rPr>
        <w:t>鸡西</w:t>
      </w:r>
      <w:r>
        <w:rPr>
          <w:rFonts w:hint="eastAsia" w:ascii="Times New Roman" w:hAnsi="Times New Roman" w:eastAsia="宋体" w:cs="Times New Roman"/>
          <w:b/>
          <w:bCs/>
          <w:color w:val="auto"/>
          <w:sz w:val="24"/>
          <w:szCs w:val="24"/>
          <w:highlight w:val="none"/>
          <w:lang w:val="en-US" w:eastAsia="zh-CN"/>
        </w:rPr>
        <w:t>市环境管控单元分布图</w:t>
      </w:r>
      <w:bookmarkEnd w:id="18"/>
    </w:p>
    <w:p w14:paraId="3545EF69">
      <w:pPr>
        <w:pStyle w:val="23"/>
        <w:ind w:left="0" w:leftChars="0" w:firstLine="0" w:firstLineChars="0"/>
        <w:rPr>
          <w:rFonts w:hint="default" w:ascii="Times New Roman" w:hAnsi="Times New Roman"/>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4D8D4582">
      <w:pPr>
        <w:jc w:val="center"/>
        <w:rPr>
          <w:rFonts w:ascii="Times New Roman" w:hAnsi="Times New Roman"/>
          <w:color w:val="auto"/>
          <w:highlight w:val="none"/>
        </w:rPr>
      </w:pPr>
      <w:r>
        <w:rPr>
          <w:rFonts w:hint="default" w:ascii="Times New Roman" w:hAnsi="Times New Roman" w:eastAsia="宋体" w:cs="Times New Roman"/>
          <w:color w:val="auto"/>
          <w:highlight w:val="none"/>
        </w:rPr>
        <w:drawing>
          <wp:anchor distT="0" distB="0" distL="0" distR="0" simplePos="0" relativeHeight="251665408" behindDoc="0" locked="0" layoutInCell="1" allowOverlap="1">
            <wp:simplePos x="0" y="0"/>
            <wp:positionH relativeFrom="column">
              <wp:posOffset>8098790</wp:posOffset>
            </wp:positionH>
            <wp:positionV relativeFrom="paragraph">
              <wp:posOffset>5715</wp:posOffset>
            </wp:positionV>
            <wp:extent cx="429895" cy="574040"/>
            <wp:effectExtent l="12700" t="12700" r="14605" b="22860"/>
            <wp:wrapNone/>
            <wp:docPr id="15" name="图片 168" descr="指北针"/>
            <wp:cNvGraphicFramePr/>
            <a:graphic xmlns:a="http://schemas.openxmlformats.org/drawingml/2006/main">
              <a:graphicData uri="http://schemas.openxmlformats.org/drawingml/2006/picture">
                <pic:pic xmlns:pic="http://schemas.openxmlformats.org/drawingml/2006/picture">
                  <pic:nvPicPr>
                    <pic:cNvPr id="15" name="图片 168" descr="指北针"/>
                    <pic:cNvPicPr/>
                  </pic:nvPicPr>
                  <pic:blipFill>
                    <a:blip r:embed="rId38" cstate="print"/>
                    <a:srcRect/>
                    <a:stretch>
                      <a:fillRect/>
                    </a:stretch>
                  </pic:blipFill>
                  <pic:spPr>
                    <a:xfrm>
                      <a:off x="0" y="0"/>
                      <a:ext cx="429895" cy="574040"/>
                    </a:xfrm>
                    <a:prstGeom prst="rect">
                      <a:avLst/>
                    </a:prstGeom>
                    <a:ln w="12700" cap="flat" cmpd="sng">
                      <a:solidFill>
                        <a:srgbClr val="000000"/>
                      </a:solidFill>
                      <a:prstDash val="solid"/>
                      <a:round/>
                    </a:ln>
                  </pic:spPr>
                </pic:pic>
              </a:graphicData>
            </a:graphic>
          </wp:anchor>
        </w:drawing>
      </w:r>
      <w:r>
        <w:rPr>
          <w:rFonts w:ascii="Times New Roman" w:hAnsi="Times New Roman"/>
          <w:color w:val="auto"/>
        </w:rPr>
        <w:drawing>
          <wp:inline distT="0" distB="0" distL="114300" distR="114300">
            <wp:extent cx="8524875" cy="5272405"/>
            <wp:effectExtent l="0" t="0" r="9525" b="8255"/>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39"/>
                    <a:stretch>
                      <a:fillRect/>
                    </a:stretch>
                  </pic:blipFill>
                  <pic:spPr>
                    <a:xfrm>
                      <a:off x="0" y="0"/>
                      <a:ext cx="8524875" cy="5272405"/>
                    </a:xfrm>
                    <a:prstGeom prst="rect">
                      <a:avLst/>
                    </a:prstGeom>
                    <a:noFill/>
                    <a:ln>
                      <a:noFill/>
                    </a:ln>
                  </pic:spPr>
                </pic:pic>
              </a:graphicData>
            </a:graphic>
          </wp:inline>
        </w:drawing>
      </w:r>
    </w:p>
    <w:p w14:paraId="38123899">
      <w:pPr>
        <w:pStyle w:val="3"/>
        <w:ind w:left="0" w:leftChars="0" w:firstLine="0" w:firstLineChars="0"/>
        <w:jc w:val="center"/>
        <w:outlineLvl w:val="0"/>
        <w:rPr>
          <w:rFonts w:hint="default" w:ascii="Times New Roman" w:hAnsi="Times New Roman" w:eastAsia="宋体" w:cs="Times New Roman"/>
          <w:b/>
          <w:bCs/>
          <w:color w:val="auto"/>
          <w:sz w:val="24"/>
          <w:szCs w:val="24"/>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19" w:name="_Toc31102"/>
      <w:r>
        <w:rPr>
          <w:rFonts w:hint="default" w:ascii="Times New Roman" w:hAnsi="Times New Roman" w:eastAsia="宋体" w:cs="Times New Roman"/>
          <w:b/>
          <w:bCs/>
          <w:color w:val="auto"/>
          <w:sz w:val="24"/>
          <w:szCs w:val="24"/>
          <w:highlight w:val="none"/>
          <w:lang w:val="en-US" w:eastAsia="zh-CN"/>
        </w:rPr>
        <w:t>附图</w:t>
      </w:r>
      <w:r>
        <w:rPr>
          <w:rFonts w:hint="eastAsia" w:ascii="Times New Roman" w:hAnsi="Times New Roman" w:eastAsia="宋体" w:cs="Times New Roman"/>
          <w:b/>
          <w:bCs/>
          <w:color w:val="auto"/>
          <w:sz w:val="24"/>
          <w:szCs w:val="24"/>
          <w:highlight w:val="none"/>
          <w:lang w:val="en-US" w:eastAsia="zh-CN"/>
        </w:rPr>
        <w:t>2地理位置</w:t>
      </w:r>
      <w:bookmarkEnd w:id="19"/>
    </w:p>
    <w:p w14:paraId="1DAD3683">
      <w:pPr>
        <w:jc w:val="both"/>
        <w:rPr>
          <w:rFonts w:hint="default" w:ascii="Times New Roman" w:hAnsi="Times New Roman" w:cs="Times New Roman"/>
          <w:color w:val="auto"/>
          <w:highlight w:val="none"/>
          <w:lang w:val="en-US"/>
        </w:rPr>
      </w:pPr>
    </w:p>
    <w:tbl>
      <w:tblPr>
        <w:tblStyle w:val="32"/>
        <w:tblW w:w="0" w:type="auto"/>
        <w:tblInd w:w="67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52"/>
        <w:gridCol w:w="6826"/>
      </w:tblGrid>
      <w:tr w14:paraId="0218B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2" w:type="dxa"/>
          </w:tcPr>
          <w:p w14:paraId="6A657E08">
            <w:pPr>
              <w:pStyle w:val="3"/>
              <w:jc w:val="center"/>
              <w:outlineLvl w:val="0"/>
              <w:rPr>
                <w:rFonts w:hint="eastAsia" w:ascii="Times New Roman" w:hAnsi="Times New Roman" w:eastAsia="宋体" w:cs="宋体"/>
                <w:b w:val="0"/>
                <w:bCs w:val="0"/>
                <w:color w:val="auto"/>
                <w:sz w:val="24"/>
                <w:szCs w:val="24"/>
                <w:highlight w:val="none"/>
                <w:vertAlign w:val="baseline"/>
                <w:lang w:val="en-US" w:eastAsia="zh-CN"/>
              </w:rPr>
            </w:pPr>
            <w:bookmarkStart w:id="20" w:name="_Toc9373"/>
            <w:bookmarkStart w:id="21" w:name="_Toc12939"/>
            <w:bookmarkStart w:id="22" w:name="_Toc23543"/>
            <w:bookmarkStart w:id="23" w:name="_Toc4281"/>
            <w:r>
              <w:rPr>
                <w:rFonts w:hint="eastAsia" w:ascii="Times New Roman" w:hAnsi="Times New Roman" w:eastAsia="宋体" w:cs="宋体"/>
                <w:b w:val="0"/>
                <w:bCs w:val="0"/>
                <w:color w:val="auto"/>
                <w:highlight w:val="none"/>
                <w:lang w:val="en-US" w:eastAsia="zh-CN"/>
              </w:rPr>
              <w:drawing>
                <wp:inline distT="0" distB="0" distL="114300" distR="114300">
                  <wp:extent cx="3385185" cy="1838325"/>
                  <wp:effectExtent l="0" t="0" r="5715" b="9525"/>
                  <wp:docPr id="56" name="图片 56" descr="47151f6ac800dc007b482b34e90c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47151f6ac800dc007b482b34e90ceed"/>
                          <pic:cNvPicPr>
                            <a:picLocks noChangeAspect="1"/>
                          </pic:cNvPicPr>
                        </pic:nvPicPr>
                        <pic:blipFill>
                          <a:blip r:embed="rId40"/>
                          <a:stretch>
                            <a:fillRect/>
                          </a:stretch>
                        </pic:blipFill>
                        <pic:spPr>
                          <a:xfrm>
                            <a:off x="0" y="0"/>
                            <a:ext cx="3385185" cy="1838325"/>
                          </a:xfrm>
                          <a:prstGeom prst="rect">
                            <a:avLst/>
                          </a:prstGeom>
                        </pic:spPr>
                      </pic:pic>
                    </a:graphicData>
                  </a:graphic>
                </wp:inline>
              </w:drawing>
            </w:r>
            <w:bookmarkEnd w:id="20"/>
            <w:bookmarkEnd w:id="21"/>
            <w:bookmarkEnd w:id="22"/>
            <w:bookmarkEnd w:id="23"/>
          </w:p>
        </w:tc>
        <w:tc>
          <w:tcPr>
            <w:tcW w:w="6826" w:type="dxa"/>
          </w:tcPr>
          <w:p w14:paraId="2DF6AF38">
            <w:pPr>
              <w:pStyle w:val="3"/>
              <w:jc w:val="center"/>
              <w:outlineLvl w:val="0"/>
              <w:rPr>
                <w:rFonts w:hint="eastAsia" w:ascii="Times New Roman" w:hAnsi="Times New Roman" w:eastAsia="宋体" w:cs="宋体"/>
                <w:b w:val="0"/>
                <w:bCs w:val="0"/>
                <w:color w:val="auto"/>
                <w:sz w:val="24"/>
                <w:szCs w:val="24"/>
                <w:highlight w:val="none"/>
                <w:vertAlign w:val="baseline"/>
                <w:lang w:val="en-US" w:eastAsia="zh-CN"/>
              </w:rPr>
            </w:pPr>
            <w:bookmarkStart w:id="24" w:name="_Toc23465"/>
            <w:bookmarkStart w:id="25" w:name="_Toc22977"/>
            <w:bookmarkStart w:id="26" w:name="_Toc23608"/>
            <w:bookmarkStart w:id="27" w:name="_Toc17633"/>
            <w:r>
              <w:rPr>
                <w:rFonts w:hint="eastAsia" w:ascii="Times New Roman" w:hAnsi="Times New Roman" w:eastAsia="宋体" w:cs="宋体"/>
                <w:b w:val="0"/>
                <w:bCs w:val="0"/>
                <w:color w:val="auto"/>
                <w:highlight w:val="none"/>
                <w:lang w:eastAsia="zh-CN"/>
              </w:rPr>
              <w:drawing>
                <wp:inline distT="0" distB="0" distL="114300" distR="114300">
                  <wp:extent cx="3281680" cy="1847215"/>
                  <wp:effectExtent l="0" t="0" r="13970" b="635"/>
                  <wp:docPr id="72" name="图片 72" descr="dbf42b7ea980300edc7d72c19a0ef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dbf42b7ea980300edc7d72c19a0eff4"/>
                          <pic:cNvPicPr>
                            <a:picLocks noChangeAspect="1"/>
                          </pic:cNvPicPr>
                        </pic:nvPicPr>
                        <pic:blipFill>
                          <a:blip r:embed="rId41"/>
                          <a:stretch>
                            <a:fillRect/>
                          </a:stretch>
                        </pic:blipFill>
                        <pic:spPr>
                          <a:xfrm>
                            <a:off x="0" y="0"/>
                            <a:ext cx="3281680" cy="1847215"/>
                          </a:xfrm>
                          <a:prstGeom prst="rect">
                            <a:avLst/>
                          </a:prstGeom>
                        </pic:spPr>
                      </pic:pic>
                    </a:graphicData>
                  </a:graphic>
                </wp:inline>
              </w:drawing>
            </w:r>
            <w:bookmarkEnd w:id="24"/>
            <w:bookmarkEnd w:id="25"/>
            <w:bookmarkEnd w:id="26"/>
            <w:bookmarkEnd w:id="27"/>
          </w:p>
        </w:tc>
      </w:tr>
      <w:tr w14:paraId="357CD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2" w:type="dxa"/>
          </w:tcPr>
          <w:p w14:paraId="58520AA3">
            <w:pPr>
              <w:pStyle w:val="3"/>
              <w:jc w:val="center"/>
              <w:outlineLvl w:val="0"/>
              <w:rPr>
                <w:rFonts w:hint="eastAsia" w:ascii="Times New Roman" w:hAnsi="Times New Roman" w:eastAsia="宋体" w:cs="宋体"/>
                <w:b w:val="0"/>
                <w:bCs w:val="0"/>
                <w:color w:val="auto"/>
                <w:sz w:val="24"/>
                <w:szCs w:val="24"/>
                <w:highlight w:val="none"/>
                <w:vertAlign w:val="baseline"/>
                <w:lang w:val="en-US" w:eastAsia="zh-CN"/>
              </w:rPr>
            </w:pPr>
            <w:bookmarkStart w:id="28" w:name="_Toc23450"/>
            <w:bookmarkStart w:id="29" w:name="_Toc5008"/>
            <w:bookmarkStart w:id="30" w:name="_Toc18726"/>
            <w:bookmarkStart w:id="31" w:name="_Toc26259"/>
            <w:r>
              <w:rPr>
                <w:rFonts w:hint="eastAsia" w:ascii="Times New Roman" w:hAnsi="Times New Roman" w:eastAsia="宋体" w:cs="宋体"/>
                <w:b w:val="0"/>
                <w:bCs w:val="0"/>
                <w:color w:val="auto"/>
                <w:sz w:val="24"/>
                <w:szCs w:val="24"/>
                <w:highlight w:val="none"/>
                <w:lang w:eastAsia="zh-CN"/>
              </w:rPr>
              <w:t>东侧</w:t>
            </w:r>
            <w:r>
              <w:rPr>
                <w:rFonts w:hint="eastAsia" w:ascii="Times New Roman" w:hAnsi="Times New Roman" w:eastAsia="宋体" w:cs="宋体"/>
                <w:b w:val="0"/>
                <w:bCs w:val="0"/>
                <w:color w:val="auto"/>
                <w:sz w:val="24"/>
                <w:szCs w:val="24"/>
                <w:highlight w:val="none"/>
                <w:lang w:val="en-US" w:eastAsia="zh-CN"/>
              </w:rPr>
              <w:t xml:space="preserve"> 李小刚煤矿已关闭</w:t>
            </w:r>
            <w:r>
              <w:rPr>
                <w:rFonts w:hint="eastAsia" w:ascii="Times New Roman" w:hAnsi="Times New Roman" w:eastAsia="宋体" w:cs="宋体"/>
                <w:b w:val="0"/>
                <w:bCs w:val="0"/>
                <w:color w:val="auto"/>
                <w:spacing w:val="12"/>
                <w:sz w:val="24"/>
                <w:highlight w:val="none"/>
                <w:lang w:val="en-US" w:eastAsia="zh-CN"/>
              </w:rPr>
              <w:t>井口</w:t>
            </w:r>
            <w:bookmarkEnd w:id="28"/>
            <w:bookmarkEnd w:id="29"/>
            <w:bookmarkEnd w:id="30"/>
            <w:bookmarkEnd w:id="31"/>
          </w:p>
        </w:tc>
        <w:tc>
          <w:tcPr>
            <w:tcW w:w="6826" w:type="dxa"/>
          </w:tcPr>
          <w:p w14:paraId="2FF3DB4E">
            <w:pPr>
              <w:pStyle w:val="3"/>
              <w:jc w:val="center"/>
              <w:outlineLvl w:val="0"/>
              <w:rPr>
                <w:rFonts w:hint="eastAsia" w:ascii="Times New Roman" w:hAnsi="Times New Roman" w:eastAsia="宋体" w:cs="宋体"/>
                <w:b w:val="0"/>
                <w:bCs w:val="0"/>
                <w:color w:val="auto"/>
                <w:sz w:val="24"/>
                <w:szCs w:val="24"/>
                <w:highlight w:val="none"/>
                <w:vertAlign w:val="baseline"/>
                <w:lang w:val="en-US" w:eastAsia="zh-CN"/>
              </w:rPr>
            </w:pPr>
            <w:bookmarkStart w:id="32" w:name="_Toc26231"/>
            <w:bookmarkStart w:id="33" w:name="_Toc10812"/>
            <w:bookmarkStart w:id="34" w:name="_Toc26364"/>
            <w:bookmarkStart w:id="35" w:name="_Toc1006"/>
            <w:r>
              <w:rPr>
                <w:rFonts w:hint="eastAsia" w:ascii="Times New Roman" w:hAnsi="Times New Roman" w:eastAsia="宋体" w:cs="宋体"/>
                <w:b w:val="0"/>
                <w:bCs w:val="0"/>
                <w:color w:val="auto"/>
                <w:sz w:val="24"/>
                <w:szCs w:val="24"/>
                <w:highlight w:val="none"/>
                <w:lang w:val="en-US" w:eastAsia="zh-CN"/>
              </w:rPr>
              <w:t>南侧 耕地</w:t>
            </w:r>
            <w:bookmarkEnd w:id="32"/>
            <w:bookmarkEnd w:id="33"/>
            <w:bookmarkEnd w:id="34"/>
            <w:bookmarkEnd w:id="35"/>
          </w:p>
        </w:tc>
      </w:tr>
      <w:tr w14:paraId="4F317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2" w:type="dxa"/>
          </w:tcPr>
          <w:p w14:paraId="14D96FA9">
            <w:pPr>
              <w:pStyle w:val="3"/>
              <w:jc w:val="center"/>
              <w:outlineLvl w:val="0"/>
              <w:rPr>
                <w:rFonts w:hint="eastAsia" w:ascii="Times New Roman" w:hAnsi="Times New Roman" w:eastAsia="宋体" w:cs="宋体"/>
                <w:b w:val="0"/>
                <w:bCs w:val="0"/>
                <w:color w:val="auto"/>
                <w:sz w:val="24"/>
                <w:szCs w:val="24"/>
                <w:highlight w:val="none"/>
                <w:vertAlign w:val="baseline"/>
                <w:lang w:val="en-US" w:eastAsia="zh-CN"/>
              </w:rPr>
            </w:pPr>
            <w:bookmarkStart w:id="36" w:name="_Toc30722"/>
            <w:bookmarkStart w:id="37" w:name="_Toc25242"/>
            <w:bookmarkStart w:id="38" w:name="_Toc5767"/>
            <w:bookmarkStart w:id="39" w:name="_Toc11708"/>
            <w:r>
              <w:rPr>
                <w:rFonts w:hint="eastAsia" w:ascii="Times New Roman" w:hAnsi="Times New Roman" w:eastAsia="宋体" w:cs="宋体"/>
                <w:b w:val="0"/>
                <w:bCs w:val="0"/>
                <w:color w:val="auto"/>
                <w:highlight w:val="none"/>
                <w:lang w:val="en-US" w:eastAsia="zh-CN"/>
              </w:rPr>
              <w:drawing>
                <wp:inline distT="0" distB="0" distL="114300" distR="114300">
                  <wp:extent cx="3515360" cy="1932305"/>
                  <wp:effectExtent l="0" t="0" r="8890" b="10795"/>
                  <wp:docPr id="61" name="图片 61" descr="d19b2f3309e68bbe1e355248dee5c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19b2f3309e68bbe1e355248dee5c0f"/>
                          <pic:cNvPicPr>
                            <a:picLocks noChangeAspect="1"/>
                          </pic:cNvPicPr>
                        </pic:nvPicPr>
                        <pic:blipFill>
                          <a:blip r:embed="rId42"/>
                          <a:srcRect r="6002" b="11203"/>
                          <a:stretch>
                            <a:fillRect/>
                          </a:stretch>
                        </pic:blipFill>
                        <pic:spPr>
                          <a:xfrm>
                            <a:off x="0" y="0"/>
                            <a:ext cx="3515360" cy="1932305"/>
                          </a:xfrm>
                          <a:prstGeom prst="rect">
                            <a:avLst/>
                          </a:prstGeom>
                        </pic:spPr>
                      </pic:pic>
                    </a:graphicData>
                  </a:graphic>
                </wp:inline>
              </w:drawing>
            </w:r>
            <w:bookmarkEnd w:id="36"/>
            <w:bookmarkEnd w:id="37"/>
            <w:bookmarkEnd w:id="38"/>
            <w:bookmarkEnd w:id="39"/>
          </w:p>
        </w:tc>
        <w:tc>
          <w:tcPr>
            <w:tcW w:w="6826" w:type="dxa"/>
          </w:tcPr>
          <w:p w14:paraId="184608EC">
            <w:pPr>
              <w:pStyle w:val="3"/>
              <w:jc w:val="center"/>
              <w:outlineLvl w:val="0"/>
              <w:rPr>
                <w:rFonts w:hint="eastAsia" w:ascii="Times New Roman" w:hAnsi="Times New Roman" w:eastAsia="宋体" w:cs="宋体"/>
                <w:b w:val="0"/>
                <w:bCs w:val="0"/>
                <w:color w:val="auto"/>
                <w:sz w:val="24"/>
                <w:szCs w:val="24"/>
                <w:highlight w:val="none"/>
                <w:vertAlign w:val="baseline"/>
                <w:lang w:val="en-US" w:eastAsia="zh-CN"/>
              </w:rPr>
            </w:pPr>
            <w:bookmarkStart w:id="40" w:name="_Toc30311"/>
            <w:bookmarkStart w:id="41" w:name="_Toc10831"/>
            <w:bookmarkStart w:id="42" w:name="_Toc2030"/>
            <w:bookmarkStart w:id="43" w:name="_Toc20263"/>
            <w:r>
              <w:rPr>
                <w:rFonts w:hint="eastAsia" w:ascii="Times New Roman" w:hAnsi="Times New Roman" w:eastAsia="宋体" w:cs="宋体"/>
                <w:b w:val="0"/>
                <w:bCs w:val="0"/>
                <w:color w:val="auto"/>
                <w:sz w:val="24"/>
                <w:szCs w:val="24"/>
                <w:highlight w:val="none"/>
                <w:lang w:val="en-US" w:eastAsia="zh-CN"/>
              </w:rPr>
              <w:drawing>
                <wp:inline distT="0" distB="0" distL="114300" distR="114300">
                  <wp:extent cx="3378200" cy="1910080"/>
                  <wp:effectExtent l="0" t="0" r="12700" b="13970"/>
                  <wp:docPr id="55" name="图片 55" descr="8e0fbbf6643e52963131534db56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8e0fbbf6643e52963131534db569106"/>
                          <pic:cNvPicPr>
                            <a:picLocks noChangeAspect="1"/>
                          </pic:cNvPicPr>
                        </pic:nvPicPr>
                        <pic:blipFill>
                          <a:blip r:embed="rId43"/>
                          <a:stretch>
                            <a:fillRect/>
                          </a:stretch>
                        </pic:blipFill>
                        <pic:spPr>
                          <a:xfrm>
                            <a:off x="0" y="0"/>
                            <a:ext cx="3378200" cy="1910080"/>
                          </a:xfrm>
                          <a:prstGeom prst="rect">
                            <a:avLst/>
                          </a:prstGeom>
                        </pic:spPr>
                      </pic:pic>
                    </a:graphicData>
                  </a:graphic>
                </wp:inline>
              </w:drawing>
            </w:r>
            <w:bookmarkEnd w:id="40"/>
            <w:bookmarkEnd w:id="41"/>
            <w:bookmarkEnd w:id="42"/>
            <w:bookmarkEnd w:id="43"/>
          </w:p>
        </w:tc>
      </w:tr>
      <w:tr w14:paraId="47341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2" w:type="dxa"/>
          </w:tcPr>
          <w:p w14:paraId="35744159">
            <w:pPr>
              <w:pStyle w:val="3"/>
              <w:jc w:val="center"/>
              <w:outlineLvl w:val="0"/>
              <w:rPr>
                <w:rFonts w:hint="eastAsia" w:ascii="Times New Roman" w:hAnsi="Times New Roman" w:eastAsia="宋体" w:cs="宋体"/>
                <w:b w:val="0"/>
                <w:bCs w:val="0"/>
                <w:color w:val="auto"/>
                <w:sz w:val="24"/>
                <w:szCs w:val="24"/>
                <w:highlight w:val="none"/>
                <w:vertAlign w:val="baseline"/>
                <w:lang w:val="en-US" w:eastAsia="zh-CN"/>
              </w:rPr>
            </w:pPr>
            <w:bookmarkStart w:id="44" w:name="_Toc17881"/>
            <w:bookmarkStart w:id="45" w:name="_Toc3829"/>
            <w:bookmarkStart w:id="46" w:name="_Toc8719"/>
            <w:bookmarkStart w:id="47" w:name="_Toc24855"/>
            <w:r>
              <w:rPr>
                <w:rFonts w:hint="eastAsia" w:ascii="Times New Roman" w:hAnsi="Times New Roman" w:eastAsia="宋体" w:cs="宋体"/>
                <w:b w:val="0"/>
                <w:bCs w:val="0"/>
                <w:color w:val="auto"/>
                <w:sz w:val="24"/>
                <w:szCs w:val="24"/>
                <w:highlight w:val="none"/>
                <w:lang w:val="en-US" w:eastAsia="zh-CN"/>
              </w:rPr>
              <w:t>西侧 空地</w:t>
            </w:r>
            <w:bookmarkEnd w:id="44"/>
            <w:bookmarkEnd w:id="45"/>
            <w:bookmarkEnd w:id="46"/>
            <w:bookmarkEnd w:id="47"/>
          </w:p>
        </w:tc>
        <w:tc>
          <w:tcPr>
            <w:tcW w:w="6826" w:type="dxa"/>
          </w:tcPr>
          <w:p w14:paraId="1C046981">
            <w:pPr>
              <w:pStyle w:val="3"/>
              <w:jc w:val="center"/>
              <w:outlineLvl w:val="0"/>
              <w:rPr>
                <w:rFonts w:hint="eastAsia" w:ascii="Times New Roman" w:hAnsi="Times New Roman" w:eastAsia="宋体" w:cs="宋体"/>
                <w:b w:val="0"/>
                <w:bCs w:val="0"/>
                <w:color w:val="auto"/>
                <w:sz w:val="24"/>
                <w:szCs w:val="24"/>
                <w:highlight w:val="none"/>
                <w:vertAlign w:val="baseline"/>
                <w:lang w:val="en-US" w:eastAsia="zh-CN"/>
              </w:rPr>
            </w:pPr>
            <w:bookmarkStart w:id="48" w:name="_Toc3218"/>
            <w:bookmarkStart w:id="49" w:name="_Toc17184"/>
            <w:bookmarkStart w:id="50" w:name="_Toc32092"/>
            <w:bookmarkStart w:id="51" w:name="_Toc4259"/>
            <w:r>
              <w:rPr>
                <w:rFonts w:hint="eastAsia" w:ascii="Times New Roman" w:hAnsi="Times New Roman" w:eastAsia="宋体" w:cs="宋体"/>
                <w:b w:val="0"/>
                <w:bCs w:val="0"/>
                <w:color w:val="auto"/>
                <w:sz w:val="24"/>
                <w:szCs w:val="24"/>
                <w:highlight w:val="none"/>
                <w:lang w:val="en-US" w:eastAsia="zh-CN"/>
              </w:rPr>
              <w:t>北侧 游国权煤矿已关闭斜井</w:t>
            </w:r>
            <w:bookmarkEnd w:id="48"/>
            <w:bookmarkEnd w:id="49"/>
            <w:bookmarkEnd w:id="50"/>
            <w:bookmarkEnd w:id="51"/>
          </w:p>
        </w:tc>
      </w:tr>
    </w:tbl>
    <w:p w14:paraId="05250B70">
      <w:pPr>
        <w:pStyle w:val="3"/>
        <w:ind w:left="0" w:leftChars="0" w:firstLine="0" w:firstLineChars="0"/>
        <w:jc w:val="center"/>
        <w:outlineLvl w:val="0"/>
        <w:rPr>
          <w:rFonts w:hint="default" w:ascii="Times New Roman" w:hAnsi="Times New Roman" w:eastAsia="宋体" w:cs="Times New Roman"/>
          <w:b/>
          <w:bCs/>
          <w:color w:val="auto"/>
          <w:sz w:val="24"/>
          <w:szCs w:val="24"/>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52" w:name="_Toc14875"/>
      <w:r>
        <w:rPr>
          <w:rFonts w:hint="default" w:ascii="Times New Roman" w:hAnsi="Times New Roman" w:eastAsia="宋体" w:cs="Times New Roman"/>
          <w:b/>
          <w:bCs/>
          <w:color w:val="auto"/>
          <w:sz w:val="24"/>
          <w:szCs w:val="24"/>
          <w:highlight w:val="none"/>
          <w:lang w:val="en-US" w:eastAsia="zh-CN"/>
        </w:rPr>
        <w:t>附图</w:t>
      </w: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 xml:space="preserve"> 周边关系照片</w:t>
      </w:r>
      <w:bookmarkEnd w:id="52"/>
    </w:p>
    <w:p w14:paraId="30E5B848">
      <w:pPr>
        <w:pStyle w:val="12"/>
        <w:tabs>
          <w:tab w:val="left" w:pos="11130"/>
        </w:tabs>
        <w:jc w:val="center"/>
        <w:outlineLvl w:val="9"/>
        <w:rPr>
          <w:rFonts w:hint="eastAsia" w:ascii="Times New Roman" w:hAnsi="Times New Roman" w:eastAsia="宋体" w:cs="Times New Roman"/>
          <w:b/>
          <w:bCs/>
          <w:color w:val="auto"/>
          <w:sz w:val="24"/>
          <w:szCs w:val="24"/>
          <w:highlight w:val="none"/>
          <w:lang w:eastAsia="zh-CN"/>
        </w:rPr>
      </w:pPr>
      <w:bookmarkStart w:id="53" w:name="_Toc11220"/>
      <w:r>
        <w:rPr>
          <w:rFonts w:ascii="Times New Roman" w:hAnsi="Times New Roman"/>
          <w:color w:val="auto"/>
          <w:sz w:val="18"/>
        </w:rPr>
        <mc:AlternateContent>
          <mc:Choice Requires="wps">
            <w:drawing>
              <wp:anchor distT="0" distB="0" distL="114300" distR="114300" simplePos="0" relativeHeight="251680768" behindDoc="0" locked="0" layoutInCell="1" allowOverlap="1">
                <wp:simplePos x="0" y="0"/>
                <wp:positionH relativeFrom="column">
                  <wp:posOffset>919480</wp:posOffset>
                </wp:positionH>
                <wp:positionV relativeFrom="paragraph">
                  <wp:posOffset>4401820</wp:posOffset>
                </wp:positionV>
                <wp:extent cx="466090" cy="0"/>
                <wp:effectExtent l="0" t="9525" r="10160" b="9525"/>
                <wp:wrapNone/>
                <wp:docPr id="79" name="直接连接符 79"/>
                <wp:cNvGraphicFramePr/>
                <a:graphic xmlns:a="http://schemas.openxmlformats.org/drawingml/2006/main">
                  <a:graphicData uri="http://schemas.microsoft.com/office/word/2010/wordprocessingShape">
                    <wps:wsp>
                      <wps:cNvCnPr/>
                      <wps:spPr>
                        <a:xfrm>
                          <a:off x="2068830" y="4999355"/>
                          <a:ext cx="46609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2.4pt;margin-top:346.6pt;height:0pt;width:36.7pt;z-index:251680768;mso-width-relative:page;mso-height-relative:page;" filled="f" stroked="t" coordsize="21600,21600" o:gfxdata="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U&#10;6SrP2AAAAAsBAAAPAAAAAAAAAAEAIAAAACIAAABkcnMvZG93bnJldi54bWxQSwECFAAUAAAACACH&#10;TuJAoqYhEusBAACoAwAADgAAAAAAAAABACAAAAAnAQAAZHJzL2Uyb0RvYy54bWxQSwUGAAAAAAYA&#10;BgBZAQAAhAUAAAAA&#10;">
                <v:fill on="f" focussize="0,0"/>
                <v:stroke weight="1.5pt" color="#FF0000 [3204]" joinstyle="round"/>
                <v:imagedata o:title=""/>
                <o:lock v:ext="edit" aspectratio="f"/>
              </v:line>
            </w:pict>
          </mc:Fallback>
        </mc:AlternateContent>
      </w:r>
      <w:r>
        <w:rPr>
          <w:rFonts w:ascii="Times New Roman" w:hAnsi="Times New Roman"/>
          <w:color w:val="auto"/>
          <w:sz w:val="18"/>
        </w:rPr>
        <mc:AlternateContent>
          <mc:Choice Requires="wps">
            <w:drawing>
              <wp:anchor distT="0" distB="0" distL="114300" distR="114300" simplePos="0" relativeHeight="251679744" behindDoc="0" locked="0" layoutInCell="1" allowOverlap="1">
                <wp:simplePos x="0" y="0"/>
                <wp:positionH relativeFrom="column">
                  <wp:posOffset>788035</wp:posOffset>
                </wp:positionH>
                <wp:positionV relativeFrom="paragraph">
                  <wp:posOffset>4097020</wp:posOffset>
                </wp:positionV>
                <wp:extent cx="1411605" cy="560070"/>
                <wp:effectExtent l="5080" t="4445" r="12065" b="6985"/>
                <wp:wrapNone/>
                <wp:docPr id="78" name="矩形 78"/>
                <wp:cNvGraphicFramePr/>
                <a:graphic xmlns:a="http://schemas.openxmlformats.org/drawingml/2006/main">
                  <a:graphicData uri="http://schemas.microsoft.com/office/word/2010/wordprocessingShape">
                    <wps:wsp>
                      <wps:cNvSpPr/>
                      <wps:spPr>
                        <a:xfrm>
                          <a:off x="2064385" y="4660265"/>
                          <a:ext cx="1411605" cy="5600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023C37">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图例</w:t>
                            </w:r>
                          </w:p>
                          <w:p w14:paraId="146BB545">
                            <w:pPr>
                              <w:pStyle w:val="12"/>
                              <w:ind w:firstLine="900" w:firstLineChars="500"/>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防风抑尘网</w:t>
                            </w:r>
                            <w:r>
                              <w:rPr>
                                <w:rFonts w:hint="eastAsia"/>
                                <w:color w:val="000000" w:themeColor="text1"/>
                                <w:sz w:val="18"/>
                                <w:szCs w:val="18"/>
                                <w:lang w:val="en-US" w:eastAsia="zh-CN"/>
                                <w14:textFill>
                                  <w14:solidFill>
                                    <w14:schemeClr w14:val="tx1"/>
                                  </w14:solidFill>
                                </w14:textFill>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05pt;margin-top:322.6pt;height:44.1pt;width:111.15pt;z-index:251679744;v-text-anchor:middle;mso-width-relative:page;mso-height-relative:page;" filled="f" stroked="t" coordsize="21600,21600" o:gfxdata="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yRQxGNoAAAALAQAADwAAAAAAAAABACAAAAAiAAAAZHJzL2Rv&#10;d25yZXYueG1sUEsBAhQAFAAAAAgAh07iQEjY9/NxAgAAzAQAAA4AAAAAAAAAAQAgAAAAKQEAAGRy&#10;cy9lMm9Eb2MueG1sUEsFBgAAAAAGAAYAWQEAAAwGAAAAAA==&#10;">
                <v:fill on="f" focussize="0,0"/>
                <v:stroke color="#000000 [3213]" joinstyle="round"/>
                <v:imagedata o:title=""/>
                <o:lock v:ext="edit" aspectratio="f"/>
                <v:textbox>
                  <w:txbxContent>
                    <w:p w14:paraId="07023C37">
                      <w:pPr>
                        <w:jc w:val="center"/>
                        <w:rPr>
                          <w:rFonts w:hint="eastAsia"/>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图例</w:t>
                      </w:r>
                    </w:p>
                    <w:p w14:paraId="146BB545">
                      <w:pPr>
                        <w:pStyle w:val="12"/>
                        <w:ind w:firstLine="900" w:firstLineChars="500"/>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防风抑尘网</w:t>
                      </w:r>
                      <w:r>
                        <w:rPr>
                          <w:rFonts w:hint="eastAsia"/>
                          <w:color w:val="000000" w:themeColor="text1"/>
                          <w:sz w:val="18"/>
                          <w:szCs w:val="18"/>
                          <w:lang w:val="en-US" w:eastAsia="zh-CN"/>
                          <w14:textFill>
                            <w14:solidFill>
                              <w14:schemeClr w14:val="tx1"/>
                            </w14:solidFill>
                          </w14:textFill>
                        </w:rPr>
                        <w:t xml:space="preserve"> </w:t>
                      </w:r>
                    </w:p>
                  </w:txbxContent>
                </v:textbox>
              </v:rect>
            </w:pict>
          </mc:Fallback>
        </mc:AlternateContent>
      </w:r>
      <w:r>
        <w:rPr>
          <w:rFonts w:ascii="Times New Roman" w:hAnsi="Times New Roman"/>
          <w:color w:val="auto"/>
          <w:sz w:val="18"/>
        </w:rPr>
        <mc:AlternateContent>
          <mc:Choice Requires="wps">
            <w:drawing>
              <wp:anchor distT="0" distB="0" distL="114300" distR="114300" simplePos="0" relativeHeight="251678720" behindDoc="0" locked="0" layoutInCell="1" allowOverlap="1">
                <wp:simplePos x="0" y="0"/>
                <wp:positionH relativeFrom="column">
                  <wp:posOffset>3437890</wp:posOffset>
                </wp:positionH>
                <wp:positionV relativeFrom="paragraph">
                  <wp:posOffset>1930400</wp:posOffset>
                </wp:positionV>
                <wp:extent cx="1699895" cy="1188085"/>
                <wp:effectExtent l="0" t="0" r="0" b="0"/>
                <wp:wrapNone/>
                <wp:docPr id="77" name="任意多边形 77"/>
                <wp:cNvGraphicFramePr/>
                <a:graphic xmlns:a="http://schemas.openxmlformats.org/drawingml/2006/main">
                  <a:graphicData uri="http://schemas.microsoft.com/office/word/2010/wordprocessingShape">
                    <wps:wsp>
                      <wps:cNvSpPr/>
                      <wps:spPr>
                        <a:xfrm rot="900000">
                          <a:off x="5092065" y="3404235"/>
                          <a:ext cx="1699895" cy="1188085"/>
                        </a:xfrm>
                        <a:custGeom>
                          <a:avLst/>
                          <a:gdLst>
                            <a:gd name="connisteX0" fmla="*/ 582930 w 1908810"/>
                            <a:gd name="connsiteY0" fmla="*/ 521335 h 1219200"/>
                            <a:gd name="connisteX1" fmla="*/ 510540 w 1908810"/>
                            <a:gd name="connsiteY1" fmla="*/ 377190 h 1219200"/>
                            <a:gd name="connisteX2" fmla="*/ 0 w 1908810"/>
                            <a:gd name="connsiteY2" fmla="*/ 537210 h 1219200"/>
                            <a:gd name="connisteX3" fmla="*/ 228600 w 1908810"/>
                            <a:gd name="connsiteY3" fmla="*/ 1219200 h 1219200"/>
                            <a:gd name="connisteX4" fmla="*/ 1908810 w 1908810"/>
                            <a:gd name="connsiteY4" fmla="*/ 601345 h 1219200"/>
                            <a:gd name="connisteX5" fmla="*/ 1588770 w 1908810"/>
                            <a:gd name="connsiteY5" fmla="*/ 0 h 1219200"/>
                            <a:gd name="connisteX6" fmla="*/ 1264920 w 1908810"/>
                            <a:gd name="connsiteY6" fmla="*/ 86995 h 1219200"/>
                            <a:gd name="connisteX7" fmla="*/ 1306830 w 1908810"/>
                            <a:gd name="connsiteY7" fmla="*/ 254635 h 12192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908810" h="1219200">
                              <a:moveTo>
                                <a:pt x="582930" y="521335"/>
                              </a:moveTo>
                              <a:lnTo>
                                <a:pt x="510540" y="377190"/>
                              </a:lnTo>
                              <a:lnTo>
                                <a:pt x="0" y="537210"/>
                              </a:lnTo>
                              <a:lnTo>
                                <a:pt x="228600" y="1219200"/>
                              </a:lnTo>
                              <a:lnTo>
                                <a:pt x="1908810" y="601345"/>
                              </a:lnTo>
                              <a:lnTo>
                                <a:pt x="1588770" y="0"/>
                              </a:lnTo>
                              <a:lnTo>
                                <a:pt x="1264920" y="86995"/>
                              </a:lnTo>
                              <a:lnTo>
                                <a:pt x="1306830" y="254635"/>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70.7pt;margin-top:152pt;height:93.55pt;width:133.85pt;rotation:983040f;z-index:251678720;mso-width-relative:page;mso-height-relative:page;" filled="f" stroked="t" coordsize="1908810,1219200" o:gfxdata="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" path="m582930,521335l510540,377190,0,537210,228600,1219200,1908810,601345,1588770,0,1264920,86995,1306830,254635e">
                <v:path o:connectlocs="519129,508030;454662,367563;0,523499;203580,1188085;1699895,585998;1414882,0;1126477,84774;1163800,248136" o:connectangles="0,0,0,0,0,0,0,0"/>
                <v:fill on="f" focussize="0,0"/>
                <v:stroke weight="2pt" color="#FF0000 [3204]" joinstyle="round"/>
                <v:imagedata o:title=""/>
                <o:lock v:ext="edit" aspectratio="f"/>
              </v:shape>
            </w:pict>
          </mc:Fallback>
        </mc:AlternateContent>
      </w:r>
      <w:r>
        <w:rPr>
          <w:rFonts w:hint="default" w:ascii="Times New Roman" w:hAnsi="Times New Roman" w:eastAsia="宋体" w:cs="Times New Roman"/>
          <w:color w:val="auto"/>
          <w:highlight w:val="none"/>
        </w:rPr>
        <w:drawing>
          <wp:anchor distT="0" distB="0" distL="0" distR="0" simplePos="0" relativeHeight="251684864" behindDoc="0" locked="0" layoutInCell="1" allowOverlap="1">
            <wp:simplePos x="0" y="0"/>
            <wp:positionH relativeFrom="column">
              <wp:posOffset>7183755</wp:posOffset>
            </wp:positionH>
            <wp:positionV relativeFrom="paragraph">
              <wp:posOffset>53340</wp:posOffset>
            </wp:positionV>
            <wp:extent cx="429895" cy="574040"/>
            <wp:effectExtent l="12700" t="12700" r="14605" b="22860"/>
            <wp:wrapNone/>
            <wp:docPr id="49" name="图片 168" descr="指北针"/>
            <wp:cNvGraphicFramePr/>
            <a:graphic xmlns:a="http://schemas.openxmlformats.org/drawingml/2006/main">
              <a:graphicData uri="http://schemas.openxmlformats.org/drawingml/2006/picture">
                <pic:pic xmlns:pic="http://schemas.openxmlformats.org/drawingml/2006/picture">
                  <pic:nvPicPr>
                    <pic:cNvPr id="49" name="图片 168" descr="指北针"/>
                    <pic:cNvPicPr/>
                  </pic:nvPicPr>
                  <pic:blipFill>
                    <a:blip r:embed="rId38" cstate="print"/>
                    <a:srcRect/>
                    <a:stretch>
                      <a:fillRect/>
                    </a:stretch>
                  </pic:blipFill>
                  <pic:spPr>
                    <a:xfrm>
                      <a:off x="0" y="0"/>
                      <a:ext cx="429895" cy="574040"/>
                    </a:xfrm>
                    <a:prstGeom prst="rect">
                      <a:avLst/>
                    </a:prstGeom>
                    <a:ln w="12700" cap="flat" cmpd="sng">
                      <a:solidFill>
                        <a:srgbClr val="000000"/>
                      </a:solidFill>
                      <a:prstDash val="solid"/>
                      <a:round/>
                    </a:ln>
                  </pic:spPr>
                </pic:pic>
              </a:graphicData>
            </a:graphic>
          </wp:anchor>
        </w:drawing>
      </w:r>
      <w:r>
        <w:rPr>
          <w:rFonts w:ascii="Times New Roman" w:hAnsi="Times New Roman"/>
          <w:color w:val="auto"/>
          <w:sz w:val="18"/>
        </w:rPr>
        <mc:AlternateContent>
          <mc:Choice Requires="wps">
            <w:drawing>
              <wp:anchor distT="0" distB="0" distL="114300" distR="114300" simplePos="0" relativeHeight="251682816" behindDoc="0" locked="0" layoutInCell="1" allowOverlap="1">
                <wp:simplePos x="0" y="0"/>
                <wp:positionH relativeFrom="column">
                  <wp:posOffset>3859530</wp:posOffset>
                </wp:positionH>
                <wp:positionV relativeFrom="paragraph">
                  <wp:posOffset>2480945</wp:posOffset>
                </wp:positionV>
                <wp:extent cx="464820" cy="201295"/>
                <wp:effectExtent l="0" t="0" r="0" b="0"/>
                <wp:wrapNone/>
                <wp:docPr id="81" name="文本框 81"/>
                <wp:cNvGraphicFramePr/>
                <a:graphic xmlns:a="http://schemas.openxmlformats.org/drawingml/2006/main">
                  <a:graphicData uri="http://schemas.microsoft.com/office/word/2010/wordprocessingShape">
                    <wps:wsp>
                      <wps:cNvSpPr txBox="1"/>
                      <wps:spPr>
                        <a:xfrm rot="19860000">
                          <a:off x="0" y="0"/>
                          <a:ext cx="464820" cy="201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1FE36D">
                            <w:pPr>
                              <w:jc w:val="center"/>
                              <w:rPr>
                                <w:rFonts w:hint="eastAsia"/>
                                <w:color w:val="000000" w:themeColor="text1"/>
                                <w:sz w:val="11"/>
                                <w:szCs w:val="15"/>
                                <w:lang w:eastAsia="zh-CN"/>
                                <w14:textFill>
                                  <w14:solidFill>
                                    <w14:schemeClr w14:val="tx1"/>
                                  </w14:solidFill>
                                </w14:textFill>
                              </w:rPr>
                            </w:pPr>
                            <w:r>
                              <w:rPr>
                                <w:rFonts w:hint="eastAsia"/>
                                <w:color w:val="000000" w:themeColor="text1"/>
                                <w:sz w:val="11"/>
                                <w:szCs w:val="15"/>
                                <w:lang w:eastAsia="zh-CN"/>
                                <w14:textFill>
                                  <w14:solidFill>
                                    <w14:schemeClr w14:val="tx1"/>
                                  </w14:solidFill>
                                </w14:textFill>
                              </w:rPr>
                              <w:t>危废</w:t>
                            </w:r>
                          </w:p>
                          <w:p w14:paraId="7E16BB4F">
                            <w:pPr>
                              <w:jc w:val="center"/>
                              <w:rPr>
                                <w:rFonts w:hint="eastAsia" w:eastAsia="宋体"/>
                                <w:color w:val="000000" w:themeColor="text1"/>
                                <w:sz w:val="11"/>
                                <w:szCs w:val="15"/>
                                <w:lang w:eastAsia="zh-CN"/>
                                <w14:textFill>
                                  <w14:solidFill>
                                    <w14:schemeClr w14:val="tx1"/>
                                  </w14:solidFill>
                                </w14:textFill>
                              </w:rPr>
                            </w:pPr>
                            <w:r>
                              <w:rPr>
                                <w:rFonts w:hint="eastAsia"/>
                                <w:color w:val="000000" w:themeColor="text1"/>
                                <w:sz w:val="11"/>
                                <w:szCs w:val="15"/>
                                <w:lang w:eastAsia="zh-CN"/>
                                <w14:textFill>
                                  <w14:solidFill>
                                    <w14:schemeClr w14:val="tx1"/>
                                  </w14:solidFill>
                                </w14:textFill>
                              </w:rPr>
                              <w:t>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03.9pt;margin-top:195.35pt;height:15.85pt;width:36.6pt;rotation:-1900544f;z-index:251682816;mso-width-relative:page;mso-height-relative:page;" filled="f" stroked="f" coordsize="21600,21600" o:gfxdata="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LlNdbYAAAACwEAAA8AAAAAAAAAAQAgAAAAIgAAAGRycy9k&#10;b3ducmV2LnhtbFBLAQIUABQAAAAIAIdO4kDP9BVaOwIAAGYEAAAOAAAAAAAAAAEAIAAAACcBAABk&#10;cnMvZTJvRG9jLnhtbFBLBQYAAAAABgAGAFkBAADUBQAAAAA=&#10;">
                <v:fill on="f" focussize="0,0"/>
                <v:stroke on="f" weight="0.5pt"/>
                <v:imagedata o:title=""/>
                <o:lock v:ext="edit" aspectratio="f"/>
                <v:textbox inset="0mm,0mm,0mm,0mm">
                  <w:txbxContent>
                    <w:p w14:paraId="2B1FE36D">
                      <w:pPr>
                        <w:jc w:val="center"/>
                        <w:rPr>
                          <w:rFonts w:hint="eastAsia"/>
                          <w:color w:val="000000" w:themeColor="text1"/>
                          <w:sz w:val="11"/>
                          <w:szCs w:val="15"/>
                          <w:lang w:eastAsia="zh-CN"/>
                          <w14:textFill>
                            <w14:solidFill>
                              <w14:schemeClr w14:val="tx1"/>
                            </w14:solidFill>
                          </w14:textFill>
                        </w:rPr>
                      </w:pPr>
                      <w:r>
                        <w:rPr>
                          <w:rFonts w:hint="eastAsia"/>
                          <w:color w:val="000000" w:themeColor="text1"/>
                          <w:sz w:val="11"/>
                          <w:szCs w:val="15"/>
                          <w:lang w:eastAsia="zh-CN"/>
                          <w14:textFill>
                            <w14:solidFill>
                              <w14:schemeClr w14:val="tx1"/>
                            </w14:solidFill>
                          </w14:textFill>
                        </w:rPr>
                        <w:t>危废</w:t>
                      </w:r>
                    </w:p>
                    <w:p w14:paraId="7E16BB4F">
                      <w:pPr>
                        <w:jc w:val="center"/>
                        <w:rPr>
                          <w:rFonts w:hint="eastAsia" w:eastAsia="宋体"/>
                          <w:color w:val="000000" w:themeColor="text1"/>
                          <w:sz w:val="11"/>
                          <w:szCs w:val="15"/>
                          <w:lang w:eastAsia="zh-CN"/>
                          <w14:textFill>
                            <w14:solidFill>
                              <w14:schemeClr w14:val="tx1"/>
                            </w14:solidFill>
                          </w14:textFill>
                        </w:rPr>
                      </w:pPr>
                      <w:r>
                        <w:rPr>
                          <w:rFonts w:hint="eastAsia"/>
                          <w:color w:val="000000" w:themeColor="text1"/>
                          <w:sz w:val="11"/>
                          <w:szCs w:val="15"/>
                          <w:lang w:eastAsia="zh-CN"/>
                          <w14:textFill>
                            <w14:solidFill>
                              <w14:schemeClr w14:val="tx1"/>
                            </w14:solidFill>
                          </w14:textFill>
                        </w:rPr>
                        <w:t>间</w:t>
                      </w:r>
                    </w:p>
                  </w:txbxContent>
                </v:textbox>
              </v:shape>
            </w:pict>
          </mc:Fallback>
        </mc:AlternateContent>
      </w:r>
      <w:r>
        <w:rPr>
          <w:rFonts w:ascii="Times New Roman" w:hAnsi="Times New Roman"/>
          <w:color w:val="auto"/>
          <w:sz w:val="18"/>
        </w:rPr>
        <mc:AlternateContent>
          <mc:Choice Requires="wps">
            <w:drawing>
              <wp:anchor distT="0" distB="0" distL="114300" distR="114300" simplePos="0" relativeHeight="251681792" behindDoc="0" locked="0" layoutInCell="1" allowOverlap="1">
                <wp:simplePos x="0" y="0"/>
                <wp:positionH relativeFrom="column">
                  <wp:posOffset>3999230</wp:posOffset>
                </wp:positionH>
                <wp:positionV relativeFrom="paragraph">
                  <wp:posOffset>2496820</wp:posOffset>
                </wp:positionV>
                <wp:extent cx="171450" cy="156210"/>
                <wp:effectExtent l="27940" t="31115" r="29210" b="41275"/>
                <wp:wrapNone/>
                <wp:docPr id="80" name="矩形 80"/>
                <wp:cNvGraphicFramePr/>
                <a:graphic xmlns:a="http://schemas.openxmlformats.org/drawingml/2006/main">
                  <a:graphicData uri="http://schemas.microsoft.com/office/word/2010/wordprocessingShape">
                    <wps:wsp>
                      <wps:cNvSpPr/>
                      <wps:spPr>
                        <a:xfrm rot="20280000">
                          <a:off x="5048885" y="3461385"/>
                          <a:ext cx="171450" cy="156210"/>
                        </a:xfrm>
                        <a:prstGeom prst="rect">
                          <a:avLst/>
                        </a:prstGeom>
                        <a:noFill/>
                        <a:ln w="9525">
                          <a:solidFill>
                            <a:srgbClr val="90909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4.9pt;margin-top:196.6pt;height:12.3pt;width:13.5pt;rotation:-1441792f;z-index:251681792;v-text-anchor:middle;mso-width-relative:page;mso-height-relative:page;" filled="f" stroked="t" coordsize="21600,21600" o:gfxdata="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H01BO2gAAAAsBAAAPAAAAAAAAAAEAIAAAACIAAABkcnMv&#10;ZG93bnJldi54bWxQSwECFAAUAAAACACHTuJAH5C3m3MCAADPBAAADgAAAAAAAAABACAAAAApAQAA&#10;ZHJzL2Uyb0RvYy54bWxQSwUGAAAAAAYABgBZAQAADgYAAAAA&#10;">
                <v:fill on="f" focussize="0,0"/>
                <v:stroke color="#909090 [3204]" joinstyle="round"/>
                <v:imagedata o:title=""/>
                <o:lock v:ext="edit" aspectratio="f"/>
              </v:rect>
            </w:pict>
          </mc:Fallback>
        </mc:AlternateContent>
      </w:r>
      <w:r>
        <w:rPr>
          <w:rFonts w:ascii="Times New Roman" w:hAnsi="Times New Roman"/>
          <w:color w:val="auto"/>
          <w:sz w:val="18"/>
        </w:rPr>
        <mc:AlternateContent>
          <mc:Choice Requires="wps">
            <w:drawing>
              <wp:anchor distT="0" distB="0" distL="114300" distR="114300" simplePos="0" relativeHeight="251677696" behindDoc="0" locked="0" layoutInCell="1" allowOverlap="1">
                <wp:simplePos x="0" y="0"/>
                <wp:positionH relativeFrom="column">
                  <wp:posOffset>7004050</wp:posOffset>
                </wp:positionH>
                <wp:positionV relativeFrom="paragraph">
                  <wp:posOffset>4095115</wp:posOffset>
                </wp:positionV>
                <wp:extent cx="541020" cy="351155"/>
                <wp:effectExtent l="0" t="0" r="0" b="0"/>
                <wp:wrapNone/>
                <wp:docPr id="73" name="文本框 73"/>
                <wp:cNvGraphicFramePr/>
                <a:graphic xmlns:a="http://schemas.openxmlformats.org/drawingml/2006/main">
                  <a:graphicData uri="http://schemas.microsoft.com/office/word/2010/wordprocessingShape">
                    <wps:wsp>
                      <wps:cNvSpPr txBox="1"/>
                      <wps:spPr>
                        <a:xfrm>
                          <a:off x="8128000" y="5037455"/>
                          <a:ext cx="541020" cy="3511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6E011D">
                            <w:pPr>
                              <w:rPr>
                                <w:rFonts w:hint="default" w:eastAsia="宋体"/>
                                <w:color w:val="auto"/>
                                <w:sz w:val="18"/>
                                <w:szCs w:val="21"/>
                                <w:lang w:val="en-US" w:eastAsia="zh-CN"/>
                              </w:rPr>
                            </w:pPr>
                            <w:r>
                              <w:rPr>
                                <w:rFonts w:hint="eastAsia"/>
                                <w:color w:val="auto"/>
                                <w:sz w:val="18"/>
                                <w:szCs w:val="21"/>
                                <w:lang w:val="en-US" w:eastAsia="zh-CN"/>
                              </w:rPr>
                              <w:t>10m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1.5pt;margin-top:322.45pt;height:27.65pt;width:42.6pt;z-index:251677696;mso-width-relative:page;mso-height-relative:page;" filled="f" stroked="f" coordsize="21600,21600" o:gfxdata="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iZ+ytwAAAANAQAADwAAAAAA&#10;AAABACAAAAAiAAAAZHJzL2Rvd25yZXYueG1sUEsBAhQAFAAAAAgAh07iQLyez9VIAgAAcwQAAA4A&#10;AAAAAAAAAQAgAAAAKwEAAGRycy9lMm9Eb2MueG1sUEsFBgAAAAAGAAYAWQEAAOUFAAAAAA==&#10;">
                <v:fill on="f" focussize="0,0"/>
                <v:stroke on="f" weight="0.5pt"/>
                <v:imagedata o:title=""/>
                <o:lock v:ext="edit" aspectratio="f"/>
                <v:textbox>
                  <w:txbxContent>
                    <w:p w14:paraId="1F6E011D">
                      <w:pPr>
                        <w:rPr>
                          <w:rFonts w:hint="default" w:eastAsia="宋体"/>
                          <w:color w:val="auto"/>
                          <w:sz w:val="18"/>
                          <w:szCs w:val="21"/>
                          <w:lang w:val="en-US" w:eastAsia="zh-CN"/>
                        </w:rPr>
                      </w:pPr>
                      <w:r>
                        <w:rPr>
                          <w:rFonts w:hint="eastAsia"/>
                          <w:color w:val="auto"/>
                          <w:sz w:val="18"/>
                          <w:szCs w:val="21"/>
                          <w:lang w:val="en-US" w:eastAsia="zh-CN"/>
                        </w:rPr>
                        <w:t>10m</w:t>
                      </w:r>
                    </w:p>
                  </w:txbxContent>
                </v:textbox>
              </v:shape>
            </w:pict>
          </mc:Fallback>
        </mc:AlternateContent>
      </w:r>
      <w:r>
        <w:rPr>
          <w:rFonts w:ascii="Times New Roman" w:hAnsi="Times New Roman"/>
          <w:color w:val="auto"/>
          <w:sz w:val="18"/>
        </w:rPr>
        <mc:AlternateContent>
          <mc:Choice Requires="wps">
            <w:drawing>
              <wp:anchor distT="0" distB="0" distL="114300" distR="114300" simplePos="0" relativeHeight="251676672" behindDoc="0" locked="0" layoutInCell="1" allowOverlap="1">
                <wp:simplePos x="0" y="0"/>
                <wp:positionH relativeFrom="column">
                  <wp:posOffset>6958965</wp:posOffset>
                </wp:positionH>
                <wp:positionV relativeFrom="paragraph">
                  <wp:posOffset>4207510</wp:posOffset>
                </wp:positionV>
                <wp:extent cx="0" cy="31750"/>
                <wp:effectExtent l="4445" t="0" r="14605" b="6350"/>
                <wp:wrapNone/>
                <wp:docPr id="51" name="直接连接符 51"/>
                <wp:cNvGraphicFramePr/>
                <a:graphic xmlns:a="http://schemas.openxmlformats.org/drawingml/2006/main">
                  <a:graphicData uri="http://schemas.microsoft.com/office/word/2010/wordprocessingShape">
                    <wps:wsp>
                      <wps:cNvCnPr/>
                      <wps:spPr>
                        <a:xfrm flipV="1">
                          <a:off x="0" y="0"/>
                          <a:ext cx="0" cy="317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547.95pt;margin-top:331.3pt;height:2.5pt;width:0pt;z-index:251676672;mso-width-relative:page;mso-height-relative:page;" filled="f" stroked="t" coordsize="21600,21600" o:gfxdata="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kGYuPdcAAAANAQAADwAA&#10;AAAAAAABACAAAAAiAAAAZHJzL2Rvd25yZXYueG1sUEsBAhQAFAAAAAgAh07iQGOlVEjeAQAApAMA&#10;AA4AAAAAAAAAAQAgAAAAJgEAAGRycy9lMm9Eb2MueG1sUEsFBgAAAAAGAAYAWQEAAHYFAAAAAA==&#10;">
                <v:fill on="f" focussize="0,0"/>
                <v:stroke color="#000000 [3213]" joinstyle="round"/>
                <v:imagedata o:title=""/>
                <o:lock v:ext="edit" aspectratio="f"/>
              </v:line>
            </w:pict>
          </mc:Fallback>
        </mc:AlternateContent>
      </w:r>
      <w:r>
        <w:rPr>
          <w:rFonts w:ascii="Times New Roman" w:hAnsi="Times New Roman"/>
          <w:color w:val="auto"/>
          <w:sz w:val="18"/>
        </w:rPr>
        <mc:AlternateContent>
          <mc:Choice Requires="wps">
            <w:drawing>
              <wp:anchor distT="0" distB="0" distL="114300" distR="114300" simplePos="0" relativeHeight="251675648" behindDoc="0" locked="0" layoutInCell="1" allowOverlap="1">
                <wp:simplePos x="0" y="0"/>
                <wp:positionH relativeFrom="column">
                  <wp:posOffset>6692265</wp:posOffset>
                </wp:positionH>
                <wp:positionV relativeFrom="paragraph">
                  <wp:posOffset>4209415</wp:posOffset>
                </wp:positionV>
                <wp:extent cx="0" cy="31750"/>
                <wp:effectExtent l="4445" t="0" r="14605" b="6350"/>
                <wp:wrapNone/>
                <wp:docPr id="39" name="直接连接符 39"/>
                <wp:cNvGraphicFramePr/>
                <a:graphic xmlns:a="http://schemas.openxmlformats.org/drawingml/2006/main">
                  <a:graphicData uri="http://schemas.microsoft.com/office/word/2010/wordprocessingShape">
                    <wps:wsp>
                      <wps:cNvCnPr/>
                      <wps:spPr>
                        <a:xfrm flipV="1">
                          <a:off x="7780020" y="5181600"/>
                          <a:ext cx="0" cy="317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526.95pt;margin-top:331.45pt;height:2.5pt;width:0pt;z-index:251675648;mso-width-relative:page;mso-height-relative:page;" filled="f" stroked="t" coordsize="21600,21600" o:gfxdata="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BQSs+9cAAAANAQAADwAAAAAAAAABACAAAAAiAAAAZHJzL2Rvd25yZXYueG1sUEsBAhQAFAAAAAgA&#10;h07iQP/TGAXtAQAAsAMAAA4AAAAAAAAAAQAgAAAAJgEAAGRycy9lMm9Eb2MueG1sUEsFBgAAAAAG&#10;AAYAWQEAAIUFAAAAAA==&#10;">
                <v:fill on="f" focussize="0,0"/>
                <v:stroke color="#000000 [3213]" joinstyle="round"/>
                <v:imagedata o:title=""/>
                <o:lock v:ext="edit" aspectratio="f"/>
              </v:line>
            </w:pict>
          </mc:Fallback>
        </mc:AlternateContent>
      </w:r>
      <w:r>
        <w:rPr>
          <w:rFonts w:ascii="Times New Roman" w:hAnsi="Times New Roman"/>
          <w:color w:val="auto"/>
          <w:sz w:val="18"/>
        </w:rPr>
        <mc:AlternateContent>
          <mc:Choice Requires="wps">
            <w:drawing>
              <wp:anchor distT="0" distB="0" distL="114300" distR="114300" simplePos="0" relativeHeight="251674624" behindDoc="0" locked="0" layoutInCell="1" allowOverlap="1">
                <wp:simplePos x="0" y="0"/>
                <wp:positionH relativeFrom="column">
                  <wp:posOffset>6690360</wp:posOffset>
                </wp:positionH>
                <wp:positionV relativeFrom="paragraph">
                  <wp:posOffset>4243705</wp:posOffset>
                </wp:positionV>
                <wp:extent cx="273685" cy="0"/>
                <wp:effectExtent l="0" t="0" r="0" b="0"/>
                <wp:wrapNone/>
                <wp:docPr id="25" name="直接连接符 25"/>
                <wp:cNvGraphicFramePr/>
                <a:graphic xmlns:a="http://schemas.openxmlformats.org/drawingml/2006/main">
                  <a:graphicData uri="http://schemas.microsoft.com/office/word/2010/wordprocessingShape">
                    <wps:wsp>
                      <wps:cNvCnPr/>
                      <wps:spPr>
                        <a:xfrm>
                          <a:off x="7770495" y="5215890"/>
                          <a:ext cx="2736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26.8pt;margin-top:334.15pt;height:0pt;width:21.55pt;z-index:251674624;mso-width-relative:page;mso-height-relative:page;" filled="f" stroked="t" coordsize="21600,21600" o:gfxdata="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9kAhm2AAA&#10;AA0BAAAPAAAAAAAAAAEAIAAAACIAAABkcnMvZG93bnJldi54bWxQSwECFAAUAAAACACHTuJAg1+0&#10;gOUBAACnAwAADgAAAAAAAAABACAAAAAnAQAAZHJzL2Uyb0RvYy54bWxQSwUGAAAAAAYABgBZAQAA&#10;fgUAAAAA&#10;">
                <v:fill on="f" focussize="0,0"/>
                <v:stroke color="#000000 [3213]" joinstyle="round"/>
                <v:imagedata o:title=""/>
                <o:lock v:ext="edit" aspectratio="f"/>
              </v:line>
            </w:pict>
          </mc:Fallback>
        </mc:AlternateContent>
      </w:r>
      <w:r>
        <w:rPr>
          <w:rFonts w:ascii="Times New Roman" w:hAnsi="Times New Roman"/>
          <w:color w:val="auto"/>
          <w:sz w:val="18"/>
        </w:rPr>
        <mc:AlternateContent>
          <mc:Choice Requires="wps">
            <w:drawing>
              <wp:anchor distT="0" distB="0" distL="114300" distR="114300" simplePos="0" relativeHeight="251673600" behindDoc="0" locked="0" layoutInCell="1" allowOverlap="1">
                <wp:simplePos x="0" y="0"/>
                <wp:positionH relativeFrom="column">
                  <wp:posOffset>3044825</wp:posOffset>
                </wp:positionH>
                <wp:positionV relativeFrom="paragraph">
                  <wp:posOffset>1724025</wp:posOffset>
                </wp:positionV>
                <wp:extent cx="464820" cy="125095"/>
                <wp:effectExtent l="0" t="0" r="0" b="0"/>
                <wp:wrapNone/>
                <wp:docPr id="69" name="文本框 69"/>
                <wp:cNvGraphicFramePr/>
                <a:graphic xmlns:a="http://schemas.openxmlformats.org/drawingml/2006/main">
                  <a:graphicData uri="http://schemas.microsoft.com/office/word/2010/wordprocessingShape">
                    <wps:wsp>
                      <wps:cNvSpPr txBox="1"/>
                      <wps:spPr>
                        <a:xfrm rot="20220000">
                          <a:off x="4255135" y="2808605"/>
                          <a:ext cx="464820" cy="125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643146">
                            <w:pPr>
                              <w:jc w:val="center"/>
                              <w:rPr>
                                <w:rFonts w:hint="eastAsia" w:eastAsia="宋体"/>
                                <w:color w:val="000000" w:themeColor="text1"/>
                                <w:sz w:val="11"/>
                                <w:szCs w:val="15"/>
                                <w:lang w:eastAsia="zh-CN"/>
                                <w14:textFill>
                                  <w14:solidFill>
                                    <w14:schemeClr w14:val="tx1"/>
                                  </w14:solidFill>
                                </w14:textFill>
                              </w:rPr>
                            </w:pPr>
                            <w:r>
                              <w:rPr>
                                <w:rFonts w:hint="eastAsia"/>
                                <w:color w:val="000000" w:themeColor="text1"/>
                                <w:sz w:val="11"/>
                                <w:szCs w:val="15"/>
                                <w:lang w:eastAsia="zh-CN"/>
                                <w14:textFill>
                                  <w14:solidFill>
                                    <w14:schemeClr w14:val="tx1"/>
                                  </w14:solidFill>
                                </w14:textFill>
                              </w:rPr>
                              <w:t>煤泥堆场</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39.75pt;margin-top:135.75pt;height:9.85pt;width:36.6pt;rotation:-1507328f;z-index:251673600;mso-width-relative:page;mso-height-relative:page;" filled="f" stroked="f" coordsize="21600,21600" o:gfxdata="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5thak1gAAAAsBAAAPAAAAAAAAAAEAIAAA&#10;ACIAAABkcnMvZG93bnJldi54bWxQSwECFAAUAAAACACHTuJA7UT8K0cCAAByBAAADgAAAAAAAAAB&#10;ACAAAAAlAQAAZHJzL2Uyb0RvYy54bWxQSwUGAAAAAAYABgBZAQAA3gUAAAAA&#10;">
                <v:fill on="f" focussize="0,0"/>
                <v:stroke on="f" weight="0.5pt"/>
                <v:imagedata o:title=""/>
                <o:lock v:ext="edit" aspectratio="f"/>
                <v:textbox inset="0mm,0mm,0mm,0mm">
                  <w:txbxContent>
                    <w:p w14:paraId="4E643146">
                      <w:pPr>
                        <w:jc w:val="center"/>
                        <w:rPr>
                          <w:rFonts w:hint="eastAsia" w:eastAsia="宋体"/>
                          <w:color w:val="000000" w:themeColor="text1"/>
                          <w:sz w:val="11"/>
                          <w:szCs w:val="15"/>
                          <w:lang w:eastAsia="zh-CN"/>
                          <w14:textFill>
                            <w14:solidFill>
                              <w14:schemeClr w14:val="tx1"/>
                            </w14:solidFill>
                          </w14:textFill>
                        </w:rPr>
                      </w:pPr>
                      <w:r>
                        <w:rPr>
                          <w:rFonts w:hint="eastAsia"/>
                          <w:color w:val="000000" w:themeColor="text1"/>
                          <w:sz w:val="11"/>
                          <w:szCs w:val="15"/>
                          <w:lang w:eastAsia="zh-CN"/>
                          <w14:textFill>
                            <w14:solidFill>
                              <w14:schemeClr w14:val="tx1"/>
                            </w14:solidFill>
                          </w14:textFill>
                        </w:rPr>
                        <w:t>煤泥堆场</w:t>
                      </w:r>
                    </w:p>
                  </w:txbxContent>
                </v:textbox>
              </v:shape>
            </w:pict>
          </mc:Fallback>
        </mc:AlternateContent>
      </w:r>
      <w:r>
        <w:rPr>
          <w:color w:val="auto"/>
        </w:rPr>
        <w:drawing>
          <wp:inline distT="0" distB="0" distL="114300" distR="114300">
            <wp:extent cx="7010400" cy="4772025"/>
            <wp:effectExtent l="0" t="0" r="0" b="9525"/>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44"/>
                    <a:stretch>
                      <a:fillRect/>
                    </a:stretch>
                  </pic:blipFill>
                  <pic:spPr>
                    <a:xfrm>
                      <a:off x="0" y="0"/>
                      <a:ext cx="7010400" cy="4772025"/>
                    </a:xfrm>
                    <a:prstGeom prst="rect">
                      <a:avLst/>
                    </a:prstGeom>
                    <a:noFill/>
                    <a:ln>
                      <a:noFill/>
                    </a:ln>
                  </pic:spPr>
                </pic:pic>
              </a:graphicData>
            </a:graphic>
          </wp:inline>
        </w:drawing>
      </w:r>
      <w:r>
        <w:rPr>
          <w:rFonts w:ascii="Times New Roman" w:hAnsi="Times New Roman"/>
          <w:color w:val="auto"/>
          <w:sz w:val="18"/>
        </w:rPr>
        <mc:AlternateContent>
          <mc:Choice Requires="wps">
            <w:drawing>
              <wp:anchor distT="0" distB="0" distL="114300" distR="114300" simplePos="0" relativeHeight="251672576" behindDoc="0" locked="0" layoutInCell="1" allowOverlap="1">
                <wp:simplePos x="0" y="0"/>
                <wp:positionH relativeFrom="column">
                  <wp:posOffset>3001010</wp:posOffset>
                </wp:positionH>
                <wp:positionV relativeFrom="paragraph">
                  <wp:posOffset>1584960</wp:posOffset>
                </wp:positionV>
                <wp:extent cx="570865" cy="375285"/>
                <wp:effectExtent l="4445" t="4445" r="15240" b="20320"/>
                <wp:wrapNone/>
                <wp:docPr id="60" name="任意多边形 60"/>
                <wp:cNvGraphicFramePr/>
                <a:graphic xmlns:a="http://schemas.openxmlformats.org/drawingml/2006/main">
                  <a:graphicData uri="http://schemas.microsoft.com/office/word/2010/wordprocessingShape">
                    <wps:wsp>
                      <wps:cNvSpPr/>
                      <wps:spPr>
                        <a:xfrm>
                          <a:off x="4081145" y="2566035"/>
                          <a:ext cx="570865" cy="375285"/>
                        </a:xfrm>
                        <a:custGeom>
                          <a:avLst/>
                          <a:gdLst>
                            <a:gd name="connisteX0" fmla="*/ 0 w 643255"/>
                            <a:gd name="connsiteY0" fmla="*/ 234950 h 452120"/>
                            <a:gd name="connisteX1" fmla="*/ 132715 w 643255"/>
                            <a:gd name="connsiteY1" fmla="*/ 452120 h 452120"/>
                            <a:gd name="connisteX2" fmla="*/ 643255 w 643255"/>
                            <a:gd name="connsiteY2" fmla="*/ 245110 h 452120"/>
                            <a:gd name="connisteX3" fmla="*/ 500380 w 643255"/>
                            <a:gd name="connsiteY3" fmla="*/ 0 h 452120"/>
                            <a:gd name="connisteX4" fmla="*/ 0 w 643255"/>
                            <a:gd name="connsiteY4" fmla="*/ 234950 h 45212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43255" h="452120">
                              <a:moveTo>
                                <a:pt x="0" y="234950"/>
                              </a:moveTo>
                              <a:lnTo>
                                <a:pt x="132715" y="452120"/>
                              </a:lnTo>
                              <a:lnTo>
                                <a:pt x="643255" y="245110"/>
                              </a:lnTo>
                              <a:lnTo>
                                <a:pt x="500380" y="0"/>
                              </a:lnTo>
                              <a:lnTo>
                                <a:pt x="0" y="234950"/>
                              </a:lnTo>
                              <a:close/>
                            </a:path>
                          </a:pathLst>
                        </a:custGeom>
                        <a:noFill/>
                        <a:ln w="3175">
                          <a:solidFill>
                            <a:srgbClr val="8C8C8C"/>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36.3pt;margin-top:124.8pt;height:29.55pt;width:44.95pt;z-index:251672576;mso-width-relative:page;mso-height-relative:page;" filled="f" stroked="t" coordsize="643255,452120" o:gfxdata="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" path="m0,234950l132715,452120,643255,245110,500380,0,0,234950xe">
                <v:path o:connectlocs="0,195021;117779,375285;570865,203455;444068,0;0,195021" o:connectangles="0,0,0,0,0"/>
                <v:fill on="f" focussize="0,0"/>
                <v:stroke weight="0.25pt" color="#8C8C8C [3204]" joinstyle="round"/>
                <v:imagedata o:title=""/>
                <o:lock v:ext="edit" aspectratio="f"/>
              </v:shape>
            </w:pict>
          </mc:Fallback>
        </mc:AlternateContent>
      </w:r>
      <w:bookmarkEnd w:id="53"/>
    </w:p>
    <w:p w14:paraId="7414F604">
      <w:pPr>
        <w:pStyle w:val="12"/>
        <w:tabs>
          <w:tab w:val="left" w:pos="11130"/>
        </w:tabs>
        <w:jc w:val="center"/>
        <w:outlineLvl w:val="0"/>
        <w:rPr>
          <w:rFonts w:hint="eastAsia" w:ascii="Times New Roman" w:hAnsi="Times New Roman" w:eastAsia="宋体" w:cs="Times New Roman"/>
          <w:b/>
          <w:bCs/>
          <w:color w:val="auto"/>
          <w:sz w:val="24"/>
          <w:szCs w:val="24"/>
          <w:highlight w:val="none"/>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54" w:name="_Toc7377"/>
      <w:r>
        <w:rPr>
          <w:rFonts w:hint="default" w:ascii="Times New Roman" w:hAnsi="Times New Roman" w:eastAsia="宋体" w:cs="Times New Roman"/>
          <w:b/>
          <w:bCs/>
          <w:color w:val="auto"/>
          <w:sz w:val="24"/>
          <w:szCs w:val="24"/>
          <w:highlight w:val="none"/>
        </w:rPr>
        <w:t>附图</w:t>
      </w:r>
      <w:r>
        <w:rPr>
          <w:rFonts w:hint="eastAsia" w:ascii="Times New Roman" w:hAnsi="Times New Roman"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 xml:space="preserve"> 平面布置</w:t>
      </w:r>
      <w:r>
        <w:rPr>
          <w:rFonts w:hint="eastAsia" w:ascii="Times New Roman" w:hAnsi="Times New Roman" w:eastAsia="宋体" w:cs="Times New Roman"/>
          <w:b/>
          <w:bCs/>
          <w:color w:val="auto"/>
          <w:sz w:val="24"/>
          <w:szCs w:val="24"/>
          <w:highlight w:val="none"/>
          <w:lang w:eastAsia="zh-CN"/>
        </w:rPr>
        <w:t>图</w:t>
      </w:r>
      <w:bookmarkEnd w:id="54"/>
    </w:p>
    <w:p w14:paraId="0B7FC0D0">
      <w:pPr>
        <w:pStyle w:val="18"/>
        <w:numPr>
          <w:ilvl w:val="0"/>
          <w:numId w:val="0"/>
        </w:numPr>
        <w:jc w:val="center"/>
        <w:rPr>
          <w:rFonts w:hint="eastAsia" w:ascii="Times New Roman" w:hAnsi="Times New Roman" w:eastAsia="宋体"/>
          <w:color w:val="auto"/>
          <w:highlight w:val="none"/>
          <w:lang w:eastAsia="zh-CN"/>
        </w:rPr>
      </w:pPr>
      <w:r>
        <w:rPr>
          <w:rFonts w:hint="default" w:ascii="Times New Roman" w:hAnsi="Times New Roman" w:eastAsia="宋体" w:cs="Times New Roman"/>
          <w:color w:val="auto"/>
          <w:highlight w:val="none"/>
        </w:rPr>
        <w:drawing>
          <wp:anchor distT="0" distB="0" distL="0" distR="0" simplePos="0" relativeHeight="251664384" behindDoc="0" locked="0" layoutInCell="1" allowOverlap="1">
            <wp:simplePos x="0" y="0"/>
            <wp:positionH relativeFrom="column">
              <wp:posOffset>8076565</wp:posOffset>
            </wp:positionH>
            <wp:positionV relativeFrom="paragraph">
              <wp:posOffset>-1905</wp:posOffset>
            </wp:positionV>
            <wp:extent cx="429895" cy="574040"/>
            <wp:effectExtent l="12700" t="12700" r="14605" b="22860"/>
            <wp:wrapNone/>
            <wp:docPr id="1041" name="图片 168" descr="指北针"/>
            <wp:cNvGraphicFramePr/>
            <a:graphic xmlns:a="http://schemas.openxmlformats.org/drawingml/2006/main">
              <a:graphicData uri="http://schemas.openxmlformats.org/drawingml/2006/picture">
                <pic:pic xmlns:pic="http://schemas.openxmlformats.org/drawingml/2006/picture">
                  <pic:nvPicPr>
                    <pic:cNvPr id="1041" name="图片 168" descr="指北针"/>
                    <pic:cNvPicPr/>
                  </pic:nvPicPr>
                  <pic:blipFill>
                    <a:blip r:embed="rId38" cstate="print"/>
                    <a:srcRect/>
                    <a:stretch>
                      <a:fillRect/>
                    </a:stretch>
                  </pic:blipFill>
                  <pic:spPr>
                    <a:xfrm>
                      <a:off x="0" y="0"/>
                      <a:ext cx="429895" cy="574040"/>
                    </a:xfrm>
                    <a:prstGeom prst="rect">
                      <a:avLst/>
                    </a:prstGeom>
                    <a:ln w="12700" cap="flat" cmpd="sng">
                      <a:solidFill>
                        <a:srgbClr val="000000"/>
                      </a:solidFill>
                      <a:prstDash val="solid"/>
                      <a:round/>
                    </a:ln>
                  </pic:spPr>
                </pic:pic>
              </a:graphicData>
            </a:graphic>
          </wp:anchor>
        </w:drawing>
      </w:r>
      <w:r>
        <w:rPr>
          <w:rFonts w:ascii="Times New Roman" w:hAnsi="Times New Roman"/>
          <w:color w:val="auto"/>
          <w:sz w:val="21"/>
        </w:rPr>
        <mc:AlternateContent>
          <mc:Choice Requires="wpg">
            <w:drawing>
              <wp:anchor distT="0" distB="0" distL="114300" distR="114300" simplePos="0" relativeHeight="251667456" behindDoc="0" locked="0" layoutInCell="1" allowOverlap="1">
                <wp:simplePos x="0" y="0"/>
                <wp:positionH relativeFrom="column">
                  <wp:posOffset>9525</wp:posOffset>
                </wp:positionH>
                <wp:positionV relativeFrom="paragraph">
                  <wp:posOffset>4188460</wp:posOffset>
                </wp:positionV>
                <wp:extent cx="1360170" cy="895985"/>
                <wp:effectExtent l="4445" t="4445" r="6985" b="13970"/>
                <wp:wrapNone/>
                <wp:docPr id="30" name="组合 30"/>
                <wp:cNvGraphicFramePr/>
                <a:graphic xmlns:a="http://schemas.openxmlformats.org/drawingml/2006/main">
                  <a:graphicData uri="http://schemas.microsoft.com/office/word/2010/wordprocessingGroup">
                    <wpg:wgp>
                      <wpg:cNvGrpSpPr/>
                      <wpg:grpSpPr>
                        <a:xfrm>
                          <a:off x="0" y="0"/>
                          <a:ext cx="1360170" cy="895985"/>
                          <a:chOff x="5153" y="891965"/>
                          <a:chExt cx="2142" cy="1411"/>
                        </a:xfrm>
                      </wpg:grpSpPr>
                      <wps:wsp>
                        <wps:cNvPr id="45" name="文本框 36"/>
                        <wps:cNvSpPr txBox="1"/>
                        <wps:spPr>
                          <a:xfrm>
                            <a:off x="5153" y="891965"/>
                            <a:ext cx="2142" cy="141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A50BC11">
                              <w:pPr>
                                <w:ind w:firstLine="1054" w:firstLineChars="500"/>
                                <w:jc w:val="both"/>
                                <w:rPr>
                                  <w:rFonts w:hint="eastAsia"/>
                                  <w:b/>
                                  <w:bCs/>
                                  <w:sz w:val="21"/>
                                  <w:szCs w:val="21"/>
                                  <w:lang w:eastAsia="zh-CN"/>
                                </w:rPr>
                              </w:pPr>
                              <w:r>
                                <w:rPr>
                                  <w:rFonts w:hint="eastAsia"/>
                                  <w:b/>
                                  <w:bCs/>
                                  <w:sz w:val="21"/>
                                  <w:szCs w:val="21"/>
                                  <w:lang w:eastAsia="zh-CN"/>
                                </w:rPr>
                                <w:t>图</w:t>
                              </w:r>
                              <w:r>
                                <w:rPr>
                                  <w:rFonts w:hint="eastAsia"/>
                                  <w:b/>
                                  <w:bCs/>
                                  <w:sz w:val="21"/>
                                  <w:szCs w:val="21"/>
                                  <w:lang w:val="en-US" w:eastAsia="zh-CN"/>
                                </w:rPr>
                                <w:t xml:space="preserve"> </w:t>
                              </w:r>
                              <w:r>
                                <w:rPr>
                                  <w:rFonts w:hint="eastAsia"/>
                                  <w:b/>
                                  <w:bCs/>
                                  <w:sz w:val="21"/>
                                  <w:szCs w:val="21"/>
                                  <w:lang w:eastAsia="zh-CN"/>
                                </w:rPr>
                                <w:t>例</w:t>
                              </w:r>
                            </w:p>
                            <w:p w14:paraId="71A9A90F">
                              <w:pPr>
                                <w:ind w:firstLine="420" w:firstLineChars="200"/>
                                <w:rPr>
                                  <w:rFonts w:hint="eastAsia"/>
                                  <w:sz w:val="18"/>
                                  <w:szCs w:val="18"/>
                                  <w:lang w:val="en-US" w:eastAsia="zh-CN"/>
                                </w:rPr>
                              </w:pPr>
                              <w:r>
                                <w:rPr>
                                  <w:rFonts w:hint="eastAsia"/>
                                  <w:sz w:val="21"/>
                                  <w:szCs w:val="21"/>
                                  <w:lang w:eastAsia="zh-CN"/>
                                </w:rPr>
                                <w:t>本项目位置</w:t>
                              </w:r>
                              <w:r>
                                <w:rPr>
                                  <w:rFonts w:hint="eastAsia"/>
                                  <w:sz w:val="18"/>
                                  <w:szCs w:val="18"/>
                                  <w:lang w:val="en-US" w:eastAsia="zh-CN"/>
                                </w:rPr>
                                <w:t xml:space="preserve">  </w:t>
                              </w:r>
                            </w:p>
                            <w:p w14:paraId="271931A0">
                              <w:pPr>
                                <w:ind w:firstLine="420" w:firstLineChars="200"/>
                                <w:rPr>
                                  <w:rFonts w:hint="eastAsia" w:ascii="宋体" w:hAnsi="宋体" w:eastAsia="宋体" w:cs="宋体"/>
                                  <w:kern w:val="2"/>
                                  <w:sz w:val="21"/>
                                  <w:szCs w:val="24"/>
                                  <w:lang w:val="en-US" w:eastAsia="zh-CN" w:bidi="ar-SA"/>
                                </w:rPr>
                              </w:pPr>
                              <w:r>
                                <w:rPr>
                                  <w:rFonts w:hint="eastAsia" w:ascii="宋体" w:hAnsi="宋体" w:cs="宋体"/>
                                  <w:lang w:val="en-US" w:eastAsia="zh-CN"/>
                                </w:rPr>
                                <w:t>噪声监测点位</w:t>
                              </w:r>
                            </w:p>
                            <w:p w14:paraId="095E4C04">
                              <w:pPr>
                                <w:pStyle w:val="12"/>
                                <w:keepNext w:val="0"/>
                                <w:keepLines w:val="0"/>
                                <w:pageBreakBefore w:val="0"/>
                                <w:widowControl/>
                                <w:kinsoku/>
                                <w:wordWrap/>
                                <w:overflowPunct/>
                                <w:topLinePunct w:val="0"/>
                                <w:autoSpaceDE/>
                                <w:autoSpaceDN/>
                                <w:bidi w:val="0"/>
                                <w:adjustRightInd/>
                                <w:snapToGrid w:val="0"/>
                                <w:spacing w:before="0" w:after="0" w:line="260" w:lineRule="auto"/>
                                <w:ind w:right="113" w:firstLine="420" w:firstLineChars="200"/>
                                <w:textAlignment w:val="auto"/>
                                <w:rPr>
                                  <w:rFonts w:hint="default" w:ascii="宋体" w:hAnsi="宋体" w:eastAsia="宋体" w:cs="宋体"/>
                                  <w:kern w:val="2"/>
                                  <w:sz w:val="21"/>
                                  <w:szCs w:val="24"/>
                                  <w:lang w:val="en-US" w:eastAsia="zh-CN" w:bidi="ar-SA"/>
                                </w:rPr>
                              </w:pPr>
                              <w:r>
                                <w:rPr>
                                  <w:rFonts w:hint="eastAsia" w:ascii="宋体" w:hAnsi="宋体" w:eastAsia="宋体" w:cs="宋体"/>
                                  <w:kern w:val="2"/>
                                  <w:sz w:val="21"/>
                                  <w:szCs w:val="24"/>
                                  <w:lang w:val="en-US" w:eastAsia="zh-CN" w:bidi="ar-SA"/>
                                </w:rPr>
                                <w:t>大气监测点位</w:t>
                              </w:r>
                            </w:p>
                          </w:txbxContent>
                        </wps:txbx>
                        <wps:bodyPr vert="horz" wrap="square" anchor="t" anchorCtr="0" upright="1"/>
                      </wps:wsp>
                      <wps:wsp>
                        <wps:cNvPr id="46" name="矩形 37"/>
                        <wps:cNvSpPr/>
                        <wps:spPr>
                          <a:xfrm>
                            <a:off x="5394" y="892346"/>
                            <a:ext cx="210" cy="165"/>
                          </a:xfrm>
                          <a:prstGeom prst="rect">
                            <a:avLst/>
                          </a:prstGeom>
                          <a:noFill/>
                          <a:ln w="9525" cap="flat" cmpd="sng">
                            <a:solidFill>
                              <a:srgbClr val="FF0000"/>
                            </a:solidFill>
                            <a:prstDash val="solid"/>
                            <a:miter/>
                            <a:headEnd type="none" w="med" len="med"/>
                            <a:tailEnd type="none" w="med" len="med"/>
                          </a:ln>
                        </wps:spPr>
                        <wps:txbx>
                          <w:txbxContent>
                            <w:p w14:paraId="7CA14B92">
                              <w:pPr>
                                <w:jc w:val="center"/>
                              </w:pPr>
                            </w:p>
                          </w:txbxContent>
                        </wps:txbx>
                        <wps:bodyPr wrap="square" upright="1"/>
                      </wps:wsp>
                      <pic:pic xmlns:pic="http://schemas.openxmlformats.org/drawingml/2006/picture">
                        <pic:nvPicPr>
                          <pic:cNvPr id="28" name="图片 28" descr="1658456031235"/>
                          <pic:cNvPicPr>
                            <a:picLocks noChangeAspect="1"/>
                          </pic:cNvPicPr>
                        </pic:nvPicPr>
                        <pic:blipFill>
                          <a:blip r:embed="rId45"/>
                          <a:srcRect b="7407"/>
                          <a:stretch>
                            <a:fillRect/>
                          </a:stretch>
                        </pic:blipFill>
                        <pic:spPr>
                          <a:xfrm>
                            <a:off x="5400" y="892575"/>
                            <a:ext cx="238" cy="273"/>
                          </a:xfrm>
                          <a:prstGeom prst="rect">
                            <a:avLst/>
                          </a:prstGeom>
                        </pic:spPr>
                      </pic:pic>
                      <pic:pic xmlns:pic="http://schemas.openxmlformats.org/drawingml/2006/picture">
                        <pic:nvPicPr>
                          <pic:cNvPr id="29" name="图片 29" descr="1658456042186"/>
                          <pic:cNvPicPr>
                            <a:picLocks noChangeAspect="1"/>
                          </pic:cNvPicPr>
                        </pic:nvPicPr>
                        <pic:blipFill>
                          <a:blip r:embed="rId46"/>
                          <a:stretch>
                            <a:fillRect/>
                          </a:stretch>
                        </pic:blipFill>
                        <pic:spPr>
                          <a:xfrm>
                            <a:off x="5370" y="892865"/>
                            <a:ext cx="278" cy="247"/>
                          </a:xfrm>
                          <a:prstGeom prst="rect">
                            <a:avLst/>
                          </a:prstGeom>
                        </pic:spPr>
                      </pic:pic>
                    </wpg:wgp>
                  </a:graphicData>
                </a:graphic>
              </wp:anchor>
            </w:drawing>
          </mc:Choice>
          <mc:Fallback>
            <w:pict>
              <v:group id="_x0000_s1026" o:spid="_x0000_s1026" o:spt="203" style="position:absolute;left:0pt;margin-left:0.75pt;margin-top:329.8pt;height:70.55pt;width:107.1pt;z-index:251667456;mso-width-relative:page;mso-height-relative:page;" coordorigin="5153,891965" coordsize="2142,1411" o:gfxdata="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">
                <o:lock v:ext="edit" aspectratio="f"/>
                <v:shape id="文本框 36" o:spid="_x0000_s1026" o:spt="202" type="#_x0000_t202" style="position:absolute;left:5153;top:891965;height:1411;width:2142;" fillcolor="#FFFFFF" filled="t" stroked="t" coordsize="21600,21600" o:gfxdata="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oBTX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3A50BC11">
                        <w:pPr>
                          <w:ind w:firstLine="1054" w:firstLineChars="500"/>
                          <w:jc w:val="both"/>
                          <w:rPr>
                            <w:rFonts w:hint="eastAsia"/>
                            <w:b/>
                            <w:bCs/>
                            <w:sz w:val="21"/>
                            <w:szCs w:val="21"/>
                            <w:lang w:eastAsia="zh-CN"/>
                          </w:rPr>
                        </w:pPr>
                        <w:r>
                          <w:rPr>
                            <w:rFonts w:hint="eastAsia"/>
                            <w:b/>
                            <w:bCs/>
                            <w:sz w:val="21"/>
                            <w:szCs w:val="21"/>
                            <w:lang w:eastAsia="zh-CN"/>
                          </w:rPr>
                          <w:t>图</w:t>
                        </w:r>
                        <w:r>
                          <w:rPr>
                            <w:rFonts w:hint="eastAsia"/>
                            <w:b/>
                            <w:bCs/>
                            <w:sz w:val="21"/>
                            <w:szCs w:val="21"/>
                            <w:lang w:val="en-US" w:eastAsia="zh-CN"/>
                          </w:rPr>
                          <w:t xml:space="preserve"> </w:t>
                        </w:r>
                        <w:r>
                          <w:rPr>
                            <w:rFonts w:hint="eastAsia"/>
                            <w:b/>
                            <w:bCs/>
                            <w:sz w:val="21"/>
                            <w:szCs w:val="21"/>
                            <w:lang w:eastAsia="zh-CN"/>
                          </w:rPr>
                          <w:t>例</w:t>
                        </w:r>
                      </w:p>
                      <w:p w14:paraId="71A9A90F">
                        <w:pPr>
                          <w:ind w:firstLine="420" w:firstLineChars="200"/>
                          <w:rPr>
                            <w:rFonts w:hint="eastAsia"/>
                            <w:sz w:val="18"/>
                            <w:szCs w:val="18"/>
                            <w:lang w:val="en-US" w:eastAsia="zh-CN"/>
                          </w:rPr>
                        </w:pPr>
                        <w:r>
                          <w:rPr>
                            <w:rFonts w:hint="eastAsia"/>
                            <w:sz w:val="21"/>
                            <w:szCs w:val="21"/>
                            <w:lang w:eastAsia="zh-CN"/>
                          </w:rPr>
                          <w:t>本项目位置</w:t>
                        </w:r>
                        <w:r>
                          <w:rPr>
                            <w:rFonts w:hint="eastAsia"/>
                            <w:sz w:val="18"/>
                            <w:szCs w:val="18"/>
                            <w:lang w:val="en-US" w:eastAsia="zh-CN"/>
                          </w:rPr>
                          <w:t xml:space="preserve">  </w:t>
                        </w:r>
                      </w:p>
                      <w:p w14:paraId="271931A0">
                        <w:pPr>
                          <w:ind w:firstLine="420" w:firstLineChars="200"/>
                          <w:rPr>
                            <w:rFonts w:hint="eastAsia" w:ascii="宋体" w:hAnsi="宋体" w:eastAsia="宋体" w:cs="宋体"/>
                            <w:kern w:val="2"/>
                            <w:sz w:val="21"/>
                            <w:szCs w:val="24"/>
                            <w:lang w:val="en-US" w:eastAsia="zh-CN" w:bidi="ar-SA"/>
                          </w:rPr>
                        </w:pPr>
                        <w:r>
                          <w:rPr>
                            <w:rFonts w:hint="eastAsia" w:ascii="宋体" w:hAnsi="宋体" w:cs="宋体"/>
                            <w:lang w:val="en-US" w:eastAsia="zh-CN"/>
                          </w:rPr>
                          <w:t>噪声监测点位</w:t>
                        </w:r>
                      </w:p>
                      <w:p w14:paraId="095E4C04">
                        <w:pPr>
                          <w:pStyle w:val="12"/>
                          <w:keepNext w:val="0"/>
                          <w:keepLines w:val="0"/>
                          <w:pageBreakBefore w:val="0"/>
                          <w:widowControl/>
                          <w:kinsoku/>
                          <w:wordWrap/>
                          <w:overflowPunct/>
                          <w:topLinePunct w:val="0"/>
                          <w:autoSpaceDE/>
                          <w:autoSpaceDN/>
                          <w:bidi w:val="0"/>
                          <w:adjustRightInd/>
                          <w:snapToGrid w:val="0"/>
                          <w:spacing w:before="0" w:after="0" w:line="260" w:lineRule="auto"/>
                          <w:ind w:right="113" w:firstLine="420" w:firstLineChars="200"/>
                          <w:textAlignment w:val="auto"/>
                          <w:rPr>
                            <w:rFonts w:hint="default" w:ascii="宋体" w:hAnsi="宋体" w:eastAsia="宋体" w:cs="宋体"/>
                            <w:kern w:val="2"/>
                            <w:sz w:val="21"/>
                            <w:szCs w:val="24"/>
                            <w:lang w:val="en-US" w:eastAsia="zh-CN" w:bidi="ar-SA"/>
                          </w:rPr>
                        </w:pPr>
                        <w:r>
                          <w:rPr>
                            <w:rFonts w:hint="eastAsia" w:ascii="宋体" w:hAnsi="宋体" w:eastAsia="宋体" w:cs="宋体"/>
                            <w:kern w:val="2"/>
                            <w:sz w:val="21"/>
                            <w:szCs w:val="24"/>
                            <w:lang w:val="en-US" w:eastAsia="zh-CN" w:bidi="ar-SA"/>
                          </w:rPr>
                          <w:t>大气监测点位</w:t>
                        </w:r>
                      </w:p>
                    </w:txbxContent>
                  </v:textbox>
                </v:shape>
                <v:rect id="矩形 37" o:spid="_x0000_s1026" o:spt="1" style="position:absolute;left:5394;top:892346;height:165;width:210;" filled="f" stroked="t" coordsize="21600,21600" o:gfxdata="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qIJh74A&#10;AADbAAAADwAAAAAAAAABACAAAAAiAAAAZHJzL2Rvd25yZXYueG1sUEsBAhQAFAAAAAgAh07iQDMv&#10;BZ47AAAAOQAAABAAAAAAAAAAAQAgAAAADQEAAGRycy9zaGFwZXhtbC54bWxQSwUGAAAAAAYABgBb&#10;AQAAtwMAAAAA&#10;">
                  <v:fill on="f" focussize="0,0"/>
                  <v:stroke color="#FF0000" joinstyle="miter"/>
                  <v:imagedata o:title=""/>
                  <o:lock v:ext="edit" aspectratio="f"/>
                  <v:textbox>
                    <w:txbxContent>
                      <w:p w14:paraId="7CA14B92">
                        <w:pPr>
                          <w:jc w:val="center"/>
                        </w:pPr>
                      </w:p>
                    </w:txbxContent>
                  </v:textbox>
                </v:rect>
                <v:shape id="_x0000_s1026" o:spid="_x0000_s1026" o:spt="75" alt="1658456031235" type="#_x0000_t75" style="position:absolute;left:5400;top:892575;height:273;width:238;" filled="f" o:preferrelative="t" stroked="f" coordsize="21600,21600" o:gfxdata="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2GArrsAAADb&#10;AAAADwAAAAAAAAABACAAAAAiAAAAZHJzL2Rvd25yZXYueG1sUEsBAhQAFAAAAAgAh07iQDMvBZ47&#10;AAAAOQAAABAAAAAAAAAAAQAgAAAACgEAAGRycy9zaGFwZXhtbC54bWxQSwUGAAAAAAYABgBbAQAA&#10;tAMAAAAA&#10;">
                  <v:fill on="f" focussize="0,0"/>
                  <v:stroke on="f"/>
                  <v:imagedata r:id="rId45" cropbottom="4854f" o:title=""/>
                  <o:lock v:ext="edit" aspectratio="t"/>
                </v:shape>
                <v:shape id="_x0000_s1026" o:spid="_x0000_s1026" o:spt="75" alt="1658456042186" type="#_x0000_t75" style="position:absolute;left:5370;top:892865;height:247;width:278;" filled="f" o:preferrelative="t" stroked="f" coordsize="21600,21600" o:gfxdata="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WxEmvQAA&#10;ANsAAAAPAAAAAAAAAAEAIAAAACIAAABkcnMvZG93bnJldi54bWxQSwECFAAUAAAACACHTuJAMy8F&#10;njsAAAA5AAAAEAAAAAAAAAABACAAAAAMAQAAZHJzL3NoYXBleG1sLnhtbFBLBQYAAAAABgAGAFsB&#10;AAC2AwAAAAA=&#10;">
                  <v:fill on="f" focussize="0,0"/>
                  <v:stroke on="f"/>
                  <v:imagedata r:id="rId46" o:title=""/>
                  <o:lock v:ext="edit" aspectratio="t"/>
                </v:shape>
              </v:group>
            </w:pict>
          </mc:Fallback>
        </mc:AlternateContent>
      </w:r>
      <w:r>
        <w:rPr>
          <w:color w:val="auto"/>
        </w:rPr>
        <w:drawing>
          <wp:inline distT="0" distB="0" distL="114300" distR="114300">
            <wp:extent cx="8494395" cy="5068570"/>
            <wp:effectExtent l="0" t="0" r="1905" b="1778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47"/>
                    <a:stretch>
                      <a:fillRect/>
                    </a:stretch>
                  </pic:blipFill>
                  <pic:spPr>
                    <a:xfrm>
                      <a:off x="0" y="0"/>
                      <a:ext cx="8494395" cy="5068570"/>
                    </a:xfrm>
                    <a:prstGeom prst="rect">
                      <a:avLst/>
                    </a:prstGeom>
                    <a:noFill/>
                    <a:ln>
                      <a:noFill/>
                    </a:ln>
                  </pic:spPr>
                </pic:pic>
              </a:graphicData>
            </a:graphic>
          </wp:inline>
        </w:drawing>
      </w:r>
    </w:p>
    <w:p w14:paraId="26E331CB">
      <w:pPr>
        <w:pStyle w:val="12"/>
        <w:jc w:val="center"/>
        <w:outlineLvl w:val="0"/>
        <w:rPr>
          <w:rFonts w:hint="default" w:ascii="Times New Roman" w:hAnsi="Times New Roman" w:eastAsia="宋体" w:cs="Times New Roman"/>
          <w:b/>
          <w:bCs/>
          <w:color w:val="auto"/>
          <w:sz w:val="24"/>
          <w:szCs w:val="24"/>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55" w:name="_Toc257"/>
      <w:r>
        <w:rPr>
          <w:rFonts w:hint="default" w:ascii="Times New Roman" w:hAnsi="Times New Roman" w:eastAsia="宋体" w:cs="Times New Roman"/>
          <w:b/>
          <w:bCs/>
          <w:color w:val="auto"/>
          <w:sz w:val="24"/>
          <w:szCs w:val="24"/>
          <w:highlight w:val="none"/>
        </w:rPr>
        <w:t>附图</w:t>
      </w:r>
      <w:r>
        <w:rPr>
          <w:rFonts w:hint="eastAsia" w:ascii="Times New Roman" w:hAnsi="Times New Roman"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rPr>
        <w:t xml:space="preserve"> </w:t>
      </w:r>
      <w:r>
        <w:rPr>
          <w:rFonts w:hint="default" w:ascii="Times New Roman" w:hAnsi="Times New Roman" w:eastAsia="宋体" w:cs="Times New Roman"/>
          <w:b/>
          <w:bCs/>
          <w:color w:val="auto"/>
          <w:sz w:val="24"/>
          <w:szCs w:val="24"/>
          <w:highlight w:val="none"/>
          <w:lang w:val="en-US" w:eastAsia="zh-CN"/>
        </w:rPr>
        <w:t>监测点位图</w:t>
      </w:r>
      <w:bookmarkEnd w:id="55"/>
    </w:p>
    <w:p w14:paraId="35C32FD2">
      <w:pPr>
        <w:pStyle w:val="18"/>
        <w:numPr>
          <w:ilvl w:val="0"/>
          <w:numId w:val="0"/>
        </w:numPr>
        <w:jc w:val="center"/>
        <w:rPr>
          <w:rFonts w:hint="eastAsia" w:ascii="Times New Roman" w:hAnsi="Times New Roman" w:eastAsia="宋体"/>
          <w:color w:val="auto"/>
          <w:highlight w:val="none"/>
          <w:lang w:eastAsia="zh-CN"/>
        </w:rPr>
      </w:pP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73660</wp:posOffset>
                </wp:positionH>
                <wp:positionV relativeFrom="paragraph">
                  <wp:posOffset>5092700</wp:posOffset>
                </wp:positionV>
                <wp:extent cx="133350" cy="104775"/>
                <wp:effectExtent l="5080" t="4445" r="13970" b="5080"/>
                <wp:wrapNone/>
                <wp:docPr id="84" name="矩形 29"/>
                <wp:cNvGraphicFramePr/>
                <a:graphic xmlns:a="http://schemas.openxmlformats.org/drawingml/2006/main">
                  <a:graphicData uri="http://schemas.microsoft.com/office/word/2010/wordprocessingShape">
                    <wps:wsp>
                      <wps:cNvSpPr/>
                      <wps:spPr>
                        <a:xfrm>
                          <a:off x="3357245" y="5493385"/>
                          <a:ext cx="133350" cy="104775"/>
                        </a:xfrm>
                        <a:prstGeom prst="rect">
                          <a:avLst/>
                        </a:prstGeom>
                        <a:noFill/>
                        <a:ln w="9525" cap="flat" cmpd="sng">
                          <a:solidFill>
                            <a:schemeClr val="accent6"/>
                          </a:solidFill>
                          <a:prstDash val="solid"/>
                          <a:miter/>
                          <a:headEnd type="none" w="med" len="med"/>
                          <a:tailEnd type="none" w="med" len="med"/>
                        </a:ln>
                      </wps:spPr>
                      <wps:txbx>
                        <w:txbxContent>
                          <w:p w14:paraId="03A0DFC6">
                            <w:pPr>
                              <w:jc w:val="center"/>
                            </w:pPr>
                          </w:p>
                        </w:txbxContent>
                      </wps:txbx>
                      <wps:bodyPr vert="horz" wrap="square" anchor="t" anchorCtr="0" upright="1"/>
                    </wps:wsp>
                  </a:graphicData>
                </a:graphic>
              </wp:anchor>
            </w:drawing>
          </mc:Choice>
          <mc:Fallback>
            <w:pict>
              <v:rect id="矩形 29" o:spid="_x0000_s1026" o:spt="1" style="position:absolute;left:0pt;margin-left:5.8pt;margin-top:401pt;height:8.25pt;width:10.5pt;z-index:251683840;mso-width-relative:page;mso-height-relative:page;" filled="f" stroked="t" coordsize="21600,21600" o:gfxdata="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cPhqIdYAAAAJAQAADwAAAAAAAAABACAAAAAiAAAAZHJzL2Rvd25yZXYueG1sUEsBAhQAFAAA&#10;AAgAh07iQIM/En8qAgAAQAQAAA4AAAAAAAAAAQAgAAAAJQEAAGRycy9lMm9Eb2MueG1sUEsFBgAA&#10;AAAGAAYAWQEAAMEFAAAAAA==&#10;">
                <v:fill on="f" focussize="0,0"/>
                <v:stroke color="#F79646 [3209]" joinstyle="miter"/>
                <v:imagedata o:title=""/>
                <o:lock v:ext="edit" aspectratio="f"/>
                <v:textbox>
                  <w:txbxContent>
                    <w:p w14:paraId="03A0DFC6">
                      <w:pPr>
                        <w:jc w:val="center"/>
                      </w:pPr>
                    </w:p>
                  </w:txbxContent>
                </v:textbox>
              </v:rect>
            </w:pict>
          </mc:Fallback>
        </mc:AlternateContent>
      </w:r>
      <w:r>
        <w:rPr>
          <w:rFonts w:ascii="Times New Roman" w:hAnsi="Times New Roman"/>
          <w:color w:val="auto"/>
          <w:sz w:val="21"/>
        </w:rPr>
        <mc:AlternateContent>
          <mc:Choice Requires="wpg">
            <w:drawing>
              <wp:anchor distT="0" distB="0" distL="114300" distR="114300" simplePos="0" relativeHeight="251670528" behindDoc="0" locked="0" layoutInCell="1" allowOverlap="1">
                <wp:simplePos x="0" y="0"/>
                <wp:positionH relativeFrom="column">
                  <wp:posOffset>60960</wp:posOffset>
                </wp:positionH>
                <wp:positionV relativeFrom="paragraph">
                  <wp:posOffset>4777105</wp:posOffset>
                </wp:positionV>
                <wp:extent cx="133350" cy="257175"/>
                <wp:effectExtent l="5080" t="4445" r="8255" b="5080"/>
                <wp:wrapNone/>
                <wp:docPr id="33" name="组合 33"/>
                <wp:cNvGraphicFramePr/>
                <a:graphic xmlns:a="http://schemas.openxmlformats.org/drawingml/2006/main">
                  <a:graphicData uri="http://schemas.microsoft.com/office/word/2010/wordprocessingGroup">
                    <wpg:wgp>
                      <wpg:cNvGrpSpPr/>
                      <wpg:grpSpPr>
                        <a:xfrm>
                          <a:off x="0" y="0"/>
                          <a:ext cx="133350" cy="257175"/>
                          <a:chOff x="2297" y="881882"/>
                          <a:chExt cx="210" cy="405"/>
                        </a:xfrm>
                      </wpg:grpSpPr>
                      <wps:wsp>
                        <wps:cNvPr id="23" name="矩形 27"/>
                        <wps:cNvSpPr/>
                        <wps:spPr>
                          <a:xfrm>
                            <a:off x="2297" y="881882"/>
                            <a:ext cx="210" cy="165"/>
                          </a:xfrm>
                          <a:prstGeom prst="rect">
                            <a:avLst/>
                          </a:prstGeom>
                          <a:noFill/>
                          <a:ln w="9525" cap="flat" cmpd="sng">
                            <a:solidFill>
                              <a:srgbClr val="FF0000"/>
                            </a:solidFill>
                            <a:prstDash val="solid"/>
                            <a:miter/>
                            <a:headEnd type="none" w="med" len="med"/>
                            <a:tailEnd type="none" w="med" len="med"/>
                          </a:ln>
                        </wps:spPr>
                        <wps:txbx>
                          <w:txbxContent>
                            <w:p w14:paraId="5ABE7216">
                              <w:pPr>
                                <w:jc w:val="center"/>
                              </w:pPr>
                            </w:p>
                          </w:txbxContent>
                        </wps:txbx>
                        <wps:bodyPr vert="horz" wrap="square" anchor="t" anchorCtr="0" upright="1"/>
                      </wps:wsp>
                      <wps:wsp>
                        <wps:cNvPr id="18" name="矩形 29"/>
                        <wps:cNvSpPr/>
                        <wps:spPr>
                          <a:xfrm>
                            <a:off x="2297" y="882122"/>
                            <a:ext cx="210" cy="165"/>
                          </a:xfrm>
                          <a:prstGeom prst="rect">
                            <a:avLst/>
                          </a:prstGeom>
                          <a:noFill/>
                          <a:ln w="9525" cap="flat" cmpd="sng">
                            <a:solidFill>
                              <a:srgbClr val="00B050"/>
                            </a:solidFill>
                            <a:prstDash val="solid"/>
                            <a:miter/>
                            <a:headEnd type="none" w="med" len="med"/>
                            <a:tailEnd type="none" w="med" len="med"/>
                          </a:ln>
                        </wps:spPr>
                        <wps:txbx>
                          <w:txbxContent>
                            <w:p w14:paraId="395768E8">
                              <w:pPr>
                                <w:jc w:val="center"/>
                              </w:pPr>
                            </w:p>
                          </w:txbxContent>
                        </wps:txbx>
                        <wps:bodyPr vert="horz" wrap="square" anchor="t" anchorCtr="0" upright="1"/>
                      </wps:wsp>
                    </wpg:wgp>
                  </a:graphicData>
                </a:graphic>
              </wp:anchor>
            </w:drawing>
          </mc:Choice>
          <mc:Fallback>
            <w:pict>
              <v:group id="_x0000_s1026" o:spid="_x0000_s1026" o:spt="203" style="position:absolute;left:0pt;margin-left:4.8pt;margin-top:376.15pt;height:20.25pt;width:10.5pt;z-index:251670528;mso-width-relative:page;mso-height-relative:page;" coordorigin="2297,881882" coordsize="210,405" o:gfxdata="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BcJ8PC2AAAAAgBAAAPAAAAAAAAAAEAIAAA&#10;ACIAAABkcnMvZG93bnJldi54bWxQSwECFAAUAAAACACHTuJAwTeuKLcCAAC/BwAADgAAAAAAAAAB&#10;ACAAAAAnAQAAZHJzL2Uyb0RvYy54bWxQSwUGAAAAAAYABgBZAQAAUAYAAAAA&#10;">
                <o:lock v:ext="edit" aspectratio="f"/>
                <v:rect id="矩形 27" o:spid="_x0000_s1026" o:spt="1" style="position:absolute;left:2297;top:881882;height:165;width:210;" filled="f" stroked="t" coordsize="21600,21600" o:gfxdata="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wpPv74A&#10;AADbAAAADwAAAAAAAAABACAAAAAiAAAAZHJzL2Rvd25yZXYueG1sUEsBAhQAFAAAAAgAh07iQDMv&#10;BZ47AAAAOQAAABAAAAAAAAAAAQAgAAAADQEAAGRycy9zaGFwZXhtbC54bWxQSwUGAAAAAAYABgBb&#10;AQAAtwMAAAAA&#10;">
                  <v:fill on="f" focussize="0,0"/>
                  <v:stroke color="#FF0000" joinstyle="miter"/>
                  <v:imagedata o:title=""/>
                  <o:lock v:ext="edit" aspectratio="f"/>
                  <v:textbox>
                    <w:txbxContent>
                      <w:p w14:paraId="5ABE7216">
                        <w:pPr>
                          <w:jc w:val="center"/>
                        </w:pPr>
                      </w:p>
                    </w:txbxContent>
                  </v:textbox>
                </v:rect>
                <v:rect id="矩形 29" o:spid="_x0000_s1026" o:spt="1" style="position:absolute;left:2297;top:882122;height:165;width:210;" filled="f" stroked="t" coordsize="21600,21600" o:gfxdata="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qY90ugAAANsA&#10;AAAPAAAAAAAAAAEAIAAAACIAAABkcnMvZG93bnJldi54bWxQSwECFAAUAAAACACHTuJAMy8FnjsA&#10;AAA5AAAAEAAAAAAAAAABACAAAAAJAQAAZHJzL3NoYXBleG1sLnhtbFBLBQYAAAAABgAGAFsBAACz&#10;AwAAAAA=&#10;">
                  <v:fill on="f" focussize="0,0"/>
                  <v:stroke color="#00B050" joinstyle="miter"/>
                  <v:imagedata o:title=""/>
                  <o:lock v:ext="edit" aspectratio="f"/>
                  <v:textbox>
                    <w:txbxContent>
                      <w:p w14:paraId="395768E8">
                        <w:pPr>
                          <w:jc w:val="center"/>
                        </w:pPr>
                      </w:p>
                    </w:txbxContent>
                  </v:textbox>
                </v:rect>
              </v:group>
            </w:pict>
          </mc:Fallback>
        </mc:AlternateContent>
      </w:r>
      <w:r>
        <w:rPr>
          <w:rFonts w:ascii="Times New Roman" w:hAnsi="Times New Roman"/>
          <w:color w:val="auto"/>
          <w:sz w:val="21"/>
          <w:highlight w:val="none"/>
        </w:rPr>
        <mc:AlternateContent>
          <mc:Choice Requires="wps">
            <w:drawing>
              <wp:anchor distT="0" distB="0" distL="114300" distR="114300" simplePos="0" relativeHeight="251660288" behindDoc="0" locked="0" layoutInCell="1" allowOverlap="1">
                <wp:simplePos x="0" y="0"/>
                <wp:positionH relativeFrom="column">
                  <wp:posOffset>-3175</wp:posOffset>
                </wp:positionH>
                <wp:positionV relativeFrom="paragraph">
                  <wp:posOffset>4518660</wp:posOffset>
                </wp:positionV>
                <wp:extent cx="1238250" cy="810260"/>
                <wp:effectExtent l="4445" t="4445" r="14605" b="23495"/>
                <wp:wrapNone/>
                <wp:docPr id="35" name="文本框 26"/>
                <wp:cNvGraphicFramePr/>
                <a:graphic xmlns:a="http://schemas.openxmlformats.org/drawingml/2006/main">
                  <a:graphicData uri="http://schemas.microsoft.com/office/word/2010/wordprocessingShape">
                    <wps:wsp>
                      <wps:cNvSpPr txBox="1"/>
                      <wps:spPr>
                        <a:xfrm>
                          <a:off x="0" y="0"/>
                          <a:ext cx="1238250" cy="81026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042C865">
                            <w:pPr>
                              <w:ind w:firstLine="422" w:firstLineChars="200"/>
                              <w:rPr>
                                <w:rFonts w:hint="eastAsia"/>
                                <w:b/>
                                <w:bCs/>
                                <w:sz w:val="18"/>
                                <w:szCs w:val="18"/>
                                <w:lang w:eastAsia="zh-CN"/>
                              </w:rPr>
                            </w:pPr>
                            <w:r>
                              <w:rPr>
                                <w:rFonts w:hint="eastAsia"/>
                                <w:b/>
                                <w:bCs/>
                                <w:sz w:val="21"/>
                                <w:szCs w:val="21"/>
                                <w:lang w:eastAsia="zh-CN"/>
                              </w:rPr>
                              <w:t>图例</w:t>
                            </w:r>
                          </w:p>
                          <w:p w14:paraId="1CA9DCC5">
                            <w:pPr>
                              <w:pStyle w:val="23"/>
                              <w:ind w:left="0" w:leftChars="0" w:firstLine="180" w:firstLineChars="100"/>
                              <w:rPr>
                                <w:rFonts w:hint="eastAsia"/>
                                <w:sz w:val="18"/>
                                <w:szCs w:val="18"/>
                                <w:lang w:eastAsia="zh-CN"/>
                              </w:rPr>
                            </w:pPr>
                            <w:r>
                              <w:rPr>
                                <w:rFonts w:hint="eastAsia"/>
                                <w:sz w:val="18"/>
                                <w:szCs w:val="18"/>
                                <w:lang w:eastAsia="zh-CN"/>
                              </w:rPr>
                              <w:t>本项目位置</w:t>
                            </w:r>
                          </w:p>
                          <w:p w14:paraId="1A101460">
                            <w:pPr>
                              <w:ind w:left="320" w:hanging="360" w:hangingChars="200"/>
                              <w:jc w:val="left"/>
                              <w:rPr>
                                <w:rFonts w:hint="eastAsia"/>
                                <w:sz w:val="18"/>
                                <w:szCs w:val="18"/>
                                <w:lang w:val="en-US" w:eastAsia="zh-CN"/>
                              </w:rPr>
                            </w:pPr>
                            <w:r>
                              <w:rPr>
                                <w:rFonts w:hint="eastAsia"/>
                                <w:sz w:val="18"/>
                                <w:szCs w:val="18"/>
                                <w:lang w:val="en-US" w:eastAsia="zh-CN"/>
                              </w:rPr>
                              <w:t xml:space="preserve">  声环境评价范围</w:t>
                            </w:r>
                          </w:p>
                          <w:p w14:paraId="1B70A08C">
                            <w:pPr>
                              <w:pStyle w:val="23"/>
                              <w:ind w:left="180" w:leftChars="0" w:hanging="180" w:hangingChars="100"/>
                              <w:rPr>
                                <w:rFonts w:hint="eastAsia"/>
                                <w:sz w:val="18"/>
                                <w:szCs w:val="18"/>
                                <w:lang w:val="en-US" w:eastAsia="zh-CN"/>
                              </w:rPr>
                            </w:pPr>
                            <w:r>
                              <w:rPr>
                                <w:rFonts w:hint="eastAsia" w:ascii="Times New Roman" w:hAnsi="Times New Roman" w:eastAsia="宋体" w:cs="Times New Roman"/>
                                <w:kern w:val="2"/>
                                <w:sz w:val="18"/>
                                <w:szCs w:val="18"/>
                                <w:lang w:val="en-US" w:eastAsia="zh-CN" w:bidi="ar-SA"/>
                              </w:rPr>
                              <w:t xml:space="preserve">  </w:t>
                            </w:r>
                            <w:r>
                              <w:rPr>
                                <w:rFonts w:hint="eastAsia" w:cs="Times New Roman"/>
                                <w:kern w:val="2"/>
                                <w:sz w:val="18"/>
                                <w:szCs w:val="18"/>
                                <w:lang w:val="en-US" w:eastAsia="zh-CN" w:bidi="ar-SA"/>
                              </w:rPr>
                              <w:t>大气环境评价范围</w:t>
                            </w:r>
                          </w:p>
                          <w:p w14:paraId="2762ECF7">
                            <w:pPr>
                              <w:rPr>
                                <w:rFonts w:hint="eastAsia" w:ascii="宋体" w:hAnsi="宋体" w:eastAsia="宋体" w:cs="宋体"/>
                                <w:lang w:val="en-US" w:eastAsia="zh-CN"/>
                              </w:rPr>
                            </w:pPr>
                          </w:p>
                        </w:txbxContent>
                      </wps:txbx>
                      <wps:bodyPr vert="horz" wrap="square" anchor="t" anchorCtr="0" upright="1"/>
                    </wps:wsp>
                  </a:graphicData>
                </a:graphic>
              </wp:anchor>
            </w:drawing>
          </mc:Choice>
          <mc:Fallback>
            <w:pict>
              <v:shape id="文本框 26" o:spid="_x0000_s1026" o:spt="202" type="#_x0000_t202" style="position:absolute;left:0pt;margin-left:-0.25pt;margin-top:355.8pt;height:63.8pt;width:97.5pt;z-index:251660288;mso-width-relative:page;mso-height-relative:page;" fillcolor="#FFFFFF" filled="t" stroked="t" coordsize="21600,21600" o:gfxdata="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Bu0UbDYAAAACQEAAA8AAAAAAAAAAQAgAAAAIgAAAGRycy9kb3ducmV2LnhtbFBLAQIU&#10;ABQAAAAIAIdO4kBvxJrgLAIAAGsEAAAOAAAAAAAAAAEAIAAAACcBAABkcnMvZTJvRG9jLnhtbFBL&#10;BQYAAAAABgAGAFkBAADFBQAAAAA=&#10;">
                <v:fill on="t" focussize="0,0"/>
                <v:stroke color="#000000" joinstyle="miter"/>
                <v:imagedata o:title=""/>
                <o:lock v:ext="edit" aspectratio="f"/>
                <v:textbox>
                  <w:txbxContent>
                    <w:p w14:paraId="6042C865">
                      <w:pPr>
                        <w:ind w:firstLine="422" w:firstLineChars="200"/>
                        <w:rPr>
                          <w:rFonts w:hint="eastAsia"/>
                          <w:b/>
                          <w:bCs/>
                          <w:sz w:val="18"/>
                          <w:szCs w:val="18"/>
                          <w:lang w:eastAsia="zh-CN"/>
                        </w:rPr>
                      </w:pPr>
                      <w:r>
                        <w:rPr>
                          <w:rFonts w:hint="eastAsia"/>
                          <w:b/>
                          <w:bCs/>
                          <w:sz w:val="21"/>
                          <w:szCs w:val="21"/>
                          <w:lang w:eastAsia="zh-CN"/>
                        </w:rPr>
                        <w:t>图例</w:t>
                      </w:r>
                    </w:p>
                    <w:p w14:paraId="1CA9DCC5">
                      <w:pPr>
                        <w:pStyle w:val="23"/>
                        <w:ind w:left="0" w:leftChars="0" w:firstLine="180" w:firstLineChars="100"/>
                        <w:rPr>
                          <w:rFonts w:hint="eastAsia"/>
                          <w:sz w:val="18"/>
                          <w:szCs w:val="18"/>
                          <w:lang w:eastAsia="zh-CN"/>
                        </w:rPr>
                      </w:pPr>
                      <w:r>
                        <w:rPr>
                          <w:rFonts w:hint="eastAsia"/>
                          <w:sz w:val="18"/>
                          <w:szCs w:val="18"/>
                          <w:lang w:eastAsia="zh-CN"/>
                        </w:rPr>
                        <w:t>本项目位置</w:t>
                      </w:r>
                    </w:p>
                    <w:p w14:paraId="1A101460">
                      <w:pPr>
                        <w:ind w:left="320" w:hanging="360" w:hangingChars="200"/>
                        <w:jc w:val="left"/>
                        <w:rPr>
                          <w:rFonts w:hint="eastAsia"/>
                          <w:sz w:val="18"/>
                          <w:szCs w:val="18"/>
                          <w:lang w:val="en-US" w:eastAsia="zh-CN"/>
                        </w:rPr>
                      </w:pPr>
                      <w:r>
                        <w:rPr>
                          <w:rFonts w:hint="eastAsia"/>
                          <w:sz w:val="18"/>
                          <w:szCs w:val="18"/>
                          <w:lang w:val="en-US" w:eastAsia="zh-CN"/>
                        </w:rPr>
                        <w:t xml:space="preserve">  声环境评价范围</w:t>
                      </w:r>
                    </w:p>
                    <w:p w14:paraId="1B70A08C">
                      <w:pPr>
                        <w:pStyle w:val="23"/>
                        <w:ind w:left="180" w:leftChars="0" w:hanging="180" w:hangingChars="100"/>
                        <w:rPr>
                          <w:rFonts w:hint="eastAsia"/>
                          <w:sz w:val="18"/>
                          <w:szCs w:val="18"/>
                          <w:lang w:val="en-US" w:eastAsia="zh-CN"/>
                        </w:rPr>
                      </w:pPr>
                      <w:r>
                        <w:rPr>
                          <w:rFonts w:hint="eastAsia" w:ascii="Times New Roman" w:hAnsi="Times New Roman" w:eastAsia="宋体" w:cs="Times New Roman"/>
                          <w:kern w:val="2"/>
                          <w:sz w:val="18"/>
                          <w:szCs w:val="18"/>
                          <w:lang w:val="en-US" w:eastAsia="zh-CN" w:bidi="ar-SA"/>
                        </w:rPr>
                        <w:t xml:space="preserve">  </w:t>
                      </w:r>
                      <w:r>
                        <w:rPr>
                          <w:rFonts w:hint="eastAsia" w:cs="Times New Roman"/>
                          <w:kern w:val="2"/>
                          <w:sz w:val="18"/>
                          <w:szCs w:val="18"/>
                          <w:lang w:val="en-US" w:eastAsia="zh-CN" w:bidi="ar-SA"/>
                        </w:rPr>
                        <w:t>大气环境评价范围</w:t>
                      </w:r>
                    </w:p>
                    <w:p w14:paraId="2762ECF7">
                      <w:pPr>
                        <w:rPr>
                          <w:rFonts w:hint="eastAsia" w:ascii="宋体" w:hAnsi="宋体" w:eastAsia="宋体" w:cs="宋体"/>
                          <w:lang w:val="en-US" w:eastAsia="zh-CN"/>
                        </w:rPr>
                      </w:pPr>
                    </w:p>
                  </w:txbxContent>
                </v:textbox>
              </v:shape>
            </w:pict>
          </mc:Fallback>
        </mc:AlternateContent>
      </w:r>
      <w:r>
        <w:rPr>
          <w:rFonts w:hint="default" w:ascii="Times New Roman" w:hAnsi="Times New Roman" w:eastAsia="宋体" w:cs="Times New Roman"/>
          <w:color w:val="auto"/>
          <w:highlight w:val="none"/>
        </w:rPr>
        <w:drawing>
          <wp:anchor distT="0" distB="0" distL="0" distR="0" simplePos="0" relativeHeight="251666432" behindDoc="0" locked="0" layoutInCell="1" allowOverlap="1">
            <wp:simplePos x="0" y="0"/>
            <wp:positionH relativeFrom="column">
              <wp:posOffset>8008620</wp:posOffset>
            </wp:positionH>
            <wp:positionV relativeFrom="paragraph">
              <wp:posOffset>-15875</wp:posOffset>
            </wp:positionV>
            <wp:extent cx="502920" cy="659130"/>
            <wp:effectExtent l="12700" t="12700" r="17780" b="13970"/>
            <wp:wrapNone/>
            <wp:docPr id="17" name="图片 168" descr="指北针"/>
            <wp:cNvGraphicFramePr/>
            <a:graphic xmlns:a="http://schemas.openxmlformats.org/drawingml/2006/main">
              <a:graphicData uri="http://schemas.openxmlformats.org/drawingml/2006/picture">
                <pic:pic xmlns:pic="http://schemas.openxmlformats.org/drawingml/2006/picture">
                  <pic:nvPicPr>
                    <pic:cNvPr id="17" name="图片 168" descr="指北针"/>
                    <pic:cNvPicPr/>
                  </pic:nvPicPr>
                  <pic:blipFill>
                    <a:blip r:embed="rId38" cstate="print"/>
                    <a:srcRect/>
                    <a:stretch>
                      <a:fillRect/>
                    </a:stretch>
                  </pic:blipFill>
                  <pic:spPr>
                    <a:xfrm>
                      <a:off x="0" y="0"/>
                      <a:ext cx="502920" cy="659130"/>
                    </a:xfrm>
                    <a:prstGeom prst="rect">
                      <a:avLst/>
                    </a:prstGeom>
                    <a:ln w="12700" cap="flat" cmpd="sng">
                      <a:solidFill>
                        <a:srgbClr val="000000"/>
                      </a:solidFill>
                      <a:prstDash val="solid"/>
                      <a:round/>
                    </a:ln>
                  </pic:spPr>
                </pic:pic>
              </a:graphicData>
            </a:graphic>
          </wp:anchor>
        </w:drawing>
      </w:r>
      <w:r>
        <w:rPr>
          <w:color w:val="auto"/>
        </w:rPr>
        <w:drawing>
          <wp:inline distT="0" distB="0" distL="114300" distR="114300">
            <wp:extent cx="8526780" cy="5348605"/>
            <wp:effectExtent l="0" t="0" r="7620" b="4445"/>
            <wp:docPr id="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2"/>
                    <pic:cNvPicPr>
                      <a:picLocks noChangeAspect="1"/>
                    </pic:cNvPicPr>
                  </pic:nvPicPr>
                  <pic:blipFill>
                    <a:blip r:embed="rId48"/>
                    <a:stretch>
                      <a:fillRect/>
                    </a:stretch>
                  </pic:blipFill>
                  <pic:spPr>
                    <a:xfrm>
                      <a:off x="0" y="0"/>
                      <a:ext cx="8526780" cy="5348605"/>
                    </a:xfrm>
                    <a:prstGeom prst="rect">
                      <a:avLst/>
                    </a:prstGeom>
                    <a:noFill/>
                    <a:ln>
                      <a:noFill/>
                    </a:ln>
                  </pic:spPr>
                </pic:pic>
              </a:graphicData>
            </a:graphic>
          </wp:inline>
        </w:drawing>
      </w:r>
    </w:p>
    <w:p w14:paraId="2DFE06C2">
      <w:pPr>
        <w:pStyle w:val="12"/>
        <w:jc w:val="center"/>
        <w:outlineLvl w:val="0"/>
        <w:rPr>
          <w:rFonts w:hint="default" w:ascii="Times New Roman" w:hAnsi="Times New Roman" w:eastAsia="宋体" w:cs="Times New Roman"/>
          <w:b/>
          <w:bCs/>
          <w:color w:val="auto"/>
          <w:sz w:val="24"/>
          <w:szCs w:val="24"/>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56" w:name="_Toc29285"/>
      <w:r>
        <w:rPr>
          <w:rFonts w:hint="default" w:ascii="Times New Roman" w:hAnsi="Times New Roman" w:eastAsia="宋体" w:cs="Times New Roman"/>
          <w:b/>
          <w:bCs/>
          <w:color w:val="auto"/>
          <w:sz w:val="24"/>
          <w:szCs w:val="24"/>
          <w:highlight w:val="none"/>
        </w:rPr>
        <w:t>附图</w:t>
      </w:r>
      <w:r>
        <w:rPr>
          <w:rFonts w:hint="eastAsia"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rPr>
        <w:t xml:space="preserve"> </w:t>
      </w:r>
      <w:r>
        <w:rPr>
          <w:rFonts w:hint="eastAsia" w:ascii="Times New Roman" w:hAnsi="Times New Roman" w:cs="Times New Roman"/>
          <w:b/>
          <w:bCs/>
          <w:color w:val="auto"/>
          <w:sz w:val="24"/>
          <w:szCs w:val="24"/>
          <w:highlight w:val="none"/>
          <w:lang w:val="en-US" w:eastAsia="zh-CN"/>
        </w:rPr>
        <w:t>项目</w:t>
      </w:r>
      <w:r>
        <w:rPr>
          <w:rFonts w:hint="eastAsia" w:ascii="Times New Roman" w:hAnsi="Times New Roman" w:cs="Times New Roman"/>
          <w:b/>
          <w:bCs/>
          <w:color w:val="auto"/>
          <w:spacing w:val="0"/>
          <w:kern w:val="21"/>
          <w:position w:val="0"/>
          <w:sz w:val="24"/>
          <w:szCs w:val="21"/>
          <w:highlight w:val="none"/>
          <w:lang w:eastAsia="zh-CN"/>
        </w:rPr>
        <w:t>保护目标分布图</w:t>
      </w:r>
      <w:bookmarkEnd w:id="56"/>
    </w:p>
    <w:p w14:paraId="75027646">
      <w:pPr>
        <w:pStyle w:val="18"/>
        <w:numPr>
          <w:ilvl w:val="0"/>
          <w:numId w:val="0"/>
        </w:numPr>
        <w:jc w:val="center"/>
        <w:rPr>
          <w:rFonts w:ascii="Times New Roman" w:hAnsi="Times New Roman"/>
          <w:color w:val="auto"/>
        </w:rPr>
      </w:pPr>
      <w:r>
        <w:rPr>
          <w:color w:val="auto"/>
        </w:rPr>
        <w:drawing>
          <wp:inline distT="0" distB="0" distL="114300" distR="114300">
            <wp:extent cx="8744585" cy="4406265"/>
            <wp:effectExtent l="0" t="0" r="18415" b="13335"/>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49"/>
                    <a:stretch>
                      <a:fillRect/>
                    </a:stretch>
                  </pic:blipFill>
                  <pic:spPr>
                    <a:xfrm>
                      <a:off x="0" y="0"/>
                      <a:ext cx="8744585" cy="4406265"/>
                    </a:xfrm>
                    <a:prstGeom prst="rect">
                      <a:avLst/>
                    </a:prstGeom>
                    <a:noFill/>
                    <a:ln>
                      <a:noFill/>
                    </a:ln>
                  </pic:spPr>
                </pic:pic>
              </a:graphicData>
            </a:graphic>
          </wp:inline>
        </w:drawing>
      </w:r>
    </w:p>
    <w:p w14:paraId="294D9D01">
      <w:pPr>
        <w:pStyle w:val="18"/>
        <w:numPr>
          <w:ilvl w:val="0"/>
          <w:numId w:val="0"/>
        </w:numPr>
        <w:jc w:val="center"/>
        <w:outlineLvl w:val="0"/>
        <w:rPr>
          <w:rFonts w:hint="default" w:ascii="Times New Roman" w:hAnsi="Times New Roman" w:eastAsia="宋体" w:cs="Times New Roman"/>
          <w:b/>
          <w:bCs/>
          <w:color w:val="auto"/>
          <w:sz w:val="24"/>
          <w:szCs w:val="24"/>
          <w:highlight w:val="none"/>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57" w:name="_Toc15245"/>
      <w:r>
        <w:rPr>
          <w:rFonts w:hint="eastAsia" w:ascii="Times New Roman" w:hAnsi="Times New Roman" w:eastAsia="宋体" w:cs="Times New Roman"/>
          <w:b/>
          <w:bCs/>
          <w:color w:val="auto"/>
          <w:sz w:val="24"/>
          <w:szCs w:val="24"/>
          <w:highlight w:val="none"/>
          <w:lang w:eastAsia="zh-CN"/>
        </w:rPr>
        <w:t>附图</w:t>
      </w:r>
      <w:r>
        <w:rPr>
          <w:rFonts w:hint="eastAsia" w:cs="Times New Roman"/>
          <w:b/>
          <w:bCs/>
          <w:color w:val="auto"/>
          <w:sz w:val="24"/>
          <w:szCs w:val="24"/>
          <w:highlight w:val="none"/>
          <w:lang w:val="en-US" w:eastAsia="zh-CN"/>
        </w:rPr>
        <w:t>7</w:t>
      </w:r>
      <w:r>
        <w:rPr>
          <w:rFonts w:hint="eastAsia" w:ascii="Times New Roman" w:hAnsi="Times New Roman" w:eastAsia="宋体" w:cs="Times New Roman"/>
          <w:b/>
          <w:bCs/>
          <w:color w:val="auto"/>
          <w:sz w:val="24"/>
          <w:szCs w:val="24"/>
          <w:highlight w:val="none"/>
          <w:lang w:val="en-US" w:eastAsia="zh-CN"/>
        </w:rPr>
        <w:t xml:space="preserve"> 运输路线敏感目标示意图</w:t>
      </w:r>
      <w:bookmarkEnd w:id="57"/>
    </w:p>
    <w:p w14:paraId="03C7B363">
      <w:pPr>
        <w:pStyle w:val="12"/>
        <w:outlineLvl w:val="0"/>
        <w:rPr>
          <w:rFonts w:hint="eastAsia" w:ascii="Times New Roman" w:hAnsi="Times New Roman"/>
          <w:b/>
          <w:bCs/>
          <w:color w:val="auto"/>
          <w:sz w:val="24"/>
          <w:szCs w:val="24"/>
          <w:highlight w:val="none"/>
          <w:lang w:val="en-US" w:eastAsia="zh-CN"/>
        </w:rPr>
      </w:pPr>
      <w:bookmarkStart w:id="58" w:name="_Toc25227"/>
      <w:r>
        <w:rPr>
          <w:rFonts w:hint="eastAsia" w:ascii="Times New Roman" w:hAnsi="Times New Roman"/>
          <w:b/>
          <w:bCs/>
          <w:color w:val="auto"/>
          <w:sz w:val="24"/>
          <w:szCs w:val="24"/>
          <w:highlight w:val="none"/>
          <w:lang w:eastAsia="zh-CN"/>
        </w:rPr>
        <w:t>附件</w:t>
      </w:r>
      <w:r>
        <w:rPr>
          <w:rFonts w:hint="eastAsia" w:ascii="Times New Roman" w:hAnsi="Times New Roman"/>
          <w:b/>
          <w:bCs/>
          <w:color w:val="auto"/>
          <w:sz w:val="24"/>
          <w:szCs w:val="24"/>
          <w:highlight w:val="none"/>
          <w:lang w:val="en-US" w:eastAsia="zh-CN"/>
        </w:rPr>
        <w:t>1 营业执照</w:t>
      </w:r>
      <w:bookmarkEnd w:id="58"/>
    </w:p>
    <w:p w14:paraId="660B4DAE">
      <w:pPr>
        <w:bidi w:val="0"/>
        <w:jc w:val="center"/>
        <w:rPr>
          <w:rFonts w:hint="default" w:ascii="Times New Roman" w:hAnsi="Times New Roman"/>
          <w:color w:val="auto"/>
          <w:lang w:val="en-US" w:eastAsia="zh-CN"/>
        </w:rPr>
      </w:pPr>
      <w:r>
        <w:rPr>
          <w:rFonts w:hint="default" w:ascii="Times New Roman" w:hAnsi="Times New Roman"/>
          <w:color w:val="auto"/>
          <w:lang w:val="en-US" w:eastAsia="zh-CN"/>
        </w:rPr>
        <w:drawing>
          <wp:inline distT="0" distB="0" distL="114300" distR="114300">
            <wp:extent cx="5101590" cy="8053705"/>
            <wp:effectExtent l="0" t="0" r="4445" b="3810"/>
            <wp:docPr id="74" name="图片 74" descr="ed0ada00b962c5c4576d77b26309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ed0ada00b962c5c4576d77b263090a9"/>
                    <pic:cNvPicPr>
                      <a:picLocks noChangeAspect="1"/>
                    </pic:cNvPicPr>
                  </pic:nvPicPr>
                  <pic:blipFill>
                    <a:blip r:embed="rId50"/>
                    <a:srcRect l="3746" r="521"/>
                    <a:stretch>
                      <a:fillRect/>
                    </a:stretch>
                  </pic:blipFill>
                  <pic:spPr>
                    <a:xfrm rot="5400000">
                      <a:off x="0" y="0"/>
                      <a:ext cx="5101590" cy="8053705"/>
                    </a:xfrm>
                    <a:prstGeom prst="rect">
                      <a:avLst/>
                    </a:prstGeom>
                  </pic:spPr>
                </pic:pic>
              </a:graphicData>
            </a:graphic>
          </wp:inline>
        </w:drawing>
      </w:r>
    </w:p>
    <w:p w14:paraId="19455518">
      <w:pPr>
        <w:pStyle w:val="18"/>
        <w:rPr>
          <w:rFonts w:hint="default" w:ascii="Times New Roman" w:hAnsi="Times New Roman"/>
          <w:color w:val="auto"/>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3ED24A57">
      <w:pPr>
        <w:pStyle w:val="12"/>
        <w:outlineLvl w:val="0"/>
        <w:rPr>
          <w:rFonts w:hint="eastAsia" w:ascii="Times New Roman" w:hAnsi="Times New Roman"/>
          <w:b/>
          <w:bCs/>
          <w:color w:val="auto"/>
          <w:sz w:val="24"/>
          <w:szCs w:val="24"/>
          <w:highlight w:val="none"/>
          <w:lang w:val="en-US" w:eastAsia="zh-CN"/>
        </w:rPr>
      </w:pPr>
      <w:bookmarkStart w:id="59" w:name="_Toc5859"/>
      <w:r>
        <w:rPr>
          <w:rFonts w:hint="eastAsia" w:ascii="Times New Roman" w:hAnsi="Times New Roman"/>
          <w:b/>
          <w:bCs/>
          <w:color w:val="auto"/>
          <w:sz w:val="24"/>
          <w:szCs w:val="24"/>
          <w:highlight w:val="none"/>
          <w:lang w:eastAsia="zh-CN"/>
        </w:rPr>
        <w:t>附件</w:t>
      </w:r>
      <w:r>
        <w:rPr>
          <w:rFonts w:hint="eastAsia" w:ascii="Times New Roman" w:hAnsi="Times New Roman"/>
          <w:b/>
          <w:bCs/>
          <w:color w:val="auto"/>
          <w:sz w:val="24"/>
          <w:szCs w:val="24"/>
          <w:highlight w:val="none"/>
          <w:lang w:val="en-US" w:eastAsia="zh-CN"/>
        </w:rPr>
        <w:t>2 检测报告</w:t>
      </w:r>
      <w:bookmarkEnd w:id="59"/>
    </w:p>
    <w:p w14:paraId="32F22AF1">
      <w:pPr>
        <w:tabs>
          <w:tab w:val="left" w:pos="2278"/>
        </w:tabs>
        <w:outlineLvl w:val="9"/>
        <w:rPr>
          <w:rFonts w:hint="default" w:ascii="Times New Roman" w:hAnsi="Times New Roman"/>
          <w:b/>
          <w:bCs/>
          <w:color w:val="auto"/>
          <w:sz w:val="24"/>
          <w:szCs w:val="24"/>
          <w:highlight w:val="none"/>
          <w:lang w:val="en-US" w:eastAsia="zh-CN"/>
        </w:rPr>
        <w:sectPr>
          <w:headerReference r:id="rId9" w:type="default"/>
          <w:footerReference r:id="rId10"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60" w:name="_Toc5645"/>
      <w:r>
        <w:rPr>
          <w:rFonts w:hint="default" w:ascii="Times New Roman" w:hAnsi="Times New Roman"/>
          <w:b/>
          <w:bCs/>
          <w:color w:val="auto"/>
          <w:sz w:val="24"/>
          <w:szCs w:val="24"/>
          <w:highlight w:val="none"/>
          <w:lang w:val="en-US" w:eastAsia="zh-CN"/>
        </w:rPr>
        <w:drawing>
          <wp:inline distT="0" distB="0" distL="114300" distR="114300">
            <wp:extent cx="5614670" cy="7940040"/>
            <wp:effectExtent l="0" t="0" r="12700" b="7620"/>
            <wp:docPr id="68" name="图片 68" descr="√HP220714-2 (噪声 TSP)大福煤炭销售(1)(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HP220714-2 (噪声 TSP)大福煤炭销售(1)(1)_00"/>
                    <pic:cNvPicPr>
                      <a:picLocks noChangeAspect="1"/>
                    </pic:cNvPicPr>
                  </pic:nvPicPr>
                  <pic:blipFill>
                    <a:blip r:embed="rId51"/>
                    <a:stretch>
                      <a:fillRect/>
                    </a:stretch>
                  </pic:blipFill>
                  <pic:spPr>
                    <a:xfrm>
                      <a:off x="0" y="0"/>
                      <a:ext cx="5614670" cy="7940040"/>
                    </a:xfrm>
                    <a:prstGeom prst="rect">
                      <a:avLst/>
                    </a:prstGeom>
                  </pic:spPr>
                </pic:pic>
              </a:graphicData>
            </a:graphic>
          </wp:inline>
        </w:drawing>
      </w:r>
      <w:r>
        <w:rPr>
          <w:rFonts w:hint="default" w:ascii="Times New Roman" w:hAnsi="Times New Roman"/>
          <w:b/>
          <w:bCs/>
          <w:color w:val="auto"/>
          <w:sz w:val="24"/>
          <w:szCs w:val="24"/>
          <w:highlight w:val="none"/>
          <w:lang w:val="en-US" w:eastAsia="zh-CN"/>
        </w:rPr>
        <w:drawing>
          <wp:inline distT="0" distB="0" distL="114300" distR="114300">
            <wp:extent cx="5614670" cy="7940040"/>
            <wp:effectExtent l="0" t="0" r="12700" b="7620"/>
            <wp:docPr id="67" name="图片 67" descr="√HP220714-2 (噪声 TSP)大福煤炭销售(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HP220714-2 (噪声 TSP)大福煤炭销售(1)(1)_01"/>
                    <pic:cNvPicPr>
                      <a:picLocks noChangeAspect="1"/>
                    </pic:cNvPicPr>
                  </pic:nvPicPr>
                  <pic:blipFill>
                    <a:blip r:embed="rId52"/>
                    <a:stretch>
                      <a:fillRect/>
                    </a:stretch>
                  </pic:blipFill>
                  <pic:spPr>
                    <a:xfrm>
                      <a:off x="0" y="0"/>
                      <a:ext cx="5614670" cy="7940040"/>
                    </a:xfrm>
                    <a:prstGeom prst="rect">
                      <a:avLst/>
                    </a:prstGeom>
                  </pic:spPr>
                </pic:pic>
              </a:graphicData>
            </a:graphic>
          </wp:inline>
        </w:drawing>
      </w:r>
      <w:r>
        <w:rPr>
          <w:rFonts w:hint="default" w:ascii="Times New Roman" w:hAnsi="Times New Roman"/>
          <w:b/>
          <w:bCs/>
          <w:color w:val="auto"/>
          <w:sz w:val="24"/>
          <w:szCs w:val="24"/>
          <w:highlight w:val="none"/>
          <w:lang w:val="en-US" w:eastAsia="zh-CN"/>
        </w:rPr>
        <w:drawing>
          <wp:inline distT="0" distB="0" distL="114300" distR="114300">
            <wp:extent cx="5614670" cy="7940040"/>
            <wp:effectExtent l="0" t="0" r="12700" b="7620"/>
            <wp:docPr id="66" name="图片 66" descr="√HP220714-2 (噪声 TSP)大福煤炭销售(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HP220714-2 (噪声 TSP)大福煤炭销售(1)(1)_02"/>
                    <pic:cNvPicPr>
                      <a:picLocks noChangeAspect="1"/>
                    </pic:cNvPicPr>
                  </pic:nvPicPr>
                  <pic:blipFill>
                    <a:blip r:embed="rId53"/>
                    <a:stretch>
                      <a:fillRect/>
                    </a:stretch>
                  </pic:blipFill>
                  <pic:spPr>
                    <a:xfrm>
                      <a:off x="0" y="0"/>
                      <a:ext cx="5614670" cy="7940040"/>
                    </a:xfrm>
                    <a:prstGeom prst="rect">
                      <a:avLst/>
                    </a:prstGeom>
                  </pic:spPr>
                </pic:pic>
              </a:graphicData>
            </a:graphic>
          </wp:inline>
        </w:drawing>
      </w:r>
      <w:r>
        <w:rPr>
          <w:rFonts w:hint="default" w:ascii="Times New Roman" w:hAnsi="Times New Roman"/>
          <w:b/>
          <w:bCs/>
          <w:color w:val="auto"/>
          <w:sz w:val="24"/>
          <w:szCs w:val="24"/>
          <w:highlight w:val="none"/>
          <w:lang w:val="en-US" w:eastAsia="zh-CN"/>
        </w:rPr>
        <w:drawing>
          <wp:inline distT="0" distB="0" distL="114300" distR="114300">
            <wp:extent cx="5614670" cy="7940040"/>
            <wp:effectExtent l="0" t="0" r="12700" b="7620"/>
            <wp:docPr id="65" name="图片 65" descr="√HP220714-2 (噪声 TSP)大福煤炭销售(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HP220714-2 (噪声 TSP)大福煤炭销售(1)(1)_03"/>
                    <pic:cNvPicPr>
                      <a:picLocks noChangeAspect="1"/>
                    </pic:cNvPicPr>
                  </pic:nvPicPr>
                  <pic:blipFill>
                    <a:blip r:embed="rId54"/>
                    <a:stretch>
                      <a:fillRect/>
                    </a:stretch>
                  </pic:blipFill>
                  <pic:spPr>
                    <a:xfrm>
                      <a:off x="0" y="0"/>
                      <a:ext cx="5614670" cy="7940040"/>
                    </a:xfrm>
                    <a:prstGeom prst="rect">
                      <a:avLst/>
                    </a:prstGeom>
                  </pic:spPr>
                </pic:pic>
              </a:graphicData>
            </a:graphic>
          </wp:inline>
        </w:drawing>
      </w:r>
      <w:r>
        <w:rPr>
          <w:rFonts w:hint="default" w:ascii="Times New Roman" w:hAnsi="Times New Roman"/>
          <w:b/>
          <w:bCs/>
          <w:color w:val="auto"/>
          <w:sz w:val="24"/>
          <w:szCs w:val="24"/>
          <w:highlight w:val="none"/>
          <w:lang w:val="en-US" w:eastAsia="zh-CN"/>
        </w:rPr>
        <w:drawing>
          <wp:inline distT="0" distB="0" distL="114300" distR="114300">
            <wp:extent cx="5614670" cy="7940040"/>
            <wp:effectExtent l="0" t="0" r="12700" b="7620"/>
            <wp:docPr id="64" name="图片 64" descr="√HP220714-2 (噪声 TSP)大福煤炭销售(1)(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HP220714-2 (噪声 TSP)大福煤炭销售(1)(1)_04"/>
                    <pic:cNvPicPr>
                      <a:picLocks noChangeAspect="1"/>
                    </pic:cNvPicPr>
                  </pic:nvPicPr>
                  <pic:blipFill>
                    <a:blip r:embed="rId55"/>
                    <a:stretch>
                      <a:fillRect/>
                    </a:stretch>
                  </pic:blipFill>
                  <pic:spPr>
                    <a:xfrm>
                      <a:off x="0" y="0"/>
                      <a:ext cx="5614670" cy="7940040"/>
                    </a:xfrm>
                    <a:prstGeom prst="rect">
                      <a:avLst/>
                    </a:prstGeom>
                  </pic:spPr>
                </pic:pic>
              </a:graphicData>
            </a:graphic>
          </wp:inline>
        </w:drawing>
      </w:r>
      <w:r>
        <w:rPr>
          <w:rFonts w:hint="default" w:ascii="Times New Roman" w:hAnsi="Times New Roman"/>
          <w:b/>
          <w:bCs/>
          <w:color w:val="auto"/>
          <w:sz w:val="24"/>
          <w:szCs w:val="24"/>
          <w:highlight w:val="none"/>
          <w:lang w:val="en-US" w:eastAsia="zh-CN"/>
        </w:rPr>
        <w:drawing>
          <wp:inline distT="0" distB="0" distL="114300" distR="114300">
            <wp:extent cx="5614670" cy="7940040"/>
            <wp:effectExtent l="0" t="0" r="12700" b="7620"/>
            <wp:docPr id="63" name="图片 63" descr="√HP220714-2 (噪声 TSP)大福煤炭销售(1)(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HP220714-2 (噪声 TSP)大福煤炭销售(1)(1)_05"/>
                    <pic:cNvPicPr>
                      <a:picLocks noChangeAspect="1"/>
                    </pic:cNvPicPr>
                  </pic:nvPicPr>
                  <pic:blipFill>
                    <a:blip r:embed="rId56"/>
                    <a:stretch>
                      <a:fillRect/>
                    </a:stretch>
                  </pic:blipFill>
                  <pic:spPr>
                    <a:xfrm>
                      <a:off x="0" y="0"/>
                      <a:ext cx="5614670" cy="7940040"/>
                    </a:xfrm>
                    <a:prstGeom prst="rect">
                      <a:avLst/>
                    </a:prstGeom>
                  </pic:spPr>
                </pic:pic>
              </a:graphicData>
            </a:graphic>
          </wp:inline>
        </w:drawing>
      </w:r>
      <w:bookmarkEnd w:id="60"/>
    </w:p>
    <w:p w14:paraId="75D5EF7A">
      <w:pPr>
        <w:pStyle w:val="12"/>
        <w:outlineLvl w:val="0"/>
        <w:rPr>
          <w:rFonts w:hint="default" w:ascii="Times New Roman" w:hAnsi="Times New Roman" w:eastAsia="宋体"/>
          <w:b/>
          <w:bCs/>
          <w:color w:val="auto"/>
          <w:sz w:val="24"/>
          <w:szCs w:val="24"/>
          <w:highlight w:val="none"/>
          <w:lang w:val="en-US" w:eastAsia="zh-CN"/>
        </w:rPr>
      </w:pPr>
      <w:bookmarkStart w:id="61" w:name="_Toc14761"/>
      <w:bookmarkStart w:id="62" w:name="_Toc3402"/>
      <w:r>
        <w:rPr>
          <w:rFonts w:hint="default" w:ascii="Times New Roman" w:hAnsi="Times New Roman" w:eastAsia="宋体"/>
          <w:b/>
          <w:bCs/>
          <w:color w:val="auto"/>
          <w:sz w:val="24"/>
          <w:szCs w:val="24"/>
          <w:highlight w:val="none"/>
          <w:lang w:eastAsia="zh-CN"/>
        </w:rPr>
        <w:t>附件</w:t>
      </w:r>
      <w:r>
        <w:rPr>
          <w:rFonts w:hint="eastAsia" w:ascii="Times New Roman" w:hAnsi="Times New Roman" w:eastAsia="宋体"/>
          <w:b/>
          <w:bCs/>
          <w:color w:val="auto"/>
          <w:sz w:val="24"/>
          <w:szCs w:val="24"/>
          <w:highlight w:val="none"/>
          <w:lang w:val="en-US" w:eastAsia="zh-CN"/>
        </w:rPr>
        <w:t>3</w:t>
      </w:r>
      <w:r>
        <w:rPr>
          <w:rFonts w:hint="default" w:ascii="Times New Roman" w:hAnsi="Times New Roman" w:eastAsia="宋体"/>
          <w:b/>
          <w:bCs/>
          <w:color w:val="auto"/>
          <w:sz w:val="24"/>
          <w:szCs w:val="24"/>
          <w:highlight w:val="none"/>
          <w:lang w:eastAsia="zh-CN"/>
        </w:rPr>
        <w:t xml:space="preserve"> </w:t>
      </w:r>
      <w:r>
        <w:rPr>
          <w:rFonts w:hint="eastAsia" w:ascii="Times New Roman" w:hAnsi="Times New Roman" w:eastAsia="宋体"/>
          <w:b/>
          <w:bCs/>
          <w:color w:val="auto"/>
          <w:sz w:val="24"/>
          <w:szCs w:val="24"/>
          <w:highlight w:val="none"/>
          <w:lang w:eastAsia="zh-CN"/>
        </w:rPr>
        <w:t>工业用地</w:t>
      </w:r>
      <w:r>
        <w:rPr>
          <w:rFonts w:hint="default" w:ascii="Times New Roman" w:hAnsi="Times New Roman" w:eastAsia="宋体"/>
          <w:b/>
          <w:bCs/>
          <w:color w:val="auto"/>
          <w:sz w:val="24"/>
          <w:szCs w:val="24"/>
          <w:highlight w:val="none"/>
          <w:lang w:eastAsia="zh-CN"/>
        </w:rPr>
        <w:t>证明</w:t>
      </w:r>
      <w:bookmarkEnd w:id="61"/>
      <w:bookmarkEnd w:id="62"/>
    </w:p>
    <w:p w14:paraId="4EE25B3B">
      <w:pPr>
        <w:tabs>
          <w:tab w:val="left" w:pos="2278"/>
        </w:tabs>
        <w:outlineLvl w:val="9"/>
        <w:rPr>
          <w:rFonts w:hint="default" w:ascii="Times New Roman" w:hAnsi="Times New Roman"/>
          <w:b/>
          <w:bCs/>
          <w:color w:val="auto"/>
          <w:sz w:val="24"/>
          <w:szCs w:val="24"/>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b/>
          <w:bCs/>
          <w:color w:val="auto"/>
          <w:sz w:val="24"/>
          <w:szCs w:val="24"/>
          <w:highlight w:val="none"/>
          <w:lang w:val="en-US" w:eastAsia="zh-CN"/>
        </w:rPr>
        <w:drawing>
          <wp:inline distT="0" distB="0" distL="114300" distR="114300">
            <wp:extent cx="5612130" cy="7482840"/>
            <wp:effectExtent l="0" t="0" r="7620" b="3810"/>
            <wp:docPr id="75" name="图片 75" descr="1b0014f0def24abcc3aae1ac85ac6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b0014f0def24abcc3aae1ac85ac6b2"/>
                    <pic:cNvPicPr>
                      <a:picLocks noChangeAspect="1"/>
                    </pic:cNvPicPr>
                  </pic:nvPicPr>
                  <pic:blipFill>
                    <a:blip r:embed="rId57"/>
                    <a:stretch>
                      <a:fillRect/>
                    </a:stretch>
                  </pic:blipFill>
                  <pic:spPr>
                    <a:xfrm>
                      <a:off x="0" y="0"/>
                      <a:ext cx="5612130" cy="7482840"/>
                    </a:xfrm>
                    <a:prstGeom prst="rect">
                      <a:avLst/>
                    </a:prstGeom>
                  </pic:spPr>
                </pic:pic>
              </a:graphicData>
            </a:graphic>
          </wp:inline>
        </w:drawing>
      </w:r>
    </w:p>
    <w:p w14:paraId="14998C55">
      <w:pPr>
        <w:pStyle w:val="12"/>
        <w:outlineLvl w:val="0"/>
        <w:rPr>
          <w:rFonts w:hint="eastAsia" w:ascii="宋体" w:hAnsi="宋体" w:cs="宋体"/>
          <w:b/>
          <w:bCs/>
          <w:snapToGrid w:val="0"/>
          <w:color w:val="auto"/>
          <w:kern w:val="21"/>
          <w:sz w:val="28"/>
          <w:szCs w:val="28"/>
          <w:highlight w:val="none"/>
          <w:lang w:eastAsia="zh-CN"/>
        </w:rPr>
      </w:pPr>
      <w:bookmarkStart w:id="63" w:name="_Toc9598"/>
      <w:r>
        <w:rPr>
          <w:rFonts w:hint="default" w:ascii="Times New Roman" w:hAnsi="Times New Roman" w:eastAsia="宋体"/>
          <w:b/>
          <w:bCs/>
          <w:color w:val="auto"/>
          <w:sz w:val="24"/>
          <w:szCs w:val="24"/>
          <w:highlight w:val="none"/>
          <w:lang w:eastAsia="zh-CN"/>
        </w:rPr>
        <w:t>附件</w:t>
      </w:r>
      <w:r>
        <w:rPr>
          <w:rFonts w:hint="eastAsia" w:ascii="宋体" w:hAnsi="宋体" w:cs="宋体"/>
          <w:b/>
          <w:bCs/>
          <w:snapToGrid w:val="0"/>
          <w:color w:val="auto"/>
          <w:kern w:val="21"/>
          <w:sz w:val="28"/>
          <w:szCs w:val="28"/>
          <w:highlight w:val="none"/>
          <w:lang w:val="en-US" w:eastAsia="zh-CN"/>
        </w:rPr>
        <w:t>4</w:t>
      </w:r>
      <w:r>
        <w:rPr>
          <w:rFonts w:hint="eastAsia" w:ascii="宋体" w:hAnsi="宋体" w:cs="宋体"/>
          <w:b/>
          <w:bCs/>
          <w:snapToGrid w:val="0"/>
          <w:color w:val="auto"/>
          <w:kern w:val="21"/>
          <w:sz w:val="28"/>
          <w:szCs w:val="28"/>
          <w:highlight w:val="none"/>
        </w:rPr>
        <w:t xml:space="preserve"> </w:t>
      </w:r>
      <w:r>
        <w:rPr>
          <w:rFonts w:hint="eastAsia" w:ascii="宋体" w:hAnsi="宋体" w:cs="宋体"/>
          <w:b/>
          <w:bCs/>
          <w:snapToGrid w:val="0"/>
          <w:color w:val="auto"/>
          <w:kern w:val="21"/>
          <w:sz w:val="28"/>
          <w:szCs w:val="28"/>
          <w:highlight w:val="none"/>
          <w:lang w:eastAsia="zh-CN"/>
        </w:rPr>
        <w:t>煤矸石买卖合同</w:t>
      </w:r>
      <w:bookmarkEnd w:id="63"/>
    </w:p>
    <w:p w14:paraId="79B32FDC">
      <w:pPr>
        <w:outlineLvl w:val="9"/>
        <w:rPr>
          <w:rFonts w:hint="default" w:ascii="Times New Roman" w:hAnsi="Times New Roman"/>
          <w:b/>
          <w:bCs/>
          <w:color w:val="auto"/>
          <w:sz w:val="24"/>
          <w:szCs w:val="24"/>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b/>
          <w:bCs/>
          <w:color w:val="auto"/>
          <w:sz w:val="24"/>
          <w:szCs w:val="24"/>
          <w:highlight w:val="none"/>
          <w:lang w:val="en-US" w:eastAsia="zh-CN"/>
        </w:rPr>
        <w:drawing>
          <wp:inline distT="0" distB="0" distL="114300" distR="114300">
            <wp:extent cx="5547360" cy="7588250"/>
            <wp:effectExtent l="0" t="0" r="15240" b="12700"/>
            <wp:docPr id="6" name="图片 6" descr="6731b268356bf70e5e28b1ecc2e61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731b268356bf70e5e28b1ecc2e61ac"/>
                    <pic:cNvPicPr>
                      <a:picLocks noChangeAspect="1"/>
                    </pic:cNvPicPr>
                  </pic:nvPicPr>
                  <pic:blipFill>
                    <a:blip r:embed="rId58"/>
                    <a:srcRect t="12771" b="28239"/>
                    <a:stretch>
                      <a:fillRect/>
                    </a:stretch>
                  </pic:blipFill>
                  <pic:spPr>
                    <a:xfrm>
                      <a:off x="0" y="0"/>
                      <a:ext cx="5547360" cy="7588250"/>
                    </a:xfrm>
                    <a:prstGeom prst="rect">
                      <a:avLst/>
                    </a:prstGeom>
                  </pic:spPr>
                </pic:pic>
              </a:graphicData>
            </a:graphic>
          </wp:inline>
        </w:drawing>
      </w:r>
    </w:p>
    <w:p w14:paraId="19B4588B">
      <w:pPr>
        <w:pStyle w:val="12"/>
        <w:outlineLvl w:val="0"/>
        <w:rPr>
          <w:rFonts w:hint="eastAsia" w:ascii="宋体" w:hAnsi="宋体" w:cs="宋体"/>
          <w:b/>
          <w:bCs/>
          <w:snapToGrid w:val="0"/>
          <w:color w:val="auto"/>
          <w:kern w:val="21"/>
          <w:sz w:val="28"/>
          <w:szCs w:val="28"/>
          <w:highlight w:val="none"/>
          <w:lang w:eastAsia="zh-CN"/>
        </w:rPr>
      </w:pPr>
      <w:bookmarkStart w:id="64" w:name="_Toc3790"/>
      <w:r>
        <w:rPr>
          <w:rFonts w:hint="default" w:ascii="Times New Roman" w:hAnsi="Times New Roman" w:eastAsia="宋体"/>
          <w:b/>
          <w:bCs/>
          <w:color w:val="auto"/>
          <w:sz w:val="24"/>
          <w:szCs w:val="24"/>
          <w:highlight w:val="none"/>
          <w:lang w:eastAsia="zh-CN"/>
        </w:rPr>
        <w:t>附件</w:t>
      </w:r>
      <w:r>
        <w:rPr>
          <w:rFonts w:hint="eastAsia" w:ascii="宋体" w:hAnsi="宋体" w:cs="宋体"/>
          <w:b/>
          <w:bCs/>
          <w:snapToGrid w:val="0"/>
          <w:color w:val="auto"/>
          <w:kern w:val="21"/>
          <w:sz w:val="28"/>
          <w:szCs w:val="28"/>
          <w:highlight w:val="none"/>
          <w:lang w:val="en-US" w:eastAsia="zh-CN"/>
        </w:rPr>
        <w:t>5</w:t>
      </w:r>
      <w:r>
        <w:rPr>
          <w:rFonts w:hint="eastAsia" w:ascii="宋体" w:hAnsi="宋体" w:cs="宋体"/>
          <w:b/>
          <w:bCs/>
          <w:snapToGrid w:val="0"/>
          <w:color w:val="auto"/>
          <w:kern w:val="21"/>
          <w:sz w:val="28"/>
          <w:szCs w:val="28"/>
          <w:highlight w:val="none"/>
        </w:rPr>
        <w:t xml:space="preserve"> </w:t>
      </w:r>
      <w:r>
        <w:rPr>
          <w:rFonts w:hint="eastAsia" w:ascii="宋体" w:hAnsi="宋体" w:cs="宋体"/>
          <w:b/>
          <w:bCs/>
          <w:snapToGrid w:val="0"/>
          <w:color w:val="auto"/>
          <w:kern w:val="21"/>
          <w:sz w:val="28"/>
          <w:szCs w:val="28"/>
          <w:highlight w:val="none"/>
          <w:lang w:eastAsia="zh-CN"/>
        </w:rPr>
        <w:t>煤泥石处置协议</w:t>
      </w:r>
      <w:bookmarkEnd w:id="64"/>
    </w:p>
    <w:p w14:paraId="5ED8B08A">
      <w:pPr>
        <w:jc w:val="center"/>
        <w:outlineLvl w:val="9"/>
        <w:rPr>
          <w:rFonts w:hint="default" w:ascii="Times New Roman" w:hAnsi="Times New Roman"/>
          <w:b/>
          <w:bCs/>
          <w:color w:val="auto"/>
          <w:sz w:val="24"/>
          <w:szCs w:val="24"/>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b/>
          <w:bCs/>
          <w:color w:val="auto"/>
          <w:sz w:val="24"/>
          <w:szCs w:val="24"/>
          <w:highlight w:val="none"/>
          <w:lang w:val="en-US" w:eastAsia="zh-CN"/>
        </w:rPr>
        <w:drawing>
          <wp:inline distT="0" distB="0" distL="114300" distR="114300">
            <wp:extent cx="5431790" cy="7903210"/>
            <wp:effectExtent l="0" t="0" r="16510" b="2540"/>
            <wp:docPr id="7" name="图片 7" descr="8a156b988ca0f4065e80dfd2fd1f9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a156b988ca0f4065e80dfd2fd1f92a"/>
                    <pic:cNvPicPr>
                      <a:picLocks noChangeAspect="1"/>
                    </pic:cNvPicPr>
                  </pic:nvPicPr>
                  <pic:blipFill>
                    <a:blip r:embed="rId59"/>
                    <a:srcRect t="15252" b="15073"/>
                    <a:stretch>
                      <a:fillRect/>
                    </a:stretch>
                  </pic:blipFill>
                  <pic:spPr>
                    <a:xfrm>
                      <a:off x="0" y="0"/>
                      <a:ext cx="5431790" cy="7903210"/>
                    </a:xfrm>
                    <a:prstGeom prst="rect">
                      <a:avLst/>
                    </a:prstGeom>
                  </pic:spPr>
                </pic:pic>
              </a:graphicData>
            </a:graphic>
          </wp:inline>
        </w:drawing>
      </w:r>
    </w:p>
    <w:p w14:paraId="3BB1D325">
      <w:pPr>
        <w:pStyle w:val="12"/>
        <w:outlineLvl w:val="0"/>
        <w:rPr>
          <w:rFonts w:hint="eastAsia" w:ascii="宋体" w:hAnsi="宋体" w:cs="宋体"/>
          <w:b/>
          <w:bCs/>
          <w:snapToGrid w:val="0"/>
          <w:color w:val="auto"/>
          <w:kern w:val="21"/>
          <w:sz w:val="28"/>
          <w:szCs w:val="28"/>
          <w:highlight w:val="none"/>
          <w:lang w:eastAsia="zh-CN"/>
        </w:rPr>
      </w:pPr>
      <w:bookmarkStart w:id="65" w:name="_Toc17924"/>
      <w:r>
        <w:rPr>
          <w:rFonts w:hint="default" w:ascii="Times New Roman" w:hAnsi="Times New Roman" w:eastAsia="宋体"/>
          <w:b/>
          <w:bCs/>
          <w:color w:val="auto"/>
          <w:sz w:val="24"/>
          <w:szCs w:val="24"/>
          <w:highlight w:val="none"/>
          <w:lang w:eastAsia="zh-CN"/>
        </w:rPr>
        <w:t>附件</w:t>
      </w:r>
      <w:r>
        <w:rPr>
          <w:rFonts w:hint="eastAsia" w:ascii="宋体" w:hAnsi="宋体" w:cs="宋体"/>
          <w:b/>
          <w:bCs/>
          <w:snapToGrid w:val="0"/>
          <w:color w:val="auto"/>
          <w:kern w:val="21"/>
          <w:sz w:val="28"/>
          <w:szCs w:val="28"/>
          <w:highlight w:val="none"/>
          <w:lang w:val="en-US" w:eastAsia="zh-CN"/>
        </w:rPr>
        <w:t>6</w:t>
      </w:r>
      <w:r>
        <w:rPr>
          <w:rFonts w:hint="eastAsia" w:ascii="宋体" w:hAnsi="宋体" w:cs="宋体"/>
          <w:b/>
          <w:bCs/>
          <w:snapToGrid w:val="0"/>
          <w:color w:val="auto"/>
          <w:kern w:val="21"/>
          <w:sz w:val="28"/>
          <w:szCs w:val="28"/>
          <w:highlight w:val="none"/>
        </w:rPr>
        <w:t xml:space="preserve"> </w:t>
      </w:r>
      <w:r>
        <w:rPr>
          <w:rFonts w:hint="eastAsia" w:ascii="宋体" w:hAnsi="宋体" w:cs="宋体"/>
          <w:b/>
          <w:bCs/>
          <w:snapToGrid w:val="0"/>
          <w:color w:val="auto"/>
          <w:kern w:val="21"/>
          <w:sz w:val="28"/>
          <w:szCs w:val="28"/>
          <w:highlight w:val="none"/>
          <w:lang w:eastAsia="zh-CN"/>
        </w:rPr>
        <w:t>污水排放协议</w:t>
      </w:r>
      <w:bookmarkEnd w:id="65"/>
    </w:p>
    <w:p w14:paraId="1E2B15FC">
      <w:pPr>
        <w:pStyle w:val="16"/>
        <w:ind w:left="0" w:leftChars="0" w:firstLine="0" w:firstLineChars="0"/>
        <w:rPr>
          <w:rFonts w:hint="default"/>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603875" cy="7474585"/>
            <wp:effectExtent l="0" t="0" r="15875" b="12065"/>
            <wp:docPr id="11" name="图片 11" descr="fa1de3970f443b054f6b9cc0f07d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a1de3970f443b054f6b9cc0f07dd62"/>
                    <pic:cNvPicPr>
                      <a:picLocks noChangeAspect="1"/>
                    </pic:cNvPicPr>
                  </pic:nvPicPr>
                  <pic:blipFill>
                    <a:blip r:embed="rId60"/>
                    <a:stretch>
                      <a:fillRect/>
                    </a:stretch>
                  </pic:blipFill>
                  <pic:spPr>
                    <a:xfrm>
                      <a:off x="0" y="0"/>
                      <a:ext cx="5603875" cy="7474585"/>
                    </a:xfrm>
                    <a:prstGeom prst="rect">
                      <a:avLst/>
                    </a:prstGeom>
                  </pic:spPr>
                </pic:pic>
              </a:graphicData>
            </a:graphic>
          </wp:inline>
        </w:drawing>
      </w:r>
    </w:p>
    <w:p w14:paraId="34599D88">
      <w:pPr>
        <w:pStyle w:val="12"/>
        <w:outlineLvl w:val="0"/>
        <w:rPr>
          <w:rFonts w:hint="default"/>
          <w:lang w:val="en-US" w:eastAsia="zh-CN"/>
        </w:rPr>
      </w:pPr>
      <w:bookmarkStart w:id="66" w:name="_Toc27677"/>
      <w:r>
        <w:rPr>
          <w:rFonts w:hint="default" w:ascii="Times New Roman" w:hAnsi="Times New Roman" w:eastAsia="宋体"/>
          <w:b/>
          <w:bCs/>
          <w:color w:val="auto"/>
          <w:sz w:val="24"/>
          <w:szCs w:val="24"/>
          <w:highlight w:val="none"/>
          <w:lang w:eastAsia="zh-CN"/>
        </w:rPr>
        <w:t>附件</w:t>
      </w:r>
      <w:r>
        <w:rPr>
          <w:rFonts w:hint="eastAsia" w:ascii="宋体" w:hAnsi="宋体" w:cs="宋体"/>
          <w:b/>
          <w:bCs/>
          <w:snapToGrid w:val="0"/>
          <w:color w:val="auto"/>
          <w:kern w:val="21"/>
          <w:sz w:val="28"/>
          <w:szCs w:val="28"/>
          <w:highlight w:val="none"/>
          <w:lang w:val="en-US" w:eastAsia="zh-CN"/>
        </w:rPr>
        <w:t>7</w:t>
      </w:r>
      <w:r>
        <w:rPr>
          <w:rFonts w:hint="eastAsia" w:ascii="宋体" w:hAnsi="宋体" w:cs="宋体"/>
          <w:b/>
          <w:bCs/>
          <w:snapToGrid w:val="0"/>
          <w:color w:val="auto"/>
          <w:kern w:val="21"/>
          <w:sz w:val="28"/>
          <w:szCs w:val="28"/>
          <w:highlight w:val="none"/>
        </w:rPr>
        <w:t xml:space="preserve"> </w:t>
      </w:r>
      <w:r>
        <w:rPr>
          <w:rFonts w:hint="eastAsia" w:ascii="宋体" w:hAnsi="宋体" w:cs="宋体"/>
          <w:b/>
          <w:bCs/>
          <w:snapToGrid w:val="0"/>
          <w:color w:val="auto"/>
          <w:kern w:val="21"/>
          <w:sz w:val="28"/>
          <w:szCs w:val="28"/>
          <w:highlight w:val="none"/>
          <w:lang w:eastAsia="zh-CN"/>
        </w:rPr>
        <w:t>生态环境分区管控分析报告</w:t>
      </w:r>
      <w:bookmarkEnd w:id="66"/>
    </w:p>
    <w:p w14:paraId="67A448A9">
      <w:pPr>
        <w:pStyle w:val="16"/>
        <w:ind w:left="0" w:leftChars="0" w:firstLine="0" w:firstLineChars="0"/>
        <w:jc w:val="center"/>
        <w:rPr>
          <w:rFonts w:hint="default"/>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7192010" cy="5085715"/>
            <wp:effectExtent l="0" t="0" r="8890" b="635"/>
            <wp:docPr id="59" name="图片 59" descr="鸡西市大福煤炭销售有限公司_2024年10月24日162153_分析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鸡西市大福煤炭销售有限公司_2024年10月24日162153_分析报告_00"/>
                    <pic:cNvPicPr>
                      <a:picLocks noChangeAspect="1"/>
                    </pic:cNvPicPr>
                  </pic:nvPicPr>
                  <pic:blipFill>
                    <a:blip r:embed="rId61"/>
                    <a:stretch>
                      <a:fillRect/>
                    </a:stretch>
                  </pic:blipFill>
                  <pic:spPr>
                    <a:xfrm>
                      <a:off x="0" y="0"/>
                      <a:ext cx="7192010" cy="5085715"/>
                    </a:xfrm>
                    <a:prstGeom prst="rect">
                      <a:avLst/>
                    </a:prstGeom>
                  </pic:spPr>
                </pic:pic>
              </a:graphicData>
            </a:graphic>
          </wp:inline>
        </w:drawing>
      </w:r>
    </w:p>
    <w:p w14:paraId="5A46CAFB">
      <w:pPr>
        <w:pStyle w:val="16"/>
        <w:ind w:left="0" w:leftChars="0" w:firstLine="0" w:firstLineChars="0"/>
        <w:rPr>
          <w:rFonts w:hint="default"/>
          <w:lang w:val="en-US" w:eastAsia="zh-CN"/>
        </w:rPr>
      </w:pPr>
      <w:r>
        <w:rPr>
          <w:rFonts w:hint="default"/>
          <w:lang w:val="en-US" w:eastAsia="zh-CN"/>
        </w:rPr>
        <w:drawing>
          <wp:inline distT="0" distB="0" distL="114300" distR="114300">
            <wp:extent cx="7678420" cy="5429250"/>
            <wp:effectExtent l="0" t="0" r="17780" b="0"/>
            <wp:docPr id="57" name="图片 57" descr="鸡西市大福煤炭销售有限公司_2024年10月24日162153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鸡西市大福煤炭销售有限公司_2024年10月24日162153_分析报告_02"/>
                    <pic:cNvPicPr>
                      <a:picLocks noChangeAspect="1"/>
                    </pic:cNvPicPr>
                  </pic:nvPicPr>
                  <pic:blipFill>
                    <a:blip r:embed="rId62"/>
                    <a:stretch>
                      <a:fillRect/>
                    </a:stretch>
                  </pic:blipFill>
                  <pic:spPr>
                    <a:xfrm>
                      <a:off x="0" y="0"/>
                      <a:ext cx="7678420" cy="5429250"/>
                    </a:xfrm>
                    <a:prstGeom prst="rect">
                      <a:avLst/>
                    </a:prstGeom>
                  </pic:spPr>
                </pic:pic>
              </a:graphicData>
            </a:graphic>
          </wp:inline>
        </w:drawing>
      </w:r>
      <w:r>
        <w:rPr>
          <w:rFonts w:hint="default"/>
          <w:lang w:val="en-US" w:eastAsia="zh-CN"/>
        </w:rPr>
        <w:drawing>
          <wp:inline distT="0" distB="0" distL="114300" distR="114300">
            <wp:extent cx="7879715" cy="5571490"/>
            <wp:effectExtent l="0" t="0" r="6985" b="10160"/>
            <wp:docPr id="31" name="图片 31" descr="鸡西市大福煤炭销售有限公司_2024年10月24日162153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鸡西市大福煤炭销售有限公司_2024年10月24日162153_分析报告_03"/>
                    <pic:cNvPicPr>
                      <a:picLocks noChangeAspect="1"/>
                    </pic:cNvPicPr>
                  </pic:nvPicPr>
                  <pic:blipFill>
                    <a:blip r:embed="rId63"/>
                    <a:stretch>
                      <a:fillRect/>
                    </a:stretch>
                  </pic:blipFill>
                  <pic:spPr>
                    <a:xfrm>
                      <a:off x="0" y="0"/>
                      <a:ext cx="7879715" cy="5571490"/>
                    </a:xfrm>
                    <a:prstGeom prst="rect">
                      <a:avLst/>
                    </a:prstGeom>
                  </pic:spPr>
                </pic:pic>
              </a:graphicData>
            </a:graphic>
          </wp:inline>
        </w:drawing>
      </w:r>
      <w:r>
        <w:rPr>
          <w:rFonts w:hint="default"/>
          <w:lang w:val="en-US" w:eastAsia="zh-CN"/>
        </w:rPr>
        <w:drawing>
          <wp:inline distT="0" distB="0" distL="114300" distR="114300">
            <wp:extent cx="7827010" cy="5534025"/>
            <wp:effectExtent l="0" t="0" r="2540" b="9525"/>
            <wp:docPr id="27" name="图片 27" descr="鸡西市大福煤炭销售有限公司_2024年10月24日162153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鸡西市大福煤炭销售有限公司_2024年10月24日162153_分析报告_04"/>
                    <pic:cNvPicPr>
                      <a:picLocks noChangeAspect="1"/>
                    </pic:cNvPicPr>
                  </pic:nvPicPr>
                  <pic:blipFill>
                    <a:blip r:embed="rId64"/>
                    <a:stretch>
                      <a:fillRect/>
                    </a:stretch>
                  </pic:blipFill>
                  <pic:spPr>
                    <a:xfrm>
                      <a:off x="0" y="0"/>
                      <a:ext cx="7827010" cy="5534025"/>
                    </a:xfrm>
                    <a:prstGeom prst="rect">
                      <a:avLst/>
                    </a:prstGeom>
                  </pic:spPr>
                </pic:pic>
              </a:graphicData>
            </a:graphic>
          </wp:inline>
        </w:drawing>
      </w:r>
      <w:r>
        <w:rPr>
          <w:rFonts w:hint="default"/>
          <w:lang w:val="en-US" w:eastAsia="zh-CN"/>
        </w:rPr>
        <w:drawing>
          <wp:inline distT="0" distB="0" distL="114300" distR="114300">
            <wp:extent cx="7826375" cy="5534025"/>
            <wp:effectExtent l="0" t="0" r="3175" b="9525"/>
            <wp:docPr id="26" name="图片 26" descr="鸡西市大福煤炭销售有限公司_2024年10月24日162153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鸡西市大福煤炭销售有限公司_2024年10月24日162153_分析报告_05"/>
                    <pic:cNvPicPr>
                      <a:picLocks noChangeAspect="1"/>
                    </pic:cNvPicPr>
                  </pic:nvPicPr>
                  <pic:blipFill>
                    <a:blip r:embed="rId65"/>
                    <a:stretch>
                      <a:fillRect/>
                    </a:stretch>
                  </pic:blipFill>
                  <pic:spPr>
                    <a:xfrm>
                      <a:off x="0" y="0"/>
                      <a:ext cx="7826375" cy="5534025"/>
                    </a:xfrm>
                    <a:prstGeom prst="rect">
                      <a:avLst/>
                    </a:prstGeom>
                  </pic:spPr>
                </pic:pic>
              </a:graphicData>
            </a:graphic>
          </wp:inline>
        </w:drawing>
      </w:r>
      <w:r>
        <w:rPr>
          <w:rFonts w:hint="default"/>
          <w:lang w:val="en-US" w:eastAsia="zh-CN"/>
        </w:rPr>
        <w:drawing>
          <wp:inline distT="0" distB="0" distL="114300" distR="114300">
            <wp:extent cx="7879080" cy="5570855"/>
            <wp:effectExtent l="0" t="0" r="7620" b="10795"/>
            <wp:docPr id="24" name="图片 24" descr="鸡西市大福煤炭销售有限公司_2024年10月24日162153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鸡西市大福煤炭销售有限公司_2024年10月24日162153_分析报告_06"/>
                    <pic:cNvPicPr>
                      <a:picLocks noChangeAspect="1"/>
                    </pic:cNvPicPr>
                  </pic:nvPicPr>
                  <pic:blipFill>
                    <a:blip r:embed="rId66"/>
                    <a:stretch>
                      <a:fillRect/>
                    </a:stretch>
                  </pic:blipFill>
                  <pic:spPr>
                    <a:xfrm>
                      <a:off x="0" y="0"/>
                      <a:ext cx="7879080" cy="5570855"/>
                    </a:xfrm>
                    <a:prstGeom prst="rect">
                      <a:avLst/>
                    </a:prstGeom>
                  </pic:spPr>
                </pic:pic>
              </a:graphicData>
            </a:graphic>
          </wp:inline>
        </w:drawing>
      </w:r>
      <w:r>
        <w:rPr>
          <w:rFonts w:hint="default"/>
          <w:lang w:val="en-US" w:eastAsia="zh-CN"/>
        </w:rPr>
        <w:drawing>
          <wp:inline distT="0" distB="0" distL="114300" distR="114300">
            <wp:extent cx="8027035" cy="5675630"/>
            <wp:effectExtent l="0" t="0" r="12065" b="1270"/>
            <wp:docPr id="21" name="图片 21" descr="鸡西市大福煤炭销售有限公司_2024年10月24日162153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鸡西市大福煤炭销售有限公司_2024年10月24日162153_分析报告_07"/>
                    <pic:cNvPicPr>
                      <a:picLocks noChangeAspect="1"/>
                    </pic:cNvPicPr>
                  </pic:nvPicPr>
                  <pic:blipFill>
                    <a:blip r:embed="rId67"/>
                    <a:stretch>
                      <a:fillRect/>
                    </a:stretch>
                  </pic:blipFill>
                  <pic:spPr>
                    <a:xfrm>
                      <a:off x="0" y="0"/>
                      <a:ext cx="8027035" cy="5675630"/>
                    </a:xfrm>
                    <a:prstGeom prst="rect">
                      <a:avLst/>
                    </a:prstGeom>
                  </pic:spPr>
                </pic:pic>
              </a:graphicData>
            </a:graphic>
          </wp:inline>
        </w:drawing>
      </w:r>
      <w:r>
        <w:rPr>
          <w:rFonts w:hint="default"/>
          <w:lang w:val="en-US" w:eastAsia="zh-CN"/>
        </w:rPr>
        <w:drawing>
          <wp:inline distT="0" distB="0" distL="114300" distR="114300">
            <wp:extent cx="7963535" cy="5630545"/>
            <wp:effectExtent l="0" t="0" r="18415" b="8255"/>
            <wp:docPr id="19" name="图片 19" descr="鸡西市大福煤炭销售有限公司_2024年10月24日162153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鸡西市大福煤炭销售有限公司_2024年10月24日162153_分析报告_08"/>
                    <pic:cNvPicPr>
                      <a:picLocks noChangeAspect="1"/>
                    </pic:cNvPicPr>
                  </pic:nvPicPr>
                  <pic:blipFill>
                    <a:blip r:embed="rId68"/>
                    <a:stretch>
                      <a:fillRect/>
                    </a:stretch>
                  </pic:blipFill>
                  <pic:spPr>
                    <a:xfrm>
                      <a:off x="0" y="0"/>
                      <a:ext cx="7963535" cy="5630545"/>
                    </a:xfrm>
                    <a:prstGeom prst="rect">
                      <a:avLst/>
                    </a:prstGeom>
                  </pic:spPr>
                </pic:pic>
              </a:graphicData>
            </a:graphic>
          </wp:inline>
        </w:drawing>
      </w:r>
      <w:r>
        <w:rPr>
          <w:rFonts w:hint="default"/>
          <w:lang w:val="en-US" w:eastAsia="zh-CN"/>
        </w:rPr>
        <w:drawing>
          <wp:inline distT="0" distB="0" distL="114300" distR="114300">
            <wp:extent cx="8069580" cy="5706110"/>
            <wp:effectExtent l="0" t="0" r="7620" b="8890"/>
            <wp:docPr id="3" name="图片 3" descr="鸡西市大福煤炭销售有限公司_2024年10月24日162153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鸡西市大福煤炭销售有限公司_2024年10月24日162153_分析报告_09"/>
                    <pic:cNvPicPr>
                      <a:picLocks noChangeAspect="1"/>
                    </pic:cNvPicPr>
                  </pic:nvPicPr>
                  <pic:blipFill>
                    <a:blip r:embed="rId69"/>
                    <a:stretch>
                      <a:fillRect/>
                    </a:stretch>
                  </pic:blipFill>
                  <pic:spPr>
                    <a:xfrm>
                      <a:off x="0" y="0"/>
                      <a:ext cx="8069580" cy="5706110"/>
                    </a:xfrm>
                    <a:prstGeom prst="rect">
                      <a:avLst/>
                    </a:prstGeom>
                  </pic:spPr>
                </pic:pic>
              </a:graphicData>
            </a:graphic>
          </wp:inline>
        </w:drawing>
      </w:r>
    </w:p>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
    <w:panose1 w:val="02010609060101010101"/>
    <w:charset w:val="86"/>
    <w:family w:val="auto"/>
    <w:pitch w:val="default"/>
    <w:sig w:usb0="800002BF" w:usb1="38CF7CFA" w:usb2="00000016" w:usb3="00000000" w:csb0="00040001" w:csb1="00000000"/>
  </w:font>
  <w:font w:name="Cambria">
    <w:panose1 w:val="020405030504060A0204"/>
    <w:charset w:val="00"/>
    <w:family w:val="roman"/>
    <w:pitch w:val="default"/>
    <w:sig w:usb0="E00002FF" w:usb1="4000045F" w:usb2="00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华文行楷">
    <w:panose1 w:val="02010800040101010101"/>
    <w:charset w:val="86"/>
    <w:family w:val="auto"/>
    <w:pitch w:val="default"/>
    <w:sig w:usb0="00000001" w:usb1="080F0000" w:usb2="0000000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方正仿宋_GBK">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 w:name="方正小标宋_GBK">
    <w:altName w:val="微软雅黑"/>
    <w:panose1 w:val="03000509000000000000"/>
    <w:charset w:val="86"/>
    <w:family w:val="script"/>
    <w:pitch w:val="default"/>
    <w:sig w:usb0="00000000" w:usb1="00000000" w:usb2="00000010" w:usb3="00000000" w:csb0="00040000" w:csb1="00000000"/>
  </w:font>
  <w:font w:name="Wingdings 2">
    <w:panose1 w:val="05020102010507070707"/>
    <w:charset w:val="00"/>
    <w:family w:val="auto"/>
    <w:pitch w:val="default"/>
    <w:sig w:usb0="00000000" w:usb1="00000000" w:usb2="00000000" w:usb3="00000000" w:csb0="80000000" w:csb1="00000000"/>
  </w:font>
  <w:font w:name="Times New Roman Regular">
    <w:altName w:val="Times New Roman"/>
    <w:panose1 w:val="02020603050405020304"/>
    <w:charset w:val="00"/>
    <w:family w:val="auto"/>
    <w:pitch w:val="default"/>
    <w:sig w:usb0="00000000" w:usb1="00000000" w:usb2="00000009" w:usb3="00000000" w:csb0="400001FF" w:csb1="FFFF0000"/>
  </w:font>
  <w:font w:name="DejaVu Math TeX Gyre">
    <w:panose1 w:val="02000503000000000000"/>
    <w:charset w:val="00"/>
    <w:family w:val="auto"/>
    <w:pitch w:val="default"/>
    <w:sig w:usb0="A10000EF" w:usb1="4201F9EE" w:usb2="02000000" w:usb3="00000000" w:csb0="60000193" w:csb1="0DD4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80F800">
    <w:pPr>
      <w:pStyle w:val="21"/>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145D19">
    <w:pPr>
      <w:pStyle w:val="21"/>
      <w:framePr w:wrap="around" w:vAnchor="text" w:hAnchor="margin" w:xAlign="center" w:y="1"/>
      <w:rPr>
        <w:rStyle w:val="35"/>
      </w:rPr>
    </w:pPr>
    <w:r>
      <w:fldChar w:fldCharType="begin"/>
    </w:r>
    <w:r>
      <w:rPr>
        <w:rStyle w:val="35"/>
      </w:rPr>
      <w:instrText xml:space="preserve">PAGE  </w:instrText>
    </w:r>
    <w:r>
      <w:fldChar w:fldCharType="end"/>
    </w:r>
  </w:p>
  <w:p w14:paraId="753BDAED">
    <w:pPr>
      <w:pStyle w:val="2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455584">
    <w:pPr>
      <w:pStyle w:val="21"/>
    </w:pPr>
    <w:r>
      <w:rPr>
        <w:sz w:val="18"/>
      </w:rPr>
      <mc:AlternateContent>
        <mc:Choice Requires="wps">
          <w:drawing>
            <wp:anchor distT="0" distB="0" distL="114300" distR="114300" simplePos="0" relativeHeight="251661312" behindDoc="0" locked="0" layoutInCell="1" allowOverlap="1">
              <wp:simplePos x="0" y="0"/>
              <wp:positionH relativeFrom="margin">
                <wp:posOffset>2677795</wp:posOffset>
              </wp:positionH>
              <wp:positionV relativeFrom="paragraph">
                <wp:posOffset>-52705</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916EA2C">
                          <w:pPr>
                            <w:pStyle w:val="21"/>
                            <w:rPr>
                              <w:rStyle w:val="35"/>
                              <w:rFonts w:ascii="宋体" w:hAnsi="宋体"/>
                              <w:sz w:val="28"/>
                              <w:szCs w:val="28"/>
                            </w:rPr>
                          </w:pPr>
                          <w:r>
                            <w:rPr>
                              <w:rFonts w:hint="eastAsia" w:ascii="宋体" w:hAnsi="宋体"/>
                              <w:sz w:val="26"/>
                              <w:szCs w:val="26"/>
                              <w:lang w:val="en-US" w:eastAsia="zh-CN"/>
                            </w:rPr>
                            <w:t xml:space="preserve">    </w:t>
                          </w:r>
                          <w:r>
                            <w:rPr>
                              <w:rFonts w:hint="default" w:ascii="Times New Roman" w:hAnsi="Times New Roman" w:cs="Times New Roman"/>
                              <w:sz w:val="18"/>
                              <w:szCs w:val="18"/>
                            </w:rPr>
                            <w:fldChar w:fldCharType="begin"/>
                          </w:r>
                          <w:r>
                            <w:rPr>
                              <w:rStyle w:val="35"/>
                              <w:rFonts w:hint="default" w:ascii="Times New Roman" w:hAnsi="Times New Roman" w:cs="Times New Roman"/>
                              <w:sz w:val="18"/>
                              <w:szCs w:val="18"/>
                            </w:rPr>
                            <w:instrText xml:space="preserve">PAGE  </w:instrText>
                          </w:r>
                          <w:r>
                            <w:rPr>
                              <w:rFonts w:hint="default" w:ascii="Times New Roman" w:hAnsi="Times New Roman" w:cs="Times New Roman"/>
                              <w:sz w:val="18"/>
                              <w:szCs w:val="18"/>
                            </w:rPr>
                            <w:fldChar w:fldCharType="separate"/>
                          </w:r>
                          <w:r>
                            <w:rPr>
                              <w:rStyle w:val="35"/>
                              <w:rFonts w:hint="default" w:ascii="Times New Roman" w:hAnsi="Times New Roman" w:cs="Times New Roman"/>
                              <w:sz w:val="18"/>
                              <w:szCs w:val="18"/>
                            </w:rPr>
                            <w:t>9</w:t>
                          </w:r>
                          <w:r>
                            <w:rPr>
                              <w:rFonts w:hint="default" w:ascii="Times New Roman" w:hAnsi="Times New Roman" w:cs="Times New Roman"/>
                              <w:sz w:val="18"/>
                              <w:szCs w:val="1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left:210.85pt;margin-top:-4.15pt;height:144pt;width:144pt;mso-position-horizontal-relative:margin;mso-wrap-style:none;z-index:251661312;mso-width-relative:page;mso-height-relative:page;" filled="f" stroked="f" coordsize="21600,21600" o:gfxdata="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N4PnpDVAAAACgEAAA8AAAAAAAAAAQAgAAAAIgAAAGRycy9k&#10;b3ducmV2LnhtbFBLAQIUABQAAAAIAIdO4kAXSZTlzAEAAKcDAAAOAAAAAAAAAAEAIAAAACQBAABk&#10;cnMvZTJvRG9jLnhtbFBLBQYAAAAABgAGAFkBAABiBQAAAAA=&#10;">
              <v:fill on="f" focussize="0,0"/>
              <v:stroke on="f"/>
              <v:imagedata o:title=""/>
              <o:lock v:ext="edit" aspectratio="f"/>
              <v:textbox inset="0mm,0mm,0mm,0mm" style="mso-fit-shape-to-text:t;">
                <w:txbxContent>
                  <w:p w14:paraId="6916EA2C">
                    <w:pPr>
                      <w:pStyle w:val="21"/>
                      <w:rPr>
                        <w:rStyle w:val="35"/>
                        <w:rFonts w:ascii="宋体" w:hAnsi="宋体"/>
                        <w:sz w:val="28"/>
                        <w:szCs w:val="28"/>
                      </w:rPr>
                    </w:pPr>
                    <w:r>
                      <w:rPr>
                        <w:rFonts w:hint="eastAsia" w:ascii="宋体" w:hAnsi="宋体"/>
                        <w:sz w:val="26"/>
                        <w:szCs w:val="26"/>
                        <w:lang w:val="en-US" w:eastAsia="zh-CN"/>
                      </w:rPr>
                      <w:t xml:space="preserve">    </w:t>
                    </w:r>
                    <w:r>
                      <w:rPr>
                        <w:rFonts w:hint="default" w:ascii="Times New Roman" w:hAnsi="Times New Roman" w:cs="Times New Roman"/>
                        <w:sz w:val="18"/>
                        <w:szCs w:val="18"/>
                      </w:rPr>
                      <w:fldChar w:fldCharType="begin"/>
                    </w:r>
                    <w:r>
                      <w:rPr>
                        <w:rStyle w:val="35"/>
                        <w:rFonts w:hint="default" w:ascii="Times New Roman" w:hAnsi="Times New Roman" w:cs="Times New Roman"/>
                        <w:sz w:val="18"/>
                        <w:szCs w:val="18"/>
                      </w:rPr>
                      <w:instrText xml:space="preserve">PAGE  </w:instrText>
                    </w:r>
                    <w:r>
                      <w:rPr>
                        <w:rFonts w:hint="default" w:ascii="Times New Roman" w:hAnsi="Times New Roman" w:cs="Times New Roman"/>
                        <w:sz w:val="18"/>
                        <w:szCs w:val="18"/>
                      </w:rPr>
                      <w:fldChar w:fldCharType="separate"/>
                    </w:r>
                    <w:r>
                      <w:rPr>
                        <w:rStyle w:val="35"/>
                        <w:rFonts w:hint="default" w:ascii="Times New Roman" w:hAnsi="Times New Roman" w:cs="Times New Roman"/>
                        <w:sz w:val="18"/>
                        <w:szCs w:val="18"/>
                      </w:rPr>
                      <w:t>9</w:t>
                    </w:r>
                    <w:r>
                      <w:rPr>
                        <w:rFonts w:hint="default" w:ascii="Times New Roman" w:hAnsi="Times New Roman" w:cs="Times New Roman"/>
                        <w:sz w:val="18"/>
                        <w:szCs w:val="18"/>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59E542">
    <w:pPr>
      <w:pStyle w:val="21"/>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AD633B">
    <w:pPr>
      <w:pStyle w:val="21"/>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FFC2DA">
                          <w:pPr>
                            <w:pStyle w:val="2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2BFFC2DA">
                    <w:pPr>
                      <w:pStyle w:val="2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846A85">
    <w:pPr>
      <w:pStyle w:val="21"/>
      <w:ind w:right="360" w:firstLine="360"/>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11AC44">
                          <w:pPr>
                            <w:pStyle w:val="21"/>
                          </w:pPr>
                          <w:r>
                            <w:fldChar w:fldCharType="begin"/>
                          </w:r>
                          <w:r>
                            <w:instrText xml:space="preserve"> PAGE  \* MERGEFORMAT </w:instrText>
                          </w:r>
                          <w:r>
                            <w:fldChar w:fldCharType="separate"/>
                          </w:r>
                          <w:r>
                            <w:t>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4C11AC44">
                    <w:pPr>
                      <w:pStyle w:val="21"/>
                    </w:pPr>
                    <w:r>
                      <w:fldChar w:fldCharType="begin"/>
                    </w:r>
                    <w:r>
                      <w:instrText xml:space="preserve"> PAGE  \* MERGEFORMAT </w:instrText>
                    </w:r>
                    <w:r>
                      <w:fldChar w:fldCharType="separate"/>
                    </w:r>
                    <w:r>
                      <w:t>41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C55EE6">
    <w:pPr>
      <w:pStyle w:val="21"/>
      <w:ind w:right="360"/>
      <w:jc w:val="cente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EF6FC2">
                          <w:pPr>
                            <w:pStyle w:val="21"/>
                          </w:pPr>
                          <w:r>
                            <w:fldChar w:fldCharType="begin"/>
                          </w:r>
                          <w:r>
                            <w:instrText xml:space="preserve"> PAGE  \* MERGEFORMAT </w:instrText>
                          </w:r>
                          <w:r>
                            <w:fldChar w:fldCharType="separate"/>
                          </w:r>
                          <w:r>
                            <w:t>46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14:paraId="6AEF6FC2">
                    <w:pPr>
                      <w:pStyle w:val="21"/>
                    </w:pPr>
                    <w:r>
                      <w:fldChar w:fldCharType="begin"/>
                    </w:r>
                    <w:r>
                      <w:instrText xml:space="preserve"> PAGE  \* MERGEFORMAT </w:instrText>
                    </w:r>
                    <w:r>
                      <w:fldChar w:fldCharType="separate"/>
                    </w:r>
                    <w:r>
                      <w:t>46</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FB981C">
    <w:pPr>
      <w:pStyle w:val="14"/>
      <w:pBdr>
        <w:bottom w:val="none" w:color="auto" w:sz="0" w:space="0"/>
      </w:pBd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907464"/>
    <w:multiLevelType w:val="singleLevel"/>
    <w:tmpl w:val="82907464"/>
    <w:lvl w:ilvl="0" w:tentative="0">
      <w:start w:val="1"/>
      <w:numFmt w:val="decimal"/>
      <w:suff w:val="nothing"/>
      <w:lvlText w:val="（%1）"/>
      <w:lvlJc w:val="left"/>
    </w:lvl>
  </w:abstractNum>
  <w:abstractNum w:abstractNumId="1">
    <w:nsid w:val="8B793D8A"/>
    <w:multiLevelType w:val="singleLevel"/>
    <w:tmpl w:val="8B793D8A"/>
    <w:lvl w:ilvl="0" w:tentative="0">
      <w:start w:val="1"/>
      <w:numFmt w:val="decimal"/>
      <w:suff w:val="nothing"/>
      <w:lvlText w:val="%1）"/>
      <w:lvlJc w:val="left"/>
    </w:lvl>
  </w:abstractNum>
  <w:abstractNum w:abstractNumId="2">
    <w:nsid w:val="955D8329"/>
    <w:multiLevelType w:val="singleLevel"/>
    <w:tmpl w:val="955D8329"/>
    <w:lvl w:ilvl="0" w:tentative="0">
      <w:start w:val="5"/>
      <w:numFmt w:val="chineseCounting"/>
      <w:suff w:val="nothing"/>
      <w:lvlText w:val="%1、"/>
      <w:lvlJc w:val="left"/>
      <w:rPr>
        <w:rFonts w:hint="eastAsia"/>
      </w:rPr>
    </w:lvl>
  </w:abstractNum>
  <w:abstractNum w:abstractNumId="3">
    <w:nsid w:val="0CCB7980"/>
    <w:multiLevelType w:val="singleLevel"/>
    <w:tmpl w:val="0CCB7980"/>
    <w:lvl w:ilvl="0" w:tentative="0">
      <w:start w:val="1"/>
      <w:numFmt w:val="decimal"/>
      <w:suff w:val="nothing"/>
      <w:lvlText w:val="%1）"/>
      <w:lvlJc w:val="left"/>
    </w:lvl>
  </w:abstractNum>
  <w:abstractNum w:abstractNumId="4">
    <w:nsid w:val="11473D6C"/>
    <w:multiLevelType w:val="singleLevel"/>
    <w:tmpl w:val="11473D6C"/>
    <w:lvl w:ilvl="0" w:tentative="0">
      <w:start w:val="4"/>
      <w:numFmt w:val="chineseCounting"/>
      <w:suff w:val="nothing"/>
      <w:lvlText w:val="%1、"/>
      <w:lvlJc w:val="left"/>
      <w:rPr>
        <w:rFonts w:hint="eastAsia"/>
      </w:rPr>
    </w:lvl>
  </w:abstractNum>
  <w:abstractNum w:abstractNumId="5">
    <w:nsid w:val="17F9D626"/>
    <w:multiLevelType w:val="singleLevel"/>
    <w:tmpl w:val="17F9D626"/>
    <w:lvl w:ilvl="0" w:tentative="0">
      <w:start w:val="1"/>
      <w:numFmt w:val="decimal"/>
      <w:suff w:val="nothing"/>
      <w:lvlText w:val="（%1）"/>
      <w:lvlJc w:val="left"/>
    </w:lvl>
  </w:abstractNum>
  <w:abstractNum w:abstractNumId="6">
    <w:nsid w:val="1F3822FC"/>
    <w:multiLevelType w:val="singleLevel"/>
    <w:tmpl w:val="1F3822FC"/>
    <w:lvl w:ilvl="0" w:tentative="0">
      <w:start w:val="2"/>
      <w:numFmt w:val="decimal"/>
      <w:suff w:val="nothing"/>
      <w:lvlText w:val="%1）"/>
      <w:lvlJc w:val="left"/>
    </w:lvl>
  </w:abstractNum>
  <w:abstractNum w:abstractNumId="7">
    <w:nsid w:val="57269752"/>
    <w:multiLevelType w:val="singleLevel"/>
    <w:tmpl w:val="57269752"/>
    <w:lvl w:ilvl="0" w:tentative="0">
      <w:start w:val="1"/>
      <w:numFmt w:val="decimal"/>
      <w:suff w:val="nothing"/>
      <w:lvlText w:val="%1、"/>
      <w:lvlJc w:val="left"/>
      <w:pPr>
        <w:ind w:left="-62"/>
      </w:pPr>
    </w:lvl>
  </w:abstractNum>
  <w:abstractNum w:abstractNumId="8">
    <w:nsid w:val="720B1538"/>
    <w:multiLevelType w:val="singleLevel"/>
    <w:tmpl w:val="720B1538"/>
    <w:lvl w:ilvl="0" w:tentative="0">
      <w:start w:val="1"/>
      <w:numFmt w:val="bullet"/>
      <w:pStyle w:val="18"/>
      <w:lvlText w:val=""/>
      <w:lvlJc w:val="left"/>
      <w:pPr>
        <w:tabs>
          <w:tab w:val="left" w:pos="2040"/>
        </w:tabs>
        <w:ind w:left="2040" w:hanging="360"/>
      </w:pPr>
      <w:rPr>
        <w:rFonts w:hint="default" w:ascii="Wingdings" w:hAnsi="Wingdings"/>
      </w:rPr>
    </w:lvl>
  </w:abstractNum>
  <w:num w:numId="1">
    <w:abstractNumId w:val="8"/>
  </w:num>
  <w:num w:numId="2">
    <w:abstractNumId w:val="4"/>
  </w:num>
  <w:num w:numId="3">
    <w:abstractNumId w:val="0"/>
  </w:num>
  <w:num w:numId="4">
    <w:abstractNumId w:val="7"/>
  </w:num>
  <w:num w:numId="5">
    <w:abstractNumId w:val="3"/>
  </w:num>
  <w:num w:numId="6">
    <w:abstractNumId w:val="1"/>
  </w:num>
  <w:num w:numId="7">
    <w:abstractNumId w:val="6"/>
  </w:num>
  <w:num w:numId="8">
    <w:abstractNumId w:val="5"/>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IzZDg2OTg1ZGRmMzJkNmQ1ZjhmNjk4Y2Q0MzI0MWIifQ=="/>
  </w:docVars>
  <w:rsids>
    <w:rsidRoot w:val="00172A27"/>
    <w:rsid w:val="000060B3"/>
    <w:rsid w:val="00021497"/>
    <w:rsid w:val="0004364B"/>
    <w:rsid w:val="00044EF2"/>
    <w:rsid w:val="000574CF"/>
    <w:rsid w:val="00061B1F"/>
    <w:rsid w:val="000733C4"/>
    <w:rsid w:val="00074783"/>
    <w:rsid w:val="0008070B"/>
    <w:rsid w:val="000810AC"/>
    <w:rsid w:val="00081A02"/>
    <w:rsid w:val="00082231"/>
    <w:rsid w:val="00092D38"/>
    <w:rsid w:val="0009377B"/>
    <w:rsid w:val="000A20C9"/>
    <w:rsid w:val="000A6DDD"/>
    <w:rsid w:val="000B058F"/>
    <w:rsid w:val="000B4467"/>
    <w:rsid w:val="000B4DB9"/>
    <w:rsid w:val="000C024B"/>
    <w:rsid w:val="000C09AC"/>
    <w:rsid w:val="000C2236"/>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5F6D"/>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3231"/>
    <w:rsid w:val="00264557"/>
    <w:rsid w:val="002805AB"/>
    <w:rsid w:val="00284204"/>
    <w:rsid w:val="00291773"/>
    <w:rsid w:val="00293090"/>
    <w:rsid w:val="002A168C"/>
    <w:rsid w:val="002A3DC7"/>
    <w:rsid w:val="002B49E2"/>
    <w:rsid w:val="002B7B00"/>
    <w:rsid w:val="002B7C44"/>
    <w:rsid w:val="002C2B17"/>
    <w:rsid w:val="002D3DD0"/>
    <w:rsid w:val="002E01C1"/>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17EF4"/>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4F51E5"/>
    <w:rsid w:val="00501EE6"/>
    <w:rsid w:val="005039CB"/>
    <w:rsid w:val="0050558F"/>
    <w:rsid w:val="00506286"/>
    <w:rsid w:val="00510813"/>
    <w:rsid w:val="00511990"/>
    <w:rsid w:val="00511DE0"/>
    <w:rsid w:val="00514870"/>
    <w:rsid w:val="00514B9B"/>
    <w:rsid w:val="00515C5E"/>
    <w:rsid w:val="00517F02"/>
    <w:rsid w:val="00524303"/>
    <w:rsid w:val="005258A2"/>
    <w:rsid w:val="00533BFA"/>
    <w:rsid w:val="005401AE"/>
    <w:rsid w:val="00542E07"/>
    <w:rsid w:val="00545424"/>
    <w:rsid w:val="00554A7B"/>
    <w:rsid w:val="0055572C"/>
    <w:rsid w:val="0056106A"/>
    <w:rsid w:val="005720AE"/>
    <w:rsid w:val="00582CB2"/>
    <w:rsid w:val="00594D77"/>
    <w:rsid w:val="005969E4"/>
    <w:rsid w:val="005A06B7"/>
    <w:rsid w:val="005A1759"/>
    <w:rsid w:val="005A68A7"/>
    <w:rsid w:val="005D36AB"/>
    <w:rsid w:val="005F65CD"/>
    <w:rsid w:val="00617CC3"/>
    <w:rsid w:val="006377A6"/>
    <w:rsid w:val="00637A3D"/>
    <w:rsid w:val="006411EF"/>
    <w:rsid w:val="00643BE3"/>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07DA"/>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D57FB"/>
    <w:rsid w:val="007E4BD2"/>
    <w:rsid w:val="007F27CB"/>
    <w:rsid w:val="00801393"/>
    <w:rsid w:val="00802F88"/>
    <w:rsid w:val="0081293E"/>
    <w:rsid w:val="00815465"/>
    <w:rsid w:val="00817E9A"/>
    <w:rsid w:val="008306BD"/>
    <w:rsid w:val="00831A80"/>
    <w:rsid w:val="00832E10"/>
    <w:rsid w:val="00833743"/>
    <w:rsid w:val="008340A4"/>
    <w:rsid w:val="008555F9"/>
    <w:rsid w:val="0087135F"/>
    <w:rsid w:val="00872D94"/>
    <w:rsid w:val="00880364"/>
    <w:rsid w:val="00891592"/>
    <w:rsid w:val="00891E9E"/>
    <w:rsid w:val="00893649"/>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25AC"/>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3C63"/>
    <w:rsid w:val="00A368DB"/>
    <w:rsid w:val="00A423AA"/>
    <w:rsid w:val="00A53EC6"/>
    <w:rsid w:val="00A55C0F"/>
    <w:rsid w:val="00A81052"/>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02C3E"/>
    <w:rsid w:val="00B1295A"/>
    <w:rsid w:val="00B20A45"/>
    <w:rsid w:val="00B22C5C"/>
    <w:rsid w:val="00B24F30"/>
    <w:rsid w:val="00B31589"/>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BF2D25"/>
    <w:rsid w:val="00C10578"/>
    <w:rsid w:val="00C135BC"/>
    <w:rsid w:val="00C15C95"/>
    <w:rsid w:val="00C177F8"/>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12F2"/>
    <w:rsid w:val="00C972B1"/>
    <w:rsid w:val="00CA2CCE"/>
    <w:rsid w:val="00CA43FD"/>
    <w:rsid w:val="00CA7EF8"/>
    <w:rsid w:val="00CC489B"/>
    <w:rsid w:val="00CD2BCD"/>
    <w:rsid w:val="00CD3A4C"/>
    <w:rsid w:val="00CE10E9"/>
    <w:rsid w:val="00CE2910"/>
    <w:rsid w:val="00CE4A73"/>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E4B50"/>
    <w:rsid w:val="00DF2E12"/>
    <w:rsid w:val="00DF514A"/>
    <w:rsid w:val="00DF6690"/>
    <w:rsid w:val="00DF6804"/>
    <w:rsid w:val="00E0358D"/>
    <w:rsid w:val="00E04323"/>
    <w:rsid w:val="00E070A2"/>
    <w:rsid w:val="00E1224E"/>
    <w:rsid w:val="00E2656A"/>
    <w:rsid w:val="00E371FE"/>
    <w:rsid w:val="00E412D0"/>
    <w:rsid w:val="00E56322"/>
    <w:rsid w:val="00E60982"/>
    <w:rsid w:val="00E62C62"/>
    <w:rsid w:val="00E654C1"/>
    <w:rsid w:val="00E65D97"/>
    <w:rsid w:val="00E72A5A"/>
    <w:rsid w:val="00E73354"/>
    <w:rsid w:val="00E9242D"/>
    <w:rsid w:val="00EB5255"/>
    <w:rsid w:val="00EB5C47"/>
    <w:rsid w:val="00EC42C4"/>
    <w:rsid w:val="00ED0639"/>
    <w:rsid w:val="00EF4755"/>
    <w:rsid w:val="00EF7135"/>
    <w:rsid w:val="00F027DB"/>
    <w:rsid w:val="00F14A7A"/>
    <w:rsid w:val="00F22985"/>
    <w:rsid w:val="00F3383E"/>
    <w:rsid w:val="00F465A7"/>
    <w:rsid w:val="00F50B7C"/>
    <w:rsid w:val="00F550E6"/>
    <w:rsid w:val="00F74345"/>
    <w:rsid w:val="00F7651F"/>
    <w:rsid w:val="00F80A0A"/>
    <w:rsid w:val="00F82B19"/>
    <w:rsid w:val="00F9212D"/>
    <w:rsid w:val="00F9432B"/>
    <w:rsid w:val="00F965DA"/>
    <w:rsid w:val="00FA406A"/>
    <w:rsid w:val="00FB503A"/>
    <w:rsid w:val="00FB516C"/>
    <w:rsid w:val="00FC561B"/>
    <w:rsid w:val="00FD0236"/>
    <w:rsid w:val="00FD18F4"/>
    <w:rsid w:val="00FD54DB"/>
    <w:rsid w:val="00FD619F"/>
    <w:rsid w:val="01095B3D"/>
    <w:rsid w:val="01121891"/>
    <w:rsid w:val="01290F7E"/>
    <w:rsid w:val="012B2578"/>
    <w:rsid w:val="012D1BC7"/>
    <w:rsid w:val="012D245B"/>
    <w:rsid w:val="013730A5"/>
    <w:rsid w:val="013B4944"/>
    <w:rsid w:val="014A092A"/>
    <w:rsid w:val="014D1F33"/>
    <w:rsid w:val="01546AFA"/>
    <w:rsid w:val="015D1E09"/>
    <w:rsid w:val="015E0632"/>
    <w:rsid w:val="01643005"/>
    <w:rsid w:val="01697B05"/>
    <w:rsid w:val="016A7CAE"/>
    <w:rsid w:val="0173585E"/>
    <w:rsid w:val="018263BC"/>
    <w:rsid w:val="018E7169"/>
    <w:rsid w:val="018F4C90"/>
    <w:rsid w:val="019127B6"/>
    <w:rsid w:val="0196601E"/>
    <w:rsid w:val="01973B44"/>
    <w:rsid w:val="01987FE8"/>
    <w:rsid w:val="019F501E"/>
    <w:rsid w:val="01A55AB1"/>
    <w:rsid w:val="01A85D51"/>
    <w:rsid w:val="01A93FA3"/>
    <w:rsid w:val="01AF421C"/>
    <w:rsid w:val="01B432A8"/>
    <w:rsid w:val="01BA61B0"/>
    <w:rsid w:val="01BD0DCF"/>
    <w:rsid w:val="01BE1E1D"/>
    <w:rsid w:val="01C20BC1"/>
    <w:rsid w:val="01C42B8B"/>
    <w:rsid w:val="01C963F3"/>
    <w:rsid w:val="01CC1A40"/>
    <w:rsid w:val="01E23011"/>
    <w:rsid w:val="01E4625C"/>
    <w:rsid w:val="01E919C7"/>
    <w:rsid w:val="020016E9"/>
    <w:rsid w:val="02380E83"/>
    <w:rsid w:val="024017F0"/>
    <w:rsid w:val="024617F2"/>
    <w:rsid w:val="02551A35"/>
    <w:rsid w:val="02581525"/>
    <w:rsid w:val="02584564"/>
    <w:rsid w:val="025A0025"/>
    <w:rsid w:val="025D6B3C"/>
    <w:rsid w:val="02663C42"/>
    <w:rsid w:val="026654AA"/>
    <w:rsid w:val="02697903"/>
    <w:rsid w:val="027F1605"/>
    <w:rsid w:val="028547BB"/>
    <w:rsid w:val="02915E4F"/>
    <w:rsid w:val="0295277A"/>
    <w:rsid w:val="029676DC"/>
    <w:rsid w:val="02994018"/>
    <w:rsid w:val="02A97C92"/>
    <w:rsid w:val="02AB3D4B"/>
    <w:rsid w:val="02AD1871"/>
    <w:rsid w:val="02B04EBD"/>
    <w:rsid w:val="02C137B0"/>
    <w:rsid w:val="02C83C80"/>
    <w:rsid w:val="02CF6E3C"/>
    <w:rsid w:val="02D212D8"/>
    <w:rsid w:val="02DB7CB9"/>
    <w:rsid w:val="02EA7AB7"/>
    <w:rsid w:val="02EB4BB1"/>
    <w:rsid w:val="02EF5EA2"/>
    <w:rsid w:val="02F76877"/>
    <w:rsid w:val="02F96569"/>
    <w:rsid w:val="02FA1637"/>
    <w:rsid w:val="03012D45"/>
    <w:rsid w:val="03045209"/>
    <w:rsid w:val="03135D36"/>
    <w:rsid w:val="031F0B19"/>
    <w:rsid w:val="03231B33"/>
    <w:rsid w:val="033200FC"/>
    <w:rsid w:val="03372C42"/>
    <w:rsid w:val="033755DF"/>
    <w:rsid w:val="03416551"/>
    <w:rsid w:val="0343095E"/>
    <w:rsid w:val="03455F4E"/>
    <w:rsid w:val="034F0987"/>
    <w:rsid w:val="035150E7"/>
    <w:rsid w:val="03556B84"/>
    <w:rsid w:val="03805107"/>
    <w:rsid w:val="03867A70"/>
    <w:rsid w:val="03887BE8"/>
    <w:rsid w:val="038F541B"/>
    <w:rsid w:val="039E706E"/>
    <w:rsid w:val="03A964DC"/>
    <w:rsid w:val="03AC38D7"/>
    <w:rsid w:val="03B66504"/>
    <w:rsid w:val="03D1333D"/>
    <w:rsid w:val="03D52D80"/>
    <w:rsid w:val="03EA7B21"/>
    <w:rsid w:val="04090D29"/>
    <w:rsid w:val="040A684F"/>
    <w:rsid w:val="040F2893"/>
    <w:rsid w:val="040F3E66"/>
    <w:rsid w:val="04116D77"/>
    <w:rsid w:val="04190476"/>
    <w:rsid w:val="04195EF3"/>
    <w:rsid w:val="041D6583"/>
    <w:rsid w:val="042A4837"/>
    <w:rsid w:val="042B2A2D"/>
    <w:rsid w:val="042C4A18"/>
    <w:rsid w:val="04432587"/>
    <w:rsid w:val="04455088"/>
    <w:rsid w:val="04477AA3"/>
    <w:rsid w:val="044E2BE0"/>
    <w:rsid w:val="044E7D8A"/>
    <w:rsid w:val="04536763"/>
    <w:rsid w:val="0458580D"/>
    <w:rsid w:val="04585907"/>
    <w:rsid w:val="045A1585"/>
    <w:rsid w:val="04604903"/>
    <w:rsid w:val="046B2358"/>
    <w:rsid w:val="046D395F"/>
    <w:rsid w:val="04781A0B"/>
    <w:rsid w:val="047D2ACD"/>
    <w:rsid w:val="048767D9"/>
    <w:rsid w:val="04882617"/>
    <w:rsid w:val="04956A61"/>
    <w:rsid w:val="04995C3D"/>
    <w:rsid w:val="049A60B4"/>
    <w:rsid w:val="04AC0867"/>
    <w:rsid w:val="04B91F7A"/>
    <w:rsid w:val="04C15379"/>
    <w:rsid w:val="04C335CE"/>
    <w:rsid w:val="04CE00F8"/>
    <w:rsid w:val="04CF6083"/>
    <w:rsid w:val="04D41E1D"/>
    <w:rsid w:val="04DA56D8"/>
    <w:rsid w:val="04E7266F"/>
    <w:rsid w:val="04F748AF"/>
    <w:rsid w:val="05056F63"/>
    <w:rsid w:val="050C757A"/>
    <w:rsid w:val="05161F0E"/>
    <w:rsid w:val="052B1173"/>
    <w:rsid w:val="052D0A21"/>
    <w:rsid w:val="05354E50"/>
    <w:rsid w:val="0538278A"/>
    <w:rsid w:val="05384ED8"/>
    <w:rsid w:val="054144F3"/>
    <w:rsid w:val="054148BA"/>
    <w:rsid w:val="054162A1"/>
    <w:rsid w:val="05483AD3"/>
    <w:rsid w:val="054B2562"/>
    <w:rsid w:val="05551447"/>
    <w:rsid w:val="05551D4C"/>
    <w:rsid w:val="055B06E7"/>
    <w:rsid w:val="05667E39"/>
    <w:rsid w:val="05771E90"/>
    <w:rsid w:val="058000F4"/>
    <w:rsid w:val="05812B41"/>
    <w:rsid w:val="058638BE"/>
    <w:rsid w:val="05956253"/>
    <w:rsid w:val="05A30D0A"/>
    <w:rsid w:val="05A43727"/>
    <w:rsid w:val="05A76A4C"/>
    <w:rsid w:val="05B05E96"/>
    <w:rsid w:val="05C86C09"/>
    <w:rsid w:val="05CA5CF4"/>
    <w:rsid w:val="05CC65C4"/>
    <w:rsid w:val="05DA4CDB"/>
    <w:rsid w:val="05E6144A"/>
    <w:rsid w:val="05EC458A"/>
    <w:rsid w:val="05F83EAE"/>
    <w:rsid w:val="05FE6CE9"/>
    <w:rsid w:val="0600615C"/>
    <w:rsid w:val="061C410F"/>
    <w:rsid w:val="062E752B"/>
    <w:rsid w:val="0635076D"/>
    <w:rsid w:val="06385EB7"/>
    <w:rsid w:val="06394EBA"/>
    <w:rsid w:val="063D254C"/>
    <w:rsid w:val="063E7D85"/>
    <w:rsid w:val="06433A53"/>
    <w:rsid w:val="064B6477"/>
    <w:rsid w:val="0659586C"/>
    <w:rsid w:val="065E2E82"/>
    <w:rsid w:val="066466EB"/>
    <w:rsid w:val="06795FAF"/>
    <w:rsid w:val="06802AF8"/>
    <w:rsid w:val="069B3258"/>
    <w:rsid w:val="06A014EA"/>
    <w:rsid w:val="06A44D39"/>
    <w:rsid w:val="06A74829"/>
    <w:rsid w:val="06AC1E40"/>
    <w:rsid w:val="06B04550"/>
    <w:rsid w:val="06B61E60"/>
    <w:rsid w:val="06B875D5"/>
    <w:rsid w:val="06C675DB"/>
    <w:rsid w:val="06CB676A"/>
    <w:rsid w:val="06CF1CA7"/>
    <w:rsid w:val="06D870D9"/>
    <w:rsid w:val="06DF0467"/>
    <w:rsid w:val="06E518B8"/>
    <w:rsid w:val="06E7159D"/>
    <w:rsid w:val="06EC3604"/>
    <w:rsid w:val="06F164EF"/>
    <w:rsid w:val="06F2019A"/>
    <w:rsid w:val="070B125C"/>
    <w:rsid w:val="07153E89"/>
    <w:rsid w:val="071C6E5A"/>
    <w:rsid w:val="071F11C1"/>
    <w:rsid w:val="072430CB"/>
    <w:rsid w:val="07261976"/>
    <w:rsid w:val="072916E2"/>
    <w:rsid w:val="07293586"/>
    <w:rsid w:val="07295285"/>
    <w:rsid w:val="072B2DAF"/>
    <w:rsid w:val="072C187A"/>
    <w:rsid w:val="072D4D2F"/>
    <w:rsid w:val="0730481F"/>
    <w:rsid w:val="07322345"/>
    <w:rsid w:val="073D5C4D"/>
    <w:rsid w:val="07414858"/>
    <w:rsid w:val="07416A2C"/>
    <w:rsid w:val="075065BC"/>
    <w:rsid w:val="075E6548"/>
    <w:rsid w:val="075F3A68"/>
    <w:rsid w:val="07636392"/>
    <w:rsid w:val="07691ADF"/>
    <w:rsid w:val="076B2344"/>
    <w:rsid w:val="07711E98"/>
    <w:rsid w:val="07770C56"/>
    <w:rsid w:val="07794418"/>
    <w:rsid w:val="077A3CEC"/>
    <w:rsid w:val="077B0B47"/>
    <w:rsid w:val="077E17AE"/>
    <w:rsid w:val="07824CE1"/>
    <w:rsid w:val="0784652E"/>
    <w:rsid w:val="07893609"/>
    <w:rsid w:val="078D7EC3"/>
    <w:rsid w:val="079307D9"/>
    <w:rsid w:val="07941252"/>
    <w:rsid w:val="079A71A9"/>
    <w:rsid w:val="07AD2313"/>
    <w:rsid w:val="07B15392"/>
    <w:rsid w:val="07B22115"/>
    <w:rsid w:val="07B97CBA"/>
    <w:rsid w:val="07BC4B63"/>
    <w:rsid w:val="07CA4C73"/>
    <w:rsid w:val="07CD42AE"/>
    <w:rsid w:val="07D707A8"/>
    <w:rsid w:val="07DC6755"/>
    <w:rsid w:val="07E13D6B"/>
    <w:rsid w:val="07E44D78"/>
    <w:rsid w:val="07F373AA"/>
    <w:rsid w:val="07F75B41"/>
    <w:rsid w:val="07F817E1"/>
    <w:rsid w:val="080502FD"/>
    <w:rsid w:val="080F08D8"/>
    <w:rsid w:val="081E77A0"/>
    <w:rsid w:val="081F2654"/>
    <w:rsid w:val="082A1C2C"/>
    <w:rsid w:val="082F2D28"/>
    <w:rsid w:val="0831760C"/>
    <w:rsid w:val="08406FC5"/>
    <w:rsid w:val="085034CC"/>
    <w:rsid w:val="085602B5"/>
    <w:rsid w:val="0858402D"/>
    <w:rsid w:val="08590F23"/>
    <w:rsid w:val="085E53BC"/>
    <w:rsid w:val="086A069E"/>
    <w:rsid w:val="08732C15"/>
    <w:rsid w:val="087910F1"/>
    <w:rsid w:val="087A534E"/>
    <w:rsid w:val="087F3CE5"/>
    <w:rsid w:val="088C3CD7"/>
    <w:rsid w:val="088C5BF7"/>
    <w:rsid w:val="08971DC4"/>
    <w:rsid w:val="08974B03"/>
    <w:rsid w:val="08990393"/>
    <w:rsid w:val="08A6123D"/>
    <w:rsid w:val="08B66A39"/>
    <w:rsid w:val="08C44A90"/>
    <w:rsid w:val="08C55CCF"/>
    <w:rsid w:val="08C57C66"/>
    <w:rsid w:val="08D132F7"/>
    <w:rsid w:val="08D272D1"/>
    <w:rsid w:val="08D821F8"/>
    <w:rsid w:val="08E26C00"/>
    <w:rsid w:val="08EC2915"/>
    <w:rsid w:val="08F56018"/>
    <w:rsid w:val="08FC70AE"/>
    <w:rsid w:val="09002F54"/>
    <w:rsid w:val="09023F99"/>
    <w:rsid w:val="09030ACB"/>
    <w:rsid w:val="090715AF"/>
    <w:rsid w:val="09095327"/>
    <w:rsid w:val="090C6638"/>
    <w:rsid w:val="09120680"/>
    <w:rsid w:val="092032A5"/>
    <w:rsid w:val="09215196"/>
    <w:rsid w:val="092217DD"/>
    <w:rsid w:val="09251E00"/>
    <w:rsid w:val="09370AA4"/>
    <w:rsid w:val="093A7294"/>
    <w:rsid w:val="09426A45"/>
    <w:rsid w:val="09456662"/>
    <w:rsid w:val="094822F4"/>
    <w:rsid w:val="095073FA"/>
    <w:rsid w:val="09532A47"/>
    <w:rsid w:val="09540C99"/>
    <w:rsid w:val="09544E43"/>
    <w:rsid w:val="095D6E0A"/>
    <w:rsid w:val="097A2A50"/>
    <w:rsid w:val="097E7AC3"/>
    <w:rsid w:val="09830C64"/>
    <w:rsid w:val="098A290C"/>
    <w:rsid w:val="098F1CD1"/>
    <w:rsid w:val="099866AB"/>
    <w:rsid w:val="099C43EE"/>
    <w:rsid w:val="09A454C0"/>
    <w:rsid w:val="09A87910"/>
    <w:rsid w:val="09AB63DF"/>
    <w:rsid w:val="09B71227"/>
    <w:rsid w:val="09C240E4"/>
    <w:rsid w:val="09C35E1E"/>
    <w:rsid w:val="09C41DA7"/>
    <w:rsid w:val="09CE6BB6"/>
    <w:rsid w:val="09CE760D"/>
    <w:rsid w:val="09D64DAD"/>
    <w:rsid w:val="09DE50F4"/>
    <w:rsid w:val="09E04A75"/>
    <w:rsid w:val="09E813E1"/>
    <w:rsid w:val="09F0347C"/>
    <w:rsid w:val="09F0614D"/>
    <w:rsid w:val="0A012F29"/>
    <w:rsid w:val="0A056B11"/>
    <w:rsid w:val="0A0D7099"/>
    <w:rsid w:val="0A1012EE"/>
    <w:rsid w:val="0A11772B"/>
    <w:rsid w:val="0A171CC6"/>
    <w:rsid w:val="0A1C0314"/>
    <w:rsid w:val="0A1E12A6"/>
    <w:rsid w:val="0A262D36"/>
    <w:rsid w:val="0A263993"/>
    <w:rsid w:val="0A2C39C3"/>
    <w:rsid w:val="0A2D3AC2"/>
    <w:rsid w:val="0A2F210F"/>
    <w:rsid w:val="0A417B14"/>
    <w:rsid w:val="0A42092E"/>
    <w:rsid w:val="0A5A16F1"/>
    <w:rsid w:val="0A616AEA"/>
    <w:rsid w:val="0A6B7D2A"/>
    <w:rsid w:val="0A6D4F71"/>
    <w:rsid w:val="0A7669ED"/>
    <w:rsid w:val="0A7B04A7"/>
    <w:rsid w:val="0A7B4D0D"/>
    <w:rsid w:val="0A8119D2"/>
    <w:rsid w:val="0A8235E3"/>
    <w:rsid w:val="0A825391"/>
    <w:rsid w:val="0A8A2498"/>
    <w:rsid w:val="0A912344"/>
    <w:rsid w:val="0AA524F9"/>
    <w:rsid w:val="0AA572D2"/>
    <w:rsid w:val="0AA755DF"/>
    <w:rsid w:val="0AA9231F"/>
    <w:rsid w:val="0AAF719D"/>
    <w:rsid w:val="0ABA0FCF"/>
    <w:rsid w:val="0ABB4D47"/>
    <w:rsid w:val="0AC110ED"/>
    <w:rsid w:val="0AC7549A"/>
    <w:rsid w:val="0ACB31DC"/>
    <w:rsid w:val="0ACB72CA"/>
    <w:rsid w:val="0B043FF8"/>
    <w:rsid w:val="0B064214"/>
    <w:rsid w:val="0B097861"/>
    <w:rsid w:val="0B0C55A3"/>
    <w:rsid w:val="0B0E4E77"/>
    <w:rsid w:val="0B120D44"/>
    <w:rsid w:val="0B266665"/>
    <w:rsid w:val="0B2823DD"/>
    <w:rsid w:val="0B2E3DE2"/>
    <w:rsid w:val="0B3859F1"/>
    <w:rsid w:val="0B3C23A9"/>
    <w:rsid w:val="0B3D575C"/>
    <w:rsid w:val="0B4007CB"/>
    <w:rsid w:val="0B552AA6"/>
    <w:rsid w:val="0B624C18"/>
    <w:rsid w:val="0B633415"/>
    <w:rsid w:val="0B6369A2"/>
    <w:rsid w:val="0B662F05"/>
    <w:rsid w:val="0B6E3B68"/>
    <w:rsid w:val="0B7978E2"/>
    <w:rsid w:val="0B8C3FEE"/>
    <w:rsid w:val="0B8D704D"/>
    <w:rsid w:val="0B8E5FB8"/>
    <w:rsid w:val="0B8F722D"/>
    <w:rsid w:val="0B923CFA"/>
    <w:rsid w:val="0B96739B"/>
    <w:rsid w:val="0B974E6D"/>
    <w:rsid w:val="0B9C6927"/>
    <w:rsid w:val="0BA1579A"/>
    <w:rsid w:val="0BA31A63"/>
    <w:rsid w:val="0BAC3131"/>
    <w:rsid w:val="0BAC7E7D"/>
    <w:rsid w:val="0BB023D2"/>
    <w:rsid w:val="0BB44F2E"/>
    <w:rsid w:val="0BB769F6"/>
    <w:rsid w:val="0BB9237A"/>
    <w:rsid w:val="0BBC48D3"/>
    <w:rsid w:val="0BBF2B91"/>
    <w:rsid w:val="0BBF415C"/>
    <w:rsid w:val="0BC014FA"/>
    <w:rsid w:val="0BC1638D"/>
    <w:rsid w:val="0BC65752"/>
    <w:rsid w:val="0BC8010D"/>
    <w:rsid w:val="0BD27BF6"/>
    <w:rsid w:val="0BD55995"/>
    <w:rsid w:val="0BD936D7"/>
    <w:rsid w:val="0BDB23B6"/>
    <w:rsid w:val="0BFB52CB"/>
    <w:rsid w:val="0BFE1B0E"/>
    <w:rsid w:val="0C003EE3"/>
    <w:rsid w:val="0C090C79"/>
    <w:rsid w:val="0C2B1A59"/>
    <w:rsid w:val="0C2B3807"/>
    <w:rsid w:val="0C2D57D1"/>
    <w:rsid w:val="0C346B5F"/>
    <w:rsid w:val="0C3B3C7D"/>
    <w:rsid w:val="0C3F14E5"/>
    <w:rsid w:val="0C423BC2"/>
    <w:rsid w:val="0C485415"/>
    <w:rsid w:val="0C494B2F"/>
    <w:rsid w:val="0C4A0AF2"/>
    <w:rsid w:val="0C6C00A7"/>
    <w:rsid w:val="0C6D2FA1"/>
    <w:rsid w:val="0C6E7F6B"/>
    <w:rsid w:val="0C854D00"/>
    <w:rsid w:val="0C8E44C1"/>
    <w:rsid w:val="0C9149E6"/>
    <w:rsid w:val="0C965124"/>
    <w:rsid w:val="0C9775C7"/>
    <w:rsid w:val="0C992E66"/>
    <w:rsid w:val="0CA54425"/>
    <w:rsid w:val="0CAB2EAE"/>
    <w:rsid w:val="0CB041D5"/>
    <w:rsid w:val="0CBB4346"/>
    <w:rsid w:val="0CC25F19"/>
    <w:rsid w:val="0CC27147"/>
    <w:rsid w:val="0CCE0D62"/>
    <w:rsid w:val="0CD441D2"/>
    <w:rsid w:val="0CD875CA"/>
    <w:rsid w:val="0CE32FEC"/>
    <w:rsid w:val="0CE75980"/>
    <w:rsid w:val="0CE92B40"/>
    <w:rsid w:val="0CF14A50"/>
    <w:rsid w:val="0D00179D"/>
    <w:rsid w:val="0D0C2FF1"/>
    <w:rsid w:val="0D133F28"/>
    <w:rsid w:val="0D1424ED"/>
    <w:rsid w:val="0D160B7F"/>
    <w:rsid w:val="0D1771C4"/>
    <w:rsid w:val="0D1D198A"/>
    <w:rsid w:val="0D29243C"/>
    <w:rsid w:val="0D2A73CF"/>
    <w:rsid w:val="0D340153"/>
    <w:rsid w:val="0D4A471A"/>
    <w:rsid w:val="0D4F41AF"/>
    <w:rsid w:val="0D500D75"/>
    <w:rsid w:val="0D501777"/>
    <w:rsid w:val="0D5F19BA"/>
    <w:rsid w:val="0D6071BF"/>
    <w:rsid w:val="0D621C7D"/>
    <w:rsid w:val="0D7D03CC"/>
    <w:rsid w:val="0D7D2ECC"/>
    <w:rsid w:val="0D7E147F"/>
    <w:rsid w:val="0D817B82"/>
    <w:rsid w:val="0D821B4C"/>
    <w:rsid w:val="0D884979"/>
    <w:rsid w:val="0D8A27C9"/>
    <w:rsid w:val="0D9973F1"/>
    <w:rsid w:val="0D9A4402"/>
    <w:rsid w:val="0D9C49BC"/>
    <w:rsid w:val="0DA22505"/>
    <w:rsid w:val="0DA26E00"/>
    <w:rsid w:val="0DAB4BFF"/>
    <w:rsid w:val="0DB717F6"/>
    <w:rsid w:val="0DB937C0"/>
    <w:rsid w:val="0DBB5083"/>
    <w:rsid w:val="0DBC6E0C"/>
    <w:rsid w:val="0DBE0DD6"/>
    <w:rsid w:val="0DC22DFE"/>
    <w:rsid w:val="0DC433D5"/>
    <w:rsid w:val="0DC67C8B"/>
    <w:rsid w:val="0DEE2201"/>
    <w:rsid w:val="0E016F15"/>
    <w:rsid w:val="0E060087"/>
    <w:rsid w:val="0E065292"/>
    <w:rsid w:val="0E1D6F82"/>
    <w:rsid w:val="0E24110E"/>
    <w:rsid w:val="0E265CE5"/>
    <w:rsid w:val="0E2A413A"/>
    <w:rsid w:val="0E360105"/>
    <w:rsid w:val="0E3865AC"/>
    <w:rsid w:val="0E3C7F4D"/>
    <w:rsid w:val="0E452158"/>
    <w:rsid w:val="0E483320"/>
    <w:rsid w:val="0E4D3A96"/>
    <w:rsid w:val="0E583978"/>
    <w:rsid w:val="0E5A03D3"/>
    <w:rsid w:val="0E5B3394"/>
    <w:rsid w:val="0E5B4B96"/>
    <w:rsid w:val="0E73034D"/>
    <w:rsid w:val="0E8042DE"/>
    <w:rsid w:val="0E884F40"/>
    <w:rsid w:val="0E903CEC"/>
    <w:rsid w:val="0EA24254"/>
    <w:rsid w:val="0EA40304"/>
    <w:rsid w:val="0EA855E3"/>
    <w:rsid w:val="0EAC0B54"/>
    <w:rsid w:val="0EAD49A7"/>
    <w:rsid w:val="0EB126E9"/>
    <w:rsid w:val="0EB51E7F"/>
    <w:rsid w:val="0EC42733"/>
    <w:rsid w:val="0ECA5069"/>
    <w:rsid w:val="0ED9448F"/>
    <w:rsid w:val="0EDA4125"/>
    <w:rsid w:val="0EE06B2A"/>
    <w:rsid w:val="0EE24651"/>
    <w:rsid w:val="0EF00937"/>
    <w:rsid w:val="0EF80318"/>
    <w:rsid w:val="0EF854C5"/>
    <w:rsid w:val="0F072020"/>
    <w:rsid w:val="0F13775A"/>
    <w:rsid w:val="0F203DE2"/>
    <w:rsid w:val="0F225395"/>
    <w:rsid w:val="0F2A1F67"/>
    <w:rsid w:val="0F334EAC"/>
    <w:rsid w:val="0F366148"/>
    <w:rsid w:val="0F4F4D1D"/>
    <w:rsid w:val="0F533280"/>
    <w:rsid w:val="0F544835"/>
    <w:rsid w:val="0F545878"/>
    <w:rsid w:val="0F5A68DD"/>
    <w:rsid w:val="0F5C0575"/>
    <w:rsid w:val="0F5E2A0F"/>
    <w:rsid w:val="0F5F45FE"/>
    <w:rsid w:val="0F6C03BE"/>
    <w:rsid w:val="0F873473"/>
    <w:rsid w:val="0F89383B"/>
    <w:rsid w:val="0F930222"/>
    <w:rsid w:val="0F931DEF"/>
    <w:rsid w:val="0F9462BE"/>
    <w:rsid w:val="0F9A112B"/>
    <w:rsid w:val="0F9A13CF"/>
    <w:rsid w:val="0F9A4F2B"/>
    <w:rsid w:val="0F9F6365"/>
    <w:rsid w:val="0FA3283A"/>
    <w:rsid w:val="0FAB0EE6"/>
    <w:rsid w:val="0FBD08F9"/>
    <w:rsid w:val="0FD3043D"/>
    <w:rsid w:val="0FD65755"/>
    <w:rsid w:val="0FD91EF8"/>
    <w:rsid w:val="0FF07241"/>
    <w:rsid w:val="10066A65"/>
    <w:rsid w:val="100A0ED8"/>
    <w:rsid w:val="101A6601"/>
    <w:rsid w:val="10352EA6"/>
    <w:rsid w:val="10367256"/>
    <w:rsid w:val="103D77A5"/>
    <w:rsid w:val="10457D25"/>
    <w:rsid w:val="104D3E92"/>
    <w:rsid w:val="104D44FD"/>
    <w:rsid w:val="104E2006"/>
    <w:rsid w:val="10507339"/>
    <w:rsid w:val="10545A22"/>
    <w:rsid w:val="1058059E"/>
    <w:rsid w:val="105A6DC5"/>
    <w:rsid w:val="1061110F"/>
    <w:rsid w:val="10635C65"/>
    <w:rsid w:val="10685009"/>
    <w:rsid w:val="106D2F64"/>
    <w:rsid w:val="10703EDE"/>
    <w:rsid w:val="107B6A3C"/>
    <w:rsid w:val="107C2883"/>
    <w:rsid w:val="10813D85"/>
    <w:rsid w:val="108A31F2"/>
    <w:rsid w:val="109220A6"/>
    <w:rsid w:val="10940EEB"/>
    <w:rsid w:val="10970EEB"/>
    <w:rsid w:val="109E1AE1"/>
    <w:rsid w:val="10A51E86"/>
    <w:rsid w:val="10AD33BD"/>
    <w:rsid w:val="10B63710"/>
    <w:rsid w:val="10B97633"/>
    <w:rsid w:val="10BB58EE"/>
    <w:rsid w:val="10DE2DC9"/>
    <w:rsid w:val="10E35261"/>
    <w:rsid w:val="10F10820"/>
    <w:rsid w:val="10FA2D5F"/>
    <w:rsid w:val="110006C9"/>
    <w:rsid w:val="110953C1"/>
    <w:rsid w:val="110C7C74"/>
    <w:rsid w:val="111156C1"/>
    <w:rsid w:val="111807FE"/>
    <w:rsid w:val="111C2F7A"/>
    <w:rsid w:val="11271C28"/>
    <w:rsid w:val="112F5B47"/>
    <w:rsid w:val="1130216C"/>
    <w:rsid w:val="11317B11"/>
    <w:rsid w:val="11365128"/>
    <w:rsid w:val="113B0B19"/>
    <w:rsid w:val="113E7170"/>
    <w:rsid w:val="11446B5C"/>
    <w:rsid w:val="114C494B"/>
    <w:rsid w:val="114F0FF2"/>
    <w:rsid w:val="11511F61"/>
    <w:rsid w:val="11576BB6"/>
    <w:rsid w:val="115B4B8E"/>
    <w:rsid w:val="115F43E3"/>
    <w:rsid w:val="116527FA"/>
    <w:rsid w:val="11660E72"/>
    <w:rsid w:val="11665CA1"/>
    <w:rsid w:val="116A6B7F"/>
    <w:rsid w:val="11746483"/>
    <w:rsid w:val="11926739"/>
    <w:rsid w:val="119D2162"/>
    <w:rsid w:val="11AB6BD9"/>
    <w:rsid w:val="11B4448C"/>
    <w:rsid w:val="11B83D8F"/>
    <w:rsid w:val="11C52008"/>
    <w:rsid w:val="11DF756D"/>
    <w:rsid w:val="11E06E41"/>
    <w:rsid w:val="11E46932"/>
    <w:rsid w:val="11E71254"/>
    <w:rsid w:val="11EB7CC0"/>
    <w:rsid w:val="11ED65E7"/>
    <w:rsid w:val="11F40514"/>
    <w:rsid w:val="11F76665"/>
    <w:rsid w:val="120F5BA7"/>
    <w:rsid w:val="12125B81"/>
    <w:rsid w:val="121D3BF2"/>
    <w:rsid w:val="12281A0F"/>
    <w:rsid w:val="122D652B"/>
    <w:rsid w:val="123A69CA"/>
    <w:rsid w:val="1248598C"/>
    <w:rsid w:val="124D2729"/>
    <w:rsid w:val="125D4548"/>
    <w:rsid w:val="125F78AF"/>
    <w:rsid w:val="12640267"/>
    <w:rsid w:val="126918F3"/>
    <w:rsid w:val="12695089"/>
    <w:rsid w:val="1272151C"/>
    <w:rsid w:val="12771554"/>
    <w:rsid w:val="127E28E2"/>
    <w:rsid w:val="128B542C"/>
    <w:rsid w:val="12940358"/>
    <w:rsid w:val="12981050"/>
    <w:rsid w:val="129F0AAB"/>
    <w:rsid w:val="12A3059B"/>
    <w:rsid w:val="12A54B95"/>
    <w:rsid w:val="12AF4946"/>
    <w:rsid w:val="12B6171F"/>
    <w:rsid w:val="12BE0D17"/>
    <w:rsid w:val="12C14EC5"/>
    <w:rsid w:val="12C330FB"/>
    <w:rsid w:val="12CD5618"/>
    <w:rsid w:val="12D44A81"/>
    <w:rsid w:val="12D901E4"/>
    <w:rsid w:val="12DF5836"/>
    <w:rsid w:val="12E06EF6"/>
    <w:rsid w:val="12E1245D"/>
    <w:rsid w:val="12E23E98"/>
    <w:rsid w:val="12E40CD5"/>
    <w:rsid w:val="12E84200"/>
    <w:rsid w:val="12EC3A0A"/>
    <w:rsid w:val="12F270B7"/>
    <w:rsid w:val="12F90860"/>
    <w:rsid w:val="12FA39DF"/>
    <w:rsid w:val="12FB2185"/>
    <w:rsid w:val="1300779B"/>
    <w:rsid w:val="130152C1"/>
    <w:rsid w:val="130B4AB3"/>
    <w:rsid w:val="131150AE"/>
    <w:rsid w:val="13141499"/>
    <w:rsid w:val="131D1399"/>
    <w:rsid w:val="132023B9"/>
    <w:rsid w:val="132512C3"/>
    <w:rsid w:val="13272F7A"/>
    <w:rsid w:val="132A702D"/>
    <w:rsid w:val="132E137E"/>
    <w:rsid w:val="132F459B"/>
    <w:rsid w:val="1332191F"/>
    <w:rsid w:val="13357B94"/>
    <w:rsid w:val="133B07D3"/>
    <w:rsid w:val="133F362A"/>
    <w:rsid w:val="13405DEA"/>
    <w:rsid w:val="1342531A"/>
    <w:rsid w:val="1343188B"/>
    <w:rsid w:val="134A6C68"/>
    <w:rsid w:val="1356239B"/>
    <w:rsid w:val="136250DA"/>
    <w:rsid w:val="1363622C"/>
    <w:rsid w:val="13735872"/>
    <w:rsid w:val="13763F01"/>
    <w:rsid w:val="1380391F"/>
    <w:rsid w:val="13882046"/>
    <w:rsid w:val="13901789"/>
    <w:rsid w:val="13951726"/>
    <w:rsid w:val="13974132"/>
    <w:rsid w:val="13997B36"/>
    <w:rsid w:val="13A445CA"/>
    <w:rsid w:val="13AC582C"/>
    <w:rsid w:val="13B642FE"/>
    <w:rsid w:val="13BA3AB7"/>
    <w:rsid w:val="13BB1914"/>
    <w:rsid w:val="13C24A51"/>
    <w:rsid w:val="13DA4490"/>
    <w:rsid w:val="13DC1CEE"/>
    <w:rsid w:val="13E7130A"/>
    <w:rsid w:val="13E96481"/>
    <w:rsid w:val="13EB044B"/>
    <w:rsid w:val="13EE3A98"/>
    <w:rsid w:val="13F13588"/>
    <w:rsid w:val="14034A66"/>
    <w:rsid w:val="140F35CA"/>
    <w:rsid w:val="14137C0C"/>
    <w:rsid w:val="14151024"/>
    <w:rsid w:val="14237BE5"/>
    <w:rsid w:val="142B0C77"/>
    <w:rsid w:val="142B4565"/>
    <w:rsid w:val="142C526D"/>
    <w:rsid w:val="142E4D62"/>
    <w:rsid w:val="142F2A6F"/>
    <w:rsid w:val="14382F65"/>
    <w:rsid w:val="14396509"/>
    <w:rsid w:val="14397409"/>
    <w:rsid w:val="143C2A65"/>
    <w:rsid w:val="143D248B"/>
    <w:rsid w:val="14425626"/>
    <w:rsid w:val="14442B06"/>
    <w:rsid w:val="145D47D7"/>
    <w:rsid w:val="1460255E"/>
    <w:rsid w:val="147A17CF"/>
    <w:rsid w:val="147A532B"/>
    <w:rsid w:val="14877923"/>
    <w:rsid w:val="148B12E6"/>
    <w:rsid w:val="148C4388"/>
    <w:rsid w:val="148D1503"/>
    <w:rsid w:val="148F48CC"/>
    <w:rsid w:val="14904B4F"/>
    <w:rsid w:val="14987CE5"/>
    <w:rsid w:val="14B2026E"/>
    <w:rsid w:val="14B26F05"/>
    <w:rsid w:val="14C30E98"/>
    <w:rsid w:val="14C72807"/>
    <w:rsid w:val="14C77826"/>
    <w:rsid w:val="14CD125C"/>
    <w:rsid w:val="14D467EC"/>
    <w:rsid w:val="14DD2C3C"/>
    <w:rsid w:val="14E05AD6"/>
    <w:rsid w:val="14E605EE"/>
    <w:rsid w:val="14E86739"/>
    <w:rsid w:val="14FF7AAC"/>
    <w:rsid w:val="15003C8E"/>
    <w:rsid w:val="150572EB"/>
    <w:rsid w:val="15085FE9"/>
    <w:rsid w:val="150F1529"/>
    <w:rsid w:val="151237B6"/>
    <w:rsid w:val="151403E4"/>
    <w:rsid w:val="151439D2"/>
    <w:rsid w:val="15161207"/>
    <w:rsid w:val="15192D96"/>
    <w:rsid w:val="151C63E2"/>
    <w:rsid w:val="152139F9"/>
    <w:rsid w:val="152D5B17"/>
    <w:rsid w:val="15316332"/>
    <w:rsid w:val="15331628"/>
    <w:rsid w:val="153A2BA8"/>
    <w:rsid w:val="153D632C"/>
    <w:rsid w:val="155E2E9F"/>
    <w:rsid w:val="156A6F4E"/>
    <w:rsid w:val="156C01B1"/>
    <w:rsid w:val="157224A6"/>
    <w:rsid w:val="15726367"/>
    <w:rsid w:val="15783F61"/>
    <w:rsid w:val="15802E15"/>
    <w:rsid w:val="158F4D00"/>
    <w:rsid w:val="15973CBB"/>
    <w:rsid w:val="159C34C9"/>
    <w:rsid w:val="15A50AB1"/>
    <w:rsid w:val="15A764D7"/>
    <w:rsid w:val="15AD1685"/>
    <w:rsid w:val="15B61848"/>
    <w:rsid w:val="15B719F4"/>
    <w:rsid w:val="15C140F7"/>
    <w:rsid w:val="15C53538"/>
    <w:rsid w:val="15C549E1"/>
    <w:rsid w:val="15DF7B3C"/>
    <w:rsid w:val="15E74C42"/>
    <w:rsid w:val="15ED5618"/>
    <w:rsid w:val="15F15C87"/>
    <w:rsid w:val="15F8406B"/>
    <w:rsid w:val="15FB15F1"/>
    <w:rsid w:val="16041350"/>
    <w:rsid w:val="16087E1D"/>
    <w:rsid w:val="160F61F2"/>
    <w:rsid w:val="16141DDA"/>
    <w:rsid w:val="161552E4"/>
    <w:rsid w:val="161C2C4B"/>
    <w:rsid w:val="162174E0"/>
    <w:rsid w:val="16230D78"/>
    <w:rsid w:val="16266304"/>
    <w:rsid w:val="16273291"/>
    <w:rsid w:val="162B56CB"/>
    <w:rsid w:val="162C3DEF"/>
    <w:rsid w:val="16337A87"/>
    <w:rsid w:val="163F682C"/>
    <w:rsid w:val="165735EB"/>
    <w:rsid w:val="165C4031"/>
    <w:rsid w:val="16610551"/>
    <w:rsid w:val="1663076D"/>
    <w:rsid w:val="1671458A"/>
    <w:rsid w:val="16774FC1"/>
    <w:rsid w:val="167F48FB"/>
    <w:rsid w:val="16805733"/>
    <w:rsid w:val="16900E4D"/>
    <w:rsid w:val="169923E1"/>
    <w:rsid w:val="16996A68"/>
    <w:rsid w:val="169E17A5"/>
    <w:rsid w:val="16A42B33"/>
    <w:rsid w:val="16B06D03"/>
    <w:rsid w:val="16B25250"/>
    <w:rsid w:val="16B56AEF"/>
    <w:rsid w:val="16BC24E7"/>
    <w:rsid w:val="16BD39C5"/>
    <w:rsid w:val="16C3745D"/>
    <w:rsid w:val="16C6327B"/>
    <w:rsid w:val="16C857D7"/>
    <w:rsid w:val="16C86822"/>
    <w:rsid w:val="16CD5BE6"/>
    <w:rsid w:val="16D163DC"/>
    <w:rsid w:val="16DE1E91"/>
    <w:rsid w:val="16EB42BE"/>
    <w:rsid w:val="16F617D9"/>
    <w:rsid w:val="1703785A"/>
    <w:rsid w:val="170B4961"/>
    <w:rsid w:val="17101F77"/>
    <w:rsid w:val="171108DC"/>
    <w:rsid w:val="171B4C60"/>
    <w:rsid w:val="17213234"/>
    <w:rsid w:val="17257F4A"/>
    <w:rsid w:val="172D1C46"/>
    <w:rsid w:val="17541D80"/>
    <w:rsid w:val="17544559"/>
    <w:rsid w:val="175D5A1E"/>
    <w:rsid w:val="17701D14"/>
    <w:rsid w:val="17712A16"/>
    <w:rsid w:val="17735226"/>
    <w:rsid w:val="1779598B"/>
    <w:rsid w:val="17800B01"/>
    <w:rsid w:val="17842B4E"/>
    <w:rsid w:val="178A1D29"/>
    <w:rsid w:val="178F5592"/>
    <w:rsid w:val="179240F5"/>
    <w:rsid w:val="179A04EE"/>
    <w:rsid w:val="17A27B29"/>
    <w:rsid w:val="17A56B63"/>
    <w:rsid w:val="17A941DD"/>
    <w:rsid w:val="17AC02EB"/>
    <w:rsid w:val="17B1375A"/>
    <w:rsid w:val="17B15508"/>
    <w:rsid w:val="17B86896"/>
    <w:rsid w:val="17BE1F85"/>
    <w:rsid w:val="17C11468"/>
    <w:rsid w:val="17C24058"/>
    <w:rsid w:val="17C84E27"/>
    <w:rsid w:val="17D11706"/>
    <w:rsid w:val="17D62C90"/>
    <w:rsid w:val="17D82A95"/>
    <w:rsid w:val="17DD2949"/>
    <w:rsid w:val="17EA0DB2"/>
    <w:rsid w:val="17EB6C6C"/>
    <w:rsid w:val="17EE6055"/>
    <w:rsid w:val="17F378CF"/>
    <w:rsid w:val="17FB77EC"/>
    <w:rsid w:val="17FE4ED9"/>
    <w:rsid w:val="180C1526"/>
    <w:rsid w:val="180C7E4B"/>
    <w:rsid w:val="1811371B"/>
    <w:rsid w:val="18117D55"/>
    <w:rsid w:val="181A144E"/>
    <w:rsid w:val="181B6679"/>
    <w:rsid w:val="1820443C"/>
    <w:rsid w:val="18294FBA"/>
    <w:rsid w:val="1831270E"/>
    <w:rsid w:val="183879D7"/>
    <w:rsid w:val="18470786"/>
    <w:rsid w:val="18616F2E"/>
    <w:rsid w:val="18697B91"/>
    <w:rsid w:val="18786026"/>
    <w:rsid w:val="187F73B4"/>
    <w:rsid w:val="1880300C"/>
    <w:rsid w:val="18812024"/>
    <w:rsid w:val="18950986"/>
    <w:rsid w:val="189708F6"/>
    <w:rsid w:val="18982224"/>
    <w:rsid w:val="189F624C"/>
    <w:rsid w:val="18AF34F4"/>
    <w:rsid w:val="18B844B8"/>
    <w:rsid w:val="18C474BD"/>
    <w:rsid w:val="18C63235"/>
    <w:rsid w:val="18DB27F2"/>
    <w:rsid w:val="18DB72CC"/>
    <w:rsid w:val="18DF7E53"/>
    <w:rsid w:val="18E611E1"/>
    <w:rsid w:val="18E722AD"/>
    <w:rsid w:val="18E77C6E"/>
    <w:rsid w:val="18E821CF"/>
    <w:rsid w:val="18F03E0E"/>
    <w:rsid w:val="19067AD5"/>
    <w:rsid w:val="19120FEF"/>
    <w:rsid w:val="19151AC7"/>
    <w:rsid w:val="19215A53"/>
    <w:rsid w:val="193C2CA2"/>
    <w:rsid w:val="1941206D"/>
    <w:rsid w:val="19424E74"/>
    <w:rsid w:val="1945415A"/>
    <w:rsid w:val="194C39B8"/>
    <w:rsid w:val="195350B4"/>
    <w:rsid w:val="19630A84"/>
    <w:rsid w:val="196818D5"/>
    <w:rsid w:val="196A1E12"/>
    <w:rsid w:val="196C6A7D"/>
    <w:rsid w:val="196D36B1"/>
    <w:rsid w:val="19831126"/>
    <w:rsid w:val="19921369"/>
    <w:rsid w:val="19930475"/>
    <w:rsid w:val="19A370D2"/>
    <w:rsid w:val="19B66E06"/>
    <w:rsid w:val="19B76DBC"/>
    <w:rsid w:val="19BE5CBA"/>
    <w:rsid w:val="19BF65B5"/>
    <w:rsid w:val="19CD5729"/>
    <w:rsid w:val="19D92DDC"/>
    <w:rsid w:val="19E300F2"/>
    <w:rsid w:val="19E716B5"/>
    <w:rsid w:val="19E75211"/>
    <w:rsid w:val="19E84EAC"/>
    <w:rsid w:val="19EA37A2"/>
    <w:rsid w:val="19ED57E9"/>
    <w:rsid w:val="19F43E33"/>
    <w:rsid w:val="19FC1F67"/>
    <w:rsid w:val="1A0C2EC9"/>
    <w:rsid w:val="1A0F5D31"/>
    <w:rsid w:val="1A1356CC"/>
    <w:rsid w:val="1A1C66C0"/>
    <w:rsid w:val="1A204BC7"/>
    <w:rsid w:val="1A29788F"/>
    <w:rsid w:val="1A301B30"/>
    <w:rsid w:val="1A304E0A"/>
    <w:rsid w:val="1A3C5C8F"/>
    <w:rsid w:val="1A42393B"/>
    <w:rsid w:val="1A4C776A"/>
    <w:rsid w:val="1A6F3DB9"/>
    <w:rsid w:val="1A705206"/>
    <w:rsid w:val="1A776C64"/>
    <w:rsid w:val="1A7E323B"/>
    <w:rsid w:val="1A872550"/>
    <w:rsid w:val="1A89276C"/>
    <w:rsid w:val="1A8A3DEE"/>
    <w:rsid w:val="1A9609E5"/>
    <w:rsid w:val="1A9B0BEB"/>
    <w:rsid w:val="1A9C3E84"/>
    <w:rsid w:val="1AA55149"/>
    <w:rsid w:val="1AAD45DE"/>
    <w:rsid w:val="1AAE0CCD"/>
    <w:rsid w:val="1AB53B21"/>
    <w:rsid w:val="1AB7679C"/>
    <w:rsid w:val="1ABC044C"/>
    <w:rsid w:val="1ABC2D62"/>
    <w:rsid w:val="1AC54D7E"/>
    <w:rsid w:val="1AD05CA5"/>
    <w:rsid w:val="1AD5150D"/>
    <w:rsid w:val="1ADF413A"/>
    <w:rsid w:val="1AE57EB6"/>
    <w:rsid w:val="1AE6371B"/>
    <w:rsid w:val="1AF568D9"/>
    <w:rsid w:val="1AF648BA"/>
    <w:rsid w:val="1AFA0F74"/>
    <w:rsid w:val="1B046F80"/>
    <w:rsid w:val="1B1E5757"/>
    <w:rsid w:val="1B222872"/>
    <w:rsid w:val="1B28788F"/>
    <w:rsid w:val="1B2B737F"/>
    <w:rsid w:val="1B3267B5"/>
    <w:rsid w:val="1B3E79ED"/>
    <w:rsid w:val="1B40161D"/>
    <w:rsid w:val="1B441859"/>
    <w:rsid w:val="1B5468D6"/>
    <w:rsid w:val="1B55264E"/>
    <w:rsid w:val="1B5F25A5"/>
    <w:rsid w:val="1B61527F"/>
    <w:rsid w:val="1B6606B1"/>
    <w:rsid w:val="1B854CE1"/>
    <w:rsid w:val="1B93777B"/>
    <w:rsid w:val="1B944F25"/>
    <w:rsid w:val="1B9F2D50"/>
    <w:rsid w:val="1B9F6FD2"/>
    <w:rsid w:val="1BAB62C4"/>
    <w:rsid w:val="1BAD248A"/>
    <w:rsid w:val="1BBB0703"/>
    <w:rsid w:val="1BBB4BA7"/>
    <w:rsid w:val="1BBB516C"/>
    <w:rsid w:val="1BBE6BA7"/>
    <w:rsid w:val="1BBF231A"/>
    <w:rsid w:val="1BCD48DA"/>
    <w:rsid w:val="1BD06E32"/>
    <w:rsid w:val="1BD20909"/>
    <w:rsid w:val="1BD9327F"/>
    <w:rsid w:val="1BDA1C9E"/>
    <w:rsid w:val="1BE032A8"/>
    <w:rsid w:val="1BE063BC"/>
    <w:rsid w:val="1BE904AD"/>
    <w:rsid w:val="1BED2887"/>
    <w:rsid w:val="1BEE077D"/>
    <w:rsid w:val="1BFB0F3C"/>
    <w:rsid w:val="1C0320AA"/>
    <w:rsid w:val="1C05597E"/>
    <w:rsid w:val="1C1D316C"/>
    <w:rsid w:val="1C1F5136"/>
    <w:rsid w:val="1C21202D"/>
    <w:rsid w:val="1C2344FA"/>
    <w:rsid w:val="1C257E23"/>
    <w:rsid w:val="1C2E5F91"/>
    <w:rsid w:val="1C3861F8"/>
    <w:rsid w:val="1C403839"/>
    <w:rsid w:val="1C454285"/>
    <w:rsid w:val="1C4921B3"/>
    <w:rsid w:val="1C4955DC"/>
    <w:rsid w:val="1C4E77C9"/>
    <w:rsid w:val="1C5172BA"/>
    <w:rsid w:val="1C5D17BA"/>
    <w:rsid w:val="1C5E7925"/>
    <w:rsid w:val="1C676B8A"/>
    <w:rsid w:val="1C78331E"/>
    <w:rsid w:val="1C8C10FC"/>
    <w:rsid w:val="1C8D750E"/>
    <w:rsid w:val="1C9631E3"/>
    <w:rsid w:val="1C980A44"/>
    <w:rsid w:val="1C992BB7"/>
    <w:rsid w:val="1C9F5B04"/>
    <w:rsid w:val="1CA24AB3"/>
    <w:rsid w:val="1CA94A00"/>
    <w:rsid w:val="1CBE302F"/>
    <w:rsid w:val="1CC01D49"/>
    <w:rsid w:val="1CC17F9B"/>
    <w:rsid w:val="1CCD6B3D"/>
    <w:rsid w:val="1CD75A11"/>
    <w:rsid w:val="1CDB3BBB"/>
    <w:rsid w:val="1CE1063D"/>
    <w:rsid w:val="1CE54004"/>
    <w:rsid w:val="1CE93023"/>
    <w:rsid w:val="1CF466F3"/>
    <w:rsid w:val="1CFD070F"/>
    <w:rsid w:val="1D034598"/>
    <w:rsid w:val="1D0D1432"/>
    <w:rsid w:val="1D0D3C24"/>
    <w:rsid w:val="1D1207F7"/>
    <w:rsid w:val="1D1A58FD"/>
    <w:rsid w:val="1D1D3752"/>
    <w:rsid w:val="1D440BCC"/>
    <w:rsid w:val="1D4D1050"/>
    <w:rsid w:val="1D4E4CB4"/>
    <w:rsid w:val="1D5E2EC2"/>
    <w:rsid w:val="1D5F6196"/>
    <w:rsid w:val="1D6132A5"/>
    <w:rsid w:val="1D62374A"/>
    <w:rsid w:val="1D632E00"/>
    <w:rsid w:val="1D695499"/>
    <w:rsid w:val="1D6A7897"/>
    <w:rsid w:val="1D734062"/>
    <w:rsid w:val="1D7439A7"/>
    <w:rsid w:val="1D7A639C"/>
    <w:rsid w:val="1D8706F2"/>
    <w:rsid w:val="1D8D6A75"/>
    <w:rsid w:val="1D8E56D5"/>
    <w:rsid w:val="1D905BC0"/>
    <w:rsid w:val="1D9E652E"/>
    <w:rsid w:val="1DA8115B"/>
    <w:rsid w:val="1DBC0763"/>
    <w:rsid w:val="1DBF5D83"/>
    <w:rsid w:val="1DC37D43"/>
    <w:rsid w:val="1DD2442A"/>
    <w:rsid w:val="1DD91315"/>
    <w:rsid w:val="1DE0661F"/>
    <w:rsid w:val="1DE370DF"/>
    <w:rsid w:val="1DE55F0B"/>
    <w:rsid w:val="1E0112EE"/>
    <w:rsid w:val="1E021382"/>
    <w:rsid w:val="1E0F36AA"/>
    <w:rsid w:val="1E2F7187"/>
    <w:rsid w:val="1E41476E"/>
    <w:rsid w:val="1E592455"/>
    <w:rsid w:val="1E5E181A"/>
    <w:rsid w:val="1E641BF9"/>
    <w:rsid w:val="1E6A31DB"/>
    <w:rsid w:val="1E734B63"/>
    <w:rsid w:val="1E7A43DA"/>
    <w:rsid w:val="1E7F1670"/>
    <w:rsid w:val="1E7F253B"/>
    <w:rsid w:val="1E804F59"/>
    <w:rsid w:val="1E8079E2"/>
    <w:rsid w:val="1E8A6AB3"/>
    <w:rsid w:val="1E90231B"/>
    <w:rsid w:val="1E9102C8"/>
    <w:rsid w:val="1E965458"/>
    <w:rsid w:val="1E9D2342"/>
    <w:rsid w:val="1EA35E34"/>
    <w:rsid w:val="1EC04283"/>
    <w:rsid w:val="1EC75144"/>
    <w:rsid w:val="1ED16A97"/>
    <w:rsid w:val="1ED33FB6"/>
    <w:rsid w:val="1ED50026"/>
    <w:rsid w:val="1EDF32A6"/>
    <w:rsid w:val="1EE67F6C"/>
    <w:rsid w:val="1EEF5BDB"/>
    <w:rsid w:val="1EF02DBA"/>
    <w:rsid w:val="1EF94C49"/>
    <w:rsid w:val="1EFB092D"/>
    <w:rsid w:val="1F014CC6"/>
    <w:rsid w:val="1F095C2A"/>
    <w:rsid w:val="1F112FD6"/>
    <w:rsid w:val="1F1A7E37"/>
    <w:rsid w:val="1F1C0586"/>
    <w:rsid w:val="1F1E4EF4"/>
    <w:rsid w:val="1F2B691F"/>
    <w:rsid w:val="1F370167"/>
    <w:rsid w:val="1F3D7FEC"/>
    <w:rsid w:val="1F4B6242"/>
    <w:rsid w:val="1F51448E"/>
    <w:rsid w:val="1F871298"/>
    <w:rsid w:val="1F8A7A97"/>
    <w:rsid w:val="1F9D13B8"/>
    <w:rsid w:val="1FAE057F"/>
    <w:rsid w:val="1FB5190D"/>
    <w:rsid w:val="1FB75686"/>
    <w:rsid w:val="1FBE4C66"/>
    <w:rsid w:val="1FD47FE6"/>
    <w:rsid w:val="1FE30BCD"/>
    <w:rsid w:val="1FE346CD"/>
    <w:rsid w:val="1FE61F20"/>
    <w:rsid w:val="1FE7539E"/>
    <w:rsid w:val="1FF15603"/>
    <w:rsid w:val="200F2D75"/>
    <w:rsid w:val="20216FA3"/>
    <w:rsid w:val="2027505B"/>
    <w:rsid w:val="202F2F3A"/>
    <w:rsid w:val="203C6851"/>
    <w:rsid w:val="204C2272"/>
    <w:rsid w:val="204C3A8E"/>
    <w:rsid w:val="20503FE2"/>
    <w:rsid w:val="20631E6A"/>
    <w:rsid w:val="20671BE0"/>
    <w:rsid w:val="208512E0"/>
    <w:rsid w:val="208539D6"/>
    <w:rsid w:val="20875058"/>
    <w:rsid w:val="208B02D3"/>
    <w:rsid w:val="20907E5E"/>
    <w:rsid w:val="20963CB8"/>
    <w:rsid w:val="20995A8D"/>
    <w:rsid w:val="209B4FA7"/>
    <w:rsid w:val="20A81A1B"/>
    <w:rsid w:val="20AD0837"/>
    <w:rsid w:val="20AE6285"/>
    <w:rsid w:val="20B07FB6"/>
    <w:rsid w:val="20B61D63"/>
    <w:rsid w:val="20B646FB"/>
    <w:rsid w:val="20BB11A5"/>
    <w:rsid w:val="20C55B80"/>
    <w:rsid w:val="20C8334E"/>
    <w:rsid w:val="20D234A4"/>
    <w:rsid w:val="20D94A0B"/>
    <w:rsid w:val="20E029BA"/>
    <w:rsid w:val="20E05A5B"/>
    <w:rsid w:val="20F01189"/>
    <w:rsid w:val="20F66299"/>
    <w:rsid w:val="20F87D04"/>
    <w:rsid w:val="20FF1092"/>
    <w:rsid w:val="2100305C"/>
    <w:rsid w:val="21052421"/>
    <w:rsid w:val="21094BBA"/>
    <w:rsid w:val="21141A68"/>
    <w:rsid w:val="21180EA7"/>
    <w:rsid w:val="211A2633"/>
    <w:rsid w:val="211E078D"/>
    <w:rsid w:val="211F7986"/>
    <w:rsid w:val="21204E2B"/>
    <w:rsid w:val="21246D4B"/>
    <w:rsid w:val="213827F6"/>
    <w:rsid w:val="213977FF"/>
    <w:rsid w:val="213B74B1"/>
    <w:rsid w:val="21436EF8"/>
    <w:rsid w:val="214F21EB"/>
    <w:rsid w:val="215A0BC5"/>
    <w:rsid w:val="215A2310"/>
    <w:rsid w:val="21613AFB"/>
    <w:rsid w:val="21640FCD"/>
    <w:rsid w:val="21644D58"/>
    <w:rsid w:val="216B497A"/>
    <w:rsid w:val="216E4827"/>
    <w:rsid w:val="21807307"/>
    <w:rsid w:val="21861EC0"/>
    <w:rsid w:val="218D0FF4"/>
    <w:rsid w:val="21920158"/>
    <w:rsid w:val="21A53A8F"/>
    <w:rsid w:val="21B24356"/>
    <w:rsid w:val="21B2742A"/>
    <w:rsid w:val="21BA145D"/>
    <w:rsid w:val="21BE3316"/>
    <w:rsid w:val="21C1459A"/>
    <w:rsid w:val="21D20555"/>
    <w:rsid w:val="21D369EC"/>
    <w:rsid w:val="21D56297"/>
    <w:rsid w:val="21DE318A"/>
    <w:rsid w:val="21E12E8E"/>
    <w:rsid w:val="21EA7F94"/>
    <w:rsid w:val="21EE7604"/>
    <w:rsid w:val="21EF5B80"/>
    <w:rsid w:val="21F53524"/>
    <w:rsid w:val="21FE759C"/>
    <w:rsid w:val="21FF13D1"/>
    <w:rsid w:val="21FF25B1"/>
    <w:rsid w:val="220060F0"/>
    <w:rsid w:val="22174891"/>
    <w:rsid w:val="2217579F"/>
    <w:rsid w:val="221B26FB"/>
    <w:rsid w:val="221F33E8"/>
    <w:rsid w:val="22243A33"/>
    <w:rsid w:val="222A196C"/>
    <w:rsid w:val="22364F87"/>
    <w:rsid w:val="224C47AB"/>
    <w:rsid w:val="22576990"/>
    <w:rsid w:val="225A32CA"/>
    <w:rsid w:val="22666758"/>
    <w:rsid w:val="22673393"/>
    <w:rsid w:val="226A3D1A"/>
    <w:rsid w:val="22732764"/>
    <w:rsid w:val="2276270F"/>
    <w:rsid w:val="22787B97"/>
    <w:rsid w:val="22943D44"/>
    <w:rsid w:val="229818CC"/>
    <w:rsid w:val="22A75E85"/>
    <w:rsid w:val="22A8752F"/>
    <w:rsid w:val="22A96A64"/>
    <w:rsid w:val="22AA6604"/>
    <w:rsid w:val="22D20136"/>
    <w:rsid w:val="22E03145"/>
    <w:rsid w:val="22E43D6C"/>
    <w:rsid w:val="22E5568B"/>
    <w:rsid w:val="22EC5646"/>
    <w:rsid w:val="22EE39EB"/>
    <w:rsid w:val="22F47480"/>
    <w:rsid w:val="23040BE2"/>
    <w:rsid w:val="23046E34"/>
    <w:rsid w:val="232B2612"/>
    <w:rsid w:val="23305E7B"/>
    <w:rsid w:val="23323177"/>
    <w:rsid w:val="23421A49"/>
    <w:rsid w:val="23477D3A"/>
    <w:rsid w:val="23496EA5"/>
    <w:rsid w:val="23607DE2"/>
    <w:rsid w:val="23745791"/>
    <w:rsid w:val="237813DD"/>
    <w:rsid w:val="237A70F6"/>
    <w:rsid w:val="2397497E"/>
    <w:rsid w:val="2398757C"/>
    <w:rsid w:val="23A1214F"/>
    <w:rsid w:val="23A96961"/>
    <w:rsid w:val="23AC3344"/>
    <w:rsid w:val="23B4085A"/>
    <w:rsid w:val="23BA40B4"/>
    <w:rsid w:val="23DE1C48"/>
    <w:rsid w:val="23E80503"/>
    <w:rsid w:val="23F20B37"/>
    <w:rsid w:val="23FC12F9"/>
    <w:rsid w:val="24013373"/>
    <w:rsid w:val="240210CD"/>
    <w:rsid w:val="2406098A"/>
    <w:rsid w:val="240A160A"/>
    <w:rsid w:val="240C0A38"/>
    <w:rsid w:val="240D53B5"/>
    <w:rsid w:val="24125580"/>
    <w:rsid w:val="24213A15"/>
    <w:rsid w:val="24260A61"/>
    <w:rsid w:val="242B106E"/>
    <w:rsid w:val="242D4168"/>
    <w:rsid w:val="24316A9D"/>
    <w:rsid w:val="24371BF2"/>
    <w:rsid w:val="243D2BE8"/>
    <w:rsid w:val="24443260"/>
    <w:rsid w:val="245128A5"/>
    <w:rsid w:val="24520004"/>
    <w:rsid w:val="245F14D5"/>
    <w:rsid w:val="24651E29"/>
    <w:rsid w:val="24727DCD"/>
    <w:rsid w:val="247578BD"/>
    <w:rsid w:val="247969E1"/>
    <w:rsid w:val="247B3126"/>
    <w:rsid w:val="247E49C4"/>
    <w:rsid w:val="24930F22"/>
    <w:rsid w:val="249B1A37"/>
    <w:rsid w:val="249B6B56"/>
    <w:rsid w:val="249C4E4A"/>
    <w:rsid w:val="24A3267C"/>
    <w:rsid w:val="24A85631"/>
    <w:rsid w:val="24A95C87"/>
    <w:rsid w:val="24AC7783"/>
    <w:rsid w:val="24BF09F7"/>
    <w:rsid w:val="24C3687B"/>
    <w:rsid w:val="24D25252"/>
    <w:rsid w:val="24D40A88"/>
    <w:rsid w:val="24DC5A29"/>
    <w:rsid w:val="24EC5DD1"/>
    <w:rsid w:val="24F07C0D"/>
    <w:rsid w:val="24F45175"/>
    <w:rsid w:val="25054BD9"/>
    <w:rsid w:val="25056E93"/>
    <w:rsid w:val="250A44A9"/>
    <w:rsid w:val="250B1A92"/>
    <w:rsid w:val="25180974"/>
    <w:rsid w:val="25207829"/>
    <w:rsid w:val="25210ED0"/>
    <w:rsid w:val="252D53FE"/>
    <w:rsid w:val="25363C93"/>
    <w:rsid w:val="253B0B07"/>
    <w:rsid w:val="253E2409"/>
    <w:rsid w:val="254347E0"/>
    <w:rsid w:val="254B6F9C"/>
    <w:rsid w:val="254F612B"/>
    <w:rsid w:val="255314EB"/>
    <w:rsid w:val="255319AC"/>
    <w:rsid w:val="25567E06"/>
    <w:rsid w:val="255E101F"/>
    <w:rsid w:val="25665B84"/>
    <w:rsid w:val="256B319A"/>
    <w:rsid w:val="256C46E6"/>
    <w:rsid w:val="25845E1E"/>
    <w:rsid w:val="25903C4A"/>
    <w:rsid w:val="259049AF"/>
    <w:rsid w:val="2591155E"/>
    <w:rsid w:val="259813E2"/>
    <w:rsid w:val="259B3C33"/>
    <w:rsid w:val="259F4BF2"/>
    <w:rsid w:val="259F5683"/>
    <w:rsid w:val="25A07EAF"/>
    <w:rsid w:val="25A52295"/>
    <w:rsid w:val="25AA080F"/>
    <w:rsid w:val="25B04D2A"/>
    <w:rsid w:val="25B704EA"/>
    <w:rsid w:val="25BA3642"/>
    <w:rsid w:val="25C501D8"/>
    <w:rsid w:val="25C8380E"/>
    <w:rsid w:val="25C97EC1"/>
    <w:rsid w:val="25DE044B"/>
    <w:rsid w:val="25E05F27"/>
    <w:rsid w:val="25E331CF"/>
    <w:rsid w:val="25E35426"/>
    <w:rsid w:val="25E53F77"/>
    <w:rsid w:val="25E876E0"/>
    <w:rsid w:val="25EC2D81"/>
    <w:rsid w:val="25EE5DB4"/>
    <w:rsid w:val="25F068FA"/>
    <w:rsid w:val="25F1746B"/>
    <w:rsid w:val="25F211C5"/>
    <w:rsid w:val="25FA451E"/>
    <w:rsid w:val="260131EA"/>
    <w:rsid w:val="26062EC3"/>
    <w:rsid w:val="2607298B"/>
    <w:rsid w:val="260B04D9"/>
    <w:rsid w:val="260F44C6"/>
    <w:rsid w:val="261D0300"/>
    <w:rsid w:val="262248E9"/>
    <w:rsid w:val="26265313"/>
    <w:rsid w:val="262923F6"/>
    <w:rsid w:val="262E5CD2"/>
    <w:rsid w:val="2633160E"/>
    <w:rsid w:val="263756DB"/>
    <w:rsid w:val="26414229"/>
    <w:rsid w:val="264A5904"/>
    <w:rsid w:val="26527C90"/>
    <w:rsid w:val="265D7BB2"/>
    <w:rsid w:val="265E5AFF"/>
    <w:rsid w:val="26620A3D"/>
    <w:rsid w:val="26623773"/>
    <w:rsid w:val="26681488"/>
    <w:rsid w:val="266C0E58"/>
    <w:rsid w:val="266F0B8C"/>
    <w:rsid w:val="266F102B"/>
    <w:rsid w:val="267270A9"/>
    <w:rsid w:val="267B5911"/>
    <w:rsid w:val="26844111"/>
    <w:rsid w:val="268D6C84"/>
    <w:rsid w:val="269404CF"/>
    <w:rsid w:val="26946721"/>
    <w:rsid w:val="269640B9"/>
    <w:rsid w:val="26A526DC"/>
    <w:rsid w:val="26A85D28"/>
    <w:rsid w:val="26AA7D46"/>
    <w:rsid w:val="26B1544C"/>
    <w:rsid w:val="26C409C0"/>
    <w:rsid w:val="26D13EAE"/>
    <w:rsid w:val="26D44D6F"/>
    <w:rsid w:val="26D60AE7"/>
    <w:rsid w:val="26DB5FF5"/>
    <w:rsid w:val="26DD44C9"/>
    <w:rsid w:val="26DE174A"/>
    <w:rsid w:val="26DF12C1"/>
    <w:rsid w:val="26E06425"/>
    <w:rsid w:val="26EE13A2"/>
    <w:rsid w:val="26EF5515"/>
    <w:rsid w:val="26EF5616"/>
    <w:rsid w:val="27070CA1"/>
    <w:rsid w:val="270A69E3"/>
    <w:rsid w:val="270B44D3"/>
    <w:rsid w:val="27107AC2"/>
    <w:rsid w:val="27160EE4"/>
    <w:rsid w:val="27191F7D"/>
    <w:rsid w:val="271D04C4"/>
    <w:rsid w:val="27201D62"/>
    <w:rsid w:val="27277595"/>
    <w:rsid w:val="273115CE"/>
    <w:rsid w:val="27363334"/>
    <w:rsid w:val="27421CD9"/>
    <w:rsid w:val="27434813"/>
    <w:rsid w:val="27476007"/>
    <w:rsid w:val="27477C65"/>
    <w:rsid w:val="274E11C3"/>
    <w:rsid w:val="27544776"/>
    <w:rsid w:val="27604855"/>
    <w:rsid w:val="27606603"/>
    <w:rsid w:val="277029AB"/>
    <w:rsid w:val="277057A2"/>
    <w:rsid w:val="27710ADB"/>
    <w:rsid w:val="2773127A"/>
    <w:rsid w:val="27750300"/>
    <w:rsid w:val="277B51EB"/>
    <w:rsid w:val="277F0E70"/>
    <w:rsid w:val="278002B7"/>
    <w:rsid w:val="278E4405"/>
    <w:rsid w:val="279A1B15"/>
    <w:rsid w:val="27A6670B"/>
    <w:rsid w:val="27A76325"/>
    <w:rsid w:val="27A961FC"/>
    <w:rsid w:val="27AC17DC"/>
    <w:rsid w:val="27B149F1"/>
    <w:rsid w:val="27BD0F47"/>
    <w:rsid w:val="27DB4A3C"/>
    <w:rsid w:val="27F53587"/>
    <w:rsid w:val="28011947"/>
    <w:rsid w:val="28096C9A"/>
    <w:rsid w:val="28137487"/>
    <w:rsid w:val="28162DCB"/>
    <w:rsid w:val="2818512F"/>
    <w:rsid w:val="281B410E"/>
    <w:rsid w:val="281D62A2"/>
    <w:rsid w:val="28212236"/>
    <w:rsid w:val="28215D92"/>
    <w:rsid w:val="283B79A0"/>
    <w:rsid w:val="283D27F5"/>
    <w:rsid w:val="283E4B96"/>
    <w:rsid w:val="28435A1C"/>
    <w:rsid w:val="28450D65"/>
    <w:rsid w:val="284B72B3"/>
    <w:rsid w:val="28554B7F"/>
    <w:rsid w:val="2866479A"/>
    <w:rsid w:val="287820B1"/>
    <w:rsid w:val="288E0F4E"/>
    <w:rsid w:val="288F53F1"/>
    <w:rsid w:val="28904CC6"/>
    <w:rsid w:val="28962DAF"/>
    <w:rsid w:val="28967C1B"/>
    <w:rsid w:val="289972F7"/>
    <w:rsid w:val="289D28FF"/>
    <w:rsid w:val="28A15125"/>
    <w:rsid w:val="28A40282"/>
    <w:rsid w:val="28A644E9"/>
    <w:rsid w:val="28AD5050"/>
    <w:rsid w:val="28B60BD0"/>
    <w:rsid w:val="28B9246E"/>
    <w:rsid w:val="28C537B9"/>
    <w:rsid w:val="28C66C4C"/>
    <w:rsid w:val="28CC1DA4"/>
    <w:rsid w:val="28D64DCE"/>
    <w:rsid w:val="28DC43AF"/>
    <w:rsid w:val="28DC615D"/>
    <w:rsid w:val="28E62B38"/>
    <w:rsid w:val="28F266C6"/>
    <w:rsid w:val="28F91116"/>
    <w:rsid w:val="290217CA"/>
    <w:rsid w:val="2906012E"/>
    <w:rsid w:val="2907142C"/>
    <w:rsid w:val="290C4084"/>
    <w:rsid w:val="29123CDD"/>
    <w:rsid w:val="29192F0D"/>
    <w:rsid w:val="291C2DF1"/>
    <w:rsid w:val="291E49C7"/>
    <w:rsid w:val="29206EB8"/>
    <w:rsid w:val="29241954"/>
    <w:rsid w:val="292863C3"/>
    <w:rsid w:val="29347FF6"/>
    <w:rsid w:val="293C71F0"/>
    <w:rsid w:val="2940493E"/>
    <w:rsid w:val="29452074"/>
    <w:rsid w:val="294837F2"/>
    <w:rsid w:val="295108F9"/>
    <w:rsid w:val="295312A9"/>
    <w:rsid w:val="29580E98"/>
    <w:rsid w:val="29583A35"/>
    <w:rsid w:val="2959143F"/>
    <w:rsid w:val="29595666"/>
    <w:rsid w:val="295C29C8"/>
    <w:rsid w:val="29671ECA"/>
    <w:rsid w:val="297445E7"/>
    <w:rsid w:val="29763B49"/>
    <w:rsid w:val="297C2079"/>
    <w:rsid w:val="29874244"/>
    <w:rsid w:val="29874881"/>
    <w:rsid w:val="298A0D22"/>
    <w:rsid w:val="299D5919"/>
    <w:rsid w:val="29A24CB1"/>
    <w:rsid w:val="29B51152"/>
    <w:rsid w:val="29C65079"/>
    <w:rsid w:val="29CE1D91"/>
    <w:rsid w:val="29D168A0"/>
    <w:rsid w:val="29E325E0"/>
    <w:rsid w:val="29E52D01"/>
    <w:rsid w:val="29EC3DAC"/>
    <w:rsid w:val="29ED3DED"/>
    <w:rsid w:val="29F82D72"/>
    <w:rsid w:val="2A0702E0"/>
    <w:rsid w:val="2A1A518F"/>
    <w:rsid w:val="2A247C87"/>
    <w:rsid w:val="2A27395E"/>
    <w:rsid w:val="2A3E785F"/>
    <w:rsid w:val="2A452503"/>
    <w:rsid w:val="2A4A36B6"/>
    <w:rsid w:val="2A5341FD"/>
    <w:rsid w:val="2A5F0DF4"/>
    <w:rsid w:val="2A6B7829"/>
    <w:rsid w:val="2A6E7AED"/>
    <w:rsid w:val="2A7523C5"/>
    <w:rsid w:val="2A9A1E2C"/>
    <w:rsid w:val="2AA17E19"/>
    <w:rsid w:val="2AB12F1E"/>
    <w:rsid w:val="2ABC3F94"/>
    <w:rsid w:val="2AC30021"/>
    <w:rsid w:val="2AC90D56"/>
    <w:rsid w:val="2ACF4481"/>
    <w:rsid w:val="2ACF5F79"/>
    <w:rsid w:val="2AD104E2"/>
    <w:rsid w:val="2ADB491E"/>
    <w:rsid w:val="2AE33BEA"/>
    <w:rsid w:val="2AE95090"/>
    <w:rsid w:val="2AED38D4"/>
    <w:rsid w:val="2B033E75"/>
    <w:rsid w:val="2B050EB5"/>
    <w:rsid w:val="2B065713"/>
    <w:rsid w:val="2B12230A"/>
    <w:rsid w:val="2B2124C9"/>
    <w:rsid w:val="2B30453E"/>
    <w:rsid w:val="2B3C7458"/>
    <w:rsid w:val="2B427967"/>
    <w:rsid w:val="2B457B6F"/>
    <w:rsid w:val="2B4754B4"/>
    <w:rsid w:val="2B4D4859"/>
    <w:rsid w:val="2B4D50F0"/>
    <w:rsid w:val="2B512E32"/>
    <w:rsid w:val="2B54647E"/>
    <w:rsid w:val="2B683CD8"/>
    <w:rsid w:val="2B746B21"/>
    <w:rsid w:val="2B764647"/>
    <w:rsid w:val="2B76513F"/>
    <w:rsid w:val="2B795EE5"/>
    <w:rsid w:val="2B7B1C5D"/>
    <w:rsid w:val="2B8A00F2"/>
    <w:rsid w:val="2B8F74B6"/>
    <w:rsid w:val="2B93208D"/>
    <w:rsid w:val="2B9B6942"/>
    <w:rsid w:val="2BA2146A"/>
    <w:rsid w:val="2BA936A8"/>
    <w:rsid w:val="2BAB3CAD"/>
    <w:rsid w:val="2BB05DAB"/>
    <w:rsid w:val="2BCD4B72"/>
    <w:rsid w:val="2BDE3F9A"/>
    <w:rsid w:val="2BEA0B91"/>
    <w:rsid w:val="2BF2003B"/>
    <w:rsid w:val="2BFD66DA"/>
    <w:rsid w:val="2BFF63EA"/>
    <w:rsid w:val="2C061E34"/>
    <w:rsid w:val="2C0C23AB"/>
    <w:rsid w:val="2C1300E8"/>
    <w:rsid w:val="2C1B6F9C"/>
    <w:rsid w:val="2C2422F5"/>
    <w:rsid w:val="2C2916B9"/>
    <w:rsid w:val="2C2E6CCF"/>
    <w:rsid w:val="2C315A5A"/>
    <w:rsid w:val="2C36164E"/>
    <w:rsid w:val="2C3E3247"/>
    <w:rsid w:val="2C401DDB"/>
    <w:rsid w:val="2C4877E8"/>
    <w:rsid w:val="2C4B1C25"/>
    <w:rsid w:val="2C5630C5"/>
    <w:rsid w:val="2C5F332D"/>
    <w:rsid w:val="2C657904"/>
    <w:rsid w:val="2C772FE2"/>
    <w:rsid w:val="2C7A1F15"/>
    <w:rsid w:val="2C7B3026"/>
    <w:rsid w:val="2C7B3C1F"/>
    <w:rsid w:val="2C8069CD"/>
    <w:rsid w:val="2C810784"/>
    <w:rsid w:val="2C815051"/>
    <w:rsid w:val="2C923702"/>
    <w:rsid w:val="2CAD6075"/>
    <w:rsid w:val="2CB35427"/>
    <w:rsid w:val="2CB65D5F"/>
    <w:rsid w:val="2CC17B44"/>
    <w:rsid w:val="2CC23208"/>
    <w:rsid w:val="2CCA712D"/>
    <w:rsid w:val="2CCD473A"/>
    <w:rsid w:val="2CD0422B"/>
    <w:rsid w:val="2CD07D87"/>
    <w:rsid w:val="2CE774CF"/>
    <w:rsid w:val="2CE83322"/>
    <w:rsid w:val="2CED0939"/>
    <w:rsid w:val="2CEF2903"/>
    <w:rsid w:val="2CEF722E"/>
    <w:rsid w:val="2D0619FA"/>
    <w:rsid w:val="2D095368"/>
    <w:rsid w:val="2D0A6BDC"/>
    <w:rsid w:val="2D142369"/>
    <w:rsid w:val="2D1455BF"/>
    <w:rsid w:val="2D1B36F8"/>
    <w:rsid w:val="2D1C121E"/>
    <w:rsid w:val="2D203FB5"/>
    <w:rsid w:val="2D2A0F37"/>
    <w:rsid w:val="2D2B320F"/>
    <w:rsid w:val="2D3F6B77"/>
    <w:rsid w:val="2D6340AC"/>
    <w:rsid w:val="2D6B4C5F"/>
    <w:rsid w:val="2D7352FD"/>
    <w:rsid w:val="2D7544DC"/>
    <w:rsid w:val="2D7E77E3"/>
    <w:rsid w:val="2D8105B3"/>
    <w:rsid w:val="2D811081"/>
    <w:rsid w:val="2D870D8D"/>
    <w:rsid w:val="2D8A380B"/>
    <w:rsid w:val="2D8A43D9"/>
    <w:rsid w:val="2D8D3ECA"/>
    <w:rsid w:val="2D8F3758"/>
    <w:rsid w:val="2D915768"/>
    <w:rsid w:val="2D94061C"/>
    <w:rsid w:val="2D947006"/>
    <w:rsid w:val="2D9E56F5"/>
    <w:rsid w:val="2DD231F5"/>
    <w:rsid w:val="2DD83397"/>
    <w:rsid w:val="2DDF5E3D"/>
    <w:rsid w:val="2DE75388"/>
    <w:rsid w:val="2DEA30CA"/>
    <w:rsid w:val="2DF43EAD"/>
    <w:rsid w:val="2DF83AF2"/>
    <w:rsid w:val="2DFA155F"/>
    <w:rsid w:val="2DFE0923"/>
    <w:rsid w:val="2E075A2A"/>
    <w:rsid w:val="2E083E2E"/>
    <w:rsid w:val="2E0A551A"/>
    <w:rsid w:val="2E104DE6"/>
    <w:rsid w:val="2E1C074C"/>
    <w:rsid w:val="2E1C5394"/>
    <w:rsid w:val="2E3007F9"/>
    <w:rsid w:val="2E493EAA"/>
    <w:rsid w:val="2E4C168F"/>
    <w:rsid w:val="2E5C5D76"/>
    <w:rsid w:val="2E5D389C"/>
    <w:rsid w:val="2E602CAB"/>
    <w:rsid w:val="2E60513A"/>
    <w:rsid w:val="2E6432A1"/>
    <w:rsid w:val="2E667F96"/>
    <w:rsid w:val="2E702160"/>
    <w:rsid w:val="2E725599"/>
    <w:rsid w:val="2E76495E"/>
    <w:rsid w:val="2E7A444E"/>
    <w:rsid w:val="2E7C2C5F"/>
    <w:rsid w:val="2E7F46BB"/>
    <w:rsid w:val="2E8150F8"/>
    <w:rsid w:val="2E8226AB"/>
    <w:rsid w:val="2E881F9A"/>
    <w:rsid w:val="2E8C7BEE"/>
    <w:rsid w:val="2E8E20F5"/>
    <w:rsid w:val="2E9B6172"/>
    <w:rsid w:val="2E9C58DF"/>
    <w:rsid w:val="2EA150AF"/>
    <w:rsid w:val="2EA17C2D"/>
    <w:rsid w:val="2EA756CA"/>
    <w:rsid w:val="2EB72FAC"/>
    <w:rsid w:val="2EBD1B9A"/>
    <w:rsid w:val="2EC60F6B"/>
    <w:rsid w:val="2ECD0A22"/>
    <w:rsid w:val="2ED00512"/>
    <w:rsid w:val="2ED1276D"/>
    <w:rsid w:val="2ED973C6"/>
    <w:rsid w:val="2EE1627B"/>
    <w:rsid w:val="2EE45D6B"/>
    <w:rsid w:val="2EED1615"/>
    <w:rsid w:val="2F0A0B52"/>
    <w:rsid w:val="2F0B32F8"/>
    <w:rsid w:val="2F1523C9"/>
    <w:rsid w:val="2F1A178D"/>
    <w:rsid w:val="2F1F0594"/>
    <w:rsid w:val="2F28252A"/>
    <w:rsid w:val="2F340875"/>
    <w:rsid w:val="2F3970F4"/>
    <w:rsid w:val="2F3F11F4"/>
    <w:rsid w:val="2F454F1E"/>
    <w:rsid w:val="2F473125"/>
    <w:rsid w:val="2F496E2D"/>
    <w:rsid w:val="2F4B5DEA"/>
    <w:rsid w:val="2F5A2EE5"/>
    <w:rsid w:val="2F5E2038"/>
    <w:rsid w:val="2F6436BD"/>
    <w:rsid w:val="2F6B36B7"/>
    <w:rsid w:val="2F7B222C"/>
    <w:rsid w:val="2F7D7D2F"/>
    <w:rsid w:val="2F8530AA"/>
    <w:rsid w:val="2F8B61E7"/>
    <w:rsid w:val="2F8C268B"/>
    <w:rsid w:val="2F920BF0"/>
    <w:rsid w:val="2F94489F"/>
    <w:rsid w:val="2FAD4F57"/>
    <w:rsid w:val="2FB76FDC"/>
    <w:rsid w:val="2FC260AC"/>
    <w:rsid w:val="2FC80D9D"/>
    <w:rsid w:val="2FD065E6"/>
    <w:rsid w:val="2FD57AA1"/>
    <w:rsid w:val="2FD64011"/>
    <w:rsid w:val="2FD73CE4"/>
    <w:rsid w:val="2FD90F1D"/>
    <w:rsid w:val="2FD96870"/>
    <w:rsid w:val="2FDB716E"/>
    <w:rsid w:val="2FE000D5"/>
    <w:rsid w:val="2FE20ACA"/>
    <w:rsid w:val="2FE73D65"/>
    <w:rsid w:val="2FEB70C0"/>
    <w:rsid w:val="30073ABF"/>
    <w:rsid w:val="30147AD6"/>
    <w:rsid w:val="301D32E3"/>
    <w:rsid w:val="30246A80"/>
    <w:rsid w:val="30273D63"/>
    <w:rsid w:val="302809FE"/>
    <w:rsid w:val="30281C88"/>
    <w:rsid w:val="302F1268"/>
    <w:rsid w:val="303134C3"/>
    <w:rsid w:val="30410904"/>
    <w:rsid w:val="3048535B"/>
    <w:rsid w:val="304940D8"/>
    <w:rsid w:val="304F4436"/>
    <w:rsid w:val="3050190A"/>
    <w:rsid w:val="30580BC9"/>
    <w:rsid w:val="30662EDC"/>
    <w:rsid w:val="306727B0"/>
    <w:rsid w:val="30677CC3"/>
    <w:rsid w:val="306B4E7D"/>
    <w:rsid w:val="307676BE"/>
    <w:rsid w:val="30773333"/>
    <w:rsid w:val="3082583C"/>
    <w:rsid w:val="30843362"/>
    <w:rsid w:val="30885639"/>
    <w:rsid w:val="3091782D"/>
    <w:rsid w:val="3092388D"/>
    <w:rsid w:val="30937A49"/>
    <w:rsid w:val="3094605B"/>
    <w:rsid w:val="309C608C"/>
    <w:rsid w:val="30A15470"/>
    <w:rsid w:val="30A46EB6"/>
    <w:rsid w:val="30A8287F"/>
    <w:rsid w:val="30B005FB"/>
    <w:rsid w:val="30B16B06"/>
    <w:rsid w:val="30B579BF"/>
    <w:rsid w:val="30B8125D"/>
    <w:rsid w:val="30BA6D84"/>
    <w:rsid w:val="30BD6874"/>
    <w:rsid w:val="30BE6D75"/>
    <w:rsid w:val="30C235B9"/>
    <w:rsid w:val="30C61284"/>
    <w:rsid w:val="30D43DC9"/>
    <w:rsid w:val="30D54010"/>
    <w:rsid w:val="30D82517"/>
    <w:rsid w:val="30DA1475"/>
    <w:rsid w:val="30E16A06"/>
    <w:rsid w:val="30F15FBD"/>
    <w:rsid w:val="30F92498"/>
    <w:rsid w:val="30FE5EE1"/>
    <w:rsid w:val="30FF0C3A"/>
    <w:rsid w:val="310961D3"/>
    <w:rsid w:val="310B75DF"/>
    <w:rsid w:val="310E73C7"/>
    <w:rsid w:val="311B271D"/>
    <w:rsid w:val="311E2D80"/>
    <w:rsid w:val="311E2ED7"/>
    <w:rsid w:val="311F31F4"/>
    <w:rsid w:val="31252E2B"/>
    <w:rsid w:val="31271F3F"/>
    <w:rsid w:val="312A1DBA"/>
    <w:rsid w:val="312E7F11"/>
    <w:rsid w:val="31337F00"/>
    <w:rsid w:val="31366B10"/>
    <w:rsid w:val="313C59EB"/>
    <w:rsid w:val="315619EE"/>
    <w:rsid w:val="315C449C"/>
    <w:rsid w:val="31621EA7"/>
    <w:rsid w:val="3164427C"/>
    <w:rsid w:val="31794E91"/>
    <w:rsid w:val="318109C5"/>
    <w:rsid w:val="31813D45"/>
    <w:rsid w:val="31817AFF"/>
    <w:rsid w:val="318A49A8"/>
    <w:rsid w:val="31B82709"/>
    <w:rsid w:val="31BA24B5"/>
    <w:rsid w:val="31D05482"/>
    <w:rsid w:val="31D13193"/>
    <w:rsid w:val="31D245A1"/>
    <w:rsid w:val="31DA3ED7"/>
    <w:rsid w:val="31DE2F46"/>
    <w:rsid w:val="31DE5041"/>
    <w:rsid w:val="31DE6207"/>
    <w:rsid w:val="31E55B98"/>
    <w:rsid w:val="31EC5EE1"/>
    <w:rsid w:val="31F1352C"/>
    <w:rsid w:val="31FB7654"/>
    <w:rsid w:val="31FE7434"/>
    <w:rsid w:val="3207249C"/>
    <w:rsid w:val="32132FE6"/>
    <w:rsid w:val="3215767E"/>
    <w:rsid w:val="321D23AE"/>
    <w:rsid w:val="321E77E6"/>
    <w:rsid w:val="321F4378"/>
    <w:rsid w:val="322070BA"/>
    <w:rsid w:val="32222C8C"/>
    <w:rsid w:val="32286157"/>
    <w:rsid w:val="32292413"/>
    <w:rsid w:val="322C43CD"/>
    <w:rsid w:val="32400B34"/>
    <w:rsid w:val="32472899"/>
    <w:rsid w:val="32586854"/>
    <w:rsid w:val="325D768B"/>
    <w:rsid w:val="32621481"/>
    <w:rsid w:val="32641B63"/>
    <w:rsid w:val="32677F6B"/>
    <w:rsid w:val="326A2A2B"/>
    <w:rsid w:val="32943D5A"/>
    <w:rsid w:val="329E6876"/>
    <w:rsid w:val="329F0927"/>
    <w:rsid w:val="329F6AD6"/>
    <w:rsid w:val="32A45F3D"/>
    <w:rsid w:val="32A55811"/>
    <w:rsid w:val="32A94879"/>
    <w:rsid w:val="32AF043E"/>
    <w:rsid w:val="32B06690"/>
    <w:rsid w:val="32B141B6"/>
    <w:rsid w:val="32BA750F"/>
    <w:rsid w:val="32BB6DE3"/>
    <w:rsid w:val="32C263C3"/>
    <w:rsid w:val="32CD4813"/>
    <w:rsid w:val="32D06278"/>
    <w:rsid w:val="32D60C74"/>
    <w:rsid w:val="32DB4DDB"/>
    <w:rsid w:val="32DF0D23"/>
    <w:rsid w:val="32ED5589"/>
    <w:rsid w:val="32EE71B8"/>
    <w:rsid w:val="32F7742E"/>
    <w:rsid w:val="32F80037"/>
    <w:rsid w:val="32FF15C5"/>
    <w:rsid w:val="331C1F78"/>
    <w:rsid w:val="332130EA"/>
    <w:rsid w:val="332226A5"/>
    <w:rsid w:val="333015F2"/>
    <w:rsid w:val="333B293F"/>
    <w:rsid w:val="334A1F51"/>
    <w:rsid w:val="334B6320"/>
    <w:rsid w:val="33541711"/>
    <w:rsid w:val="33557238"/>
    <w:rsid w:val="33572FB0"/>
    <w:rsid w:val="336A36DB"/>
    <w:rsid w:val="336E5337"/>
    <w:rsid w:val="33723946"/>
    <w:rsid w:val="33792F26"/>
    <w:rsid w:val="337D3B0E"/>
    <w:rsid w:val="337F18F0"/>
    <w:rsid w:val="33944CE4"/>
    <w:rsid w:val="33A30715"/>
    <w:rsid w:val="33AB50A9"/>
    <w:rsid w:val="33B71CA0"/>
    <w:rsid w:val="33C215D9"/>
    <w:rsid w:val="33C22EAC"/>
    <w:rsid w:val="33C35115"/>
    <w:rsid w:val="33D644EA"/>
    <w:rsid w:val="33D934D4"/>
    <w:rsid w:val="33EF4175"/>
    <w:rsid w:val="33F15215"/>
    <w:rsid w:val="33FE2F6A"/>
    <w:rsid w:val="34032E4A"/>
    <w:rsid w:val="340E07E5"/>
    <w:rsid w:val="3411315F"/>
    <w:rsid w:val="34235400"/>
    <w:rsid w:val="34235BF7"/>
    <w:rsid w:val="3424158E"/>
    <w:rsid w:val="34267AE8"/>
    <w:rsid w:val="342E1D81"/>
    <w:rsid w:val="342F7A89"/>
    <w:rsid w:val="3430064B"/>
    <w:rsid w:val="34375B94"/>
    <w:rsid w:val="34392127"/>
    <w:rsid w:val="343F707F"/>
    <w:rsid w:val="34442C27"/>
    <w:rsid w:val="34533564"/>
    <w:rsid w:val="34637732"/>
    <w:rsid w:val="34645606"/>
    <w:rsid w:val="346628A9"/>
    <w:rsid w:val="346D15B9"/>
    <w:rsid w:val="347A7FA4"/>
    <w:rsid w:val="348210AD"/>
    <w:rsid w:val="34870A2E"/>
    <w:rsid w:val="34924BE4"/>
    <w:rsid w:val="34961BCD"/>
    <w:rsid w:val="349E1EB3"/>
    <w:rsid w:val="34A002BF"/>
    <w:rsid w:val="34A51AF9"/>
    <w:rsid w:val="34B57049"/>
    <w:rsid w:val="34B83423"/>
    <w:rsid w:val="34B87469"/>
    <w:rsid w:val="34BD6E42"/>
    <w:rsid w:val="34C53F49"/>
    <w:rsid w:val="34CF5F7D"/>
    <w:rsid w:val="34D10B40"/>
    <w:rsid w:val="34D27DBB"/>
    <w:rsid w:val="34D66156"/>
    <w:rsid w:val="34DB7C7E"/>
    <w:rsid w:val="34E915C4"/>
    <w:rsid w:val="34EE16F2"/>
    <w:rsid w:val="34F17190"/>
    <w:rsid w:val="34FC03B8"/>
    <w:rsid w:val="34FF56AD"/>
    <w:rsid w:val="3504533B"/>
    <w:rsid w:val="350743C5"/>
    <w:rsid w:val="35077950"/>
    <w:rsid w:val="350E3B42"/>
    <w:rsid w:val="35153A48"/>
    <w:rsid w:val="352549E8"/>
    <w:rsid w:val="352C0254"/>
    <w:rsid w:val="35380BBF"/>
    <w:rsid w:val="353C245D"/>
    <w:rsid w:val="353D36AE"/>
    <w:rsid w:val="354D34A8"/>
    <w:rsid w:val="35611EC4"/>
    <w:rsid w:val="356279EA"/>
    <w:rsid w:val="35647C06"/>
    <w:rsid w:val="356B689E"/>
    <w:rsid w:val="35796CF3"/>
    <w:rsid w:val="357E5F8E"/>
    <w:rsid w:val="358362DE"/>
    <w:rsid w:val="3586192A"/>
    <w:rsid w:val="358C5FA8"/>
    <w:rsid w:val="359C73A0"/>
    <w:rsid w:val="35A10512"/>
    <w:rsid w:val="35A61FCC"/>
    <w:rsid w:val="35A751DC"/>
    <w:rsid w:val="35B46690"/>
    <w:rsid w:val="35B46AC0"/>
    <w:rsid w:val="35B82C35"/>
    <w:rsid w:val="35BB5A78"/>
    <w:rsid w:val="35C15DF1"/>
    <w:rsid w:val="35C91817"/>
    <w:rsid w:val="35CE6E2D"/>
    <w:rsid w:val="35D164C7"/>
    <w:rsid w:val="35D202C4"/>
    <w:rsid w:val="35E054DE"/>
    <w:rsid w:val="35E14DB3"/>
    <w:rsid w:val="35E96BB1"/>
    <w:rsid w:val="35E9748E"/>
    <w:rsid w:val="35EB3E83"/>
    <w:rsid w:val="35EC165E"/>
    <w:rsid w:val="35F66AB0"/>
    <w:rsid w:val="35F84D2D"/>
    <w:rsid w:val="35FA5E74"/>
    <w:rsid w:val="35FD7B19"/>
    <w:rsid w:val="36074A7F"/>
    <w:rsid w:val="36213401"/>
    <w:rsid w:val="36244464"/>
    <w:rsid w:val="36287EDA"/>
    <w:rsid w:val="362E3CA1"/>
    <w:rsid w:val="363140CB"/>
    <w:rsid w:val="363870C8"/>
    <w:rsid w:val="363925D5"/>
    <w:rsid w:val="363C023B"/>
    <w:rsid w:val="36421122"/>
    <w:rsid w:val="364F7F6E"/>
    <w:rsid w:val="36533F02"/>
    <w:rsid w:val="365C18D9"/>
    <w:rsid w:val="366B28CE"/>
    <w:rsid w:val="3680105A"/>
    <w:rsid w:val="3684230E"/>
    <w:rsid w:val="36873BAC"/>
    <w:rsid w:val="36877708"/>
    <w:rsid w:val="36923549"/>
    <w:rsid w:val="36981915"/>
    <w:rsid w:val="369E09A5"/>
    <w:rsid w:val="36B424C7"/>
    <w:rsid w:val="36B53A52"/>
    <w:rsid w:val="36B60F05"/>
    <w:rsid w:val="36B75FBF"/>
    <w:rsid w:val="36BB5BB8"/>
    <w:rsid w:val="36BD0C45"/>
    <w:rsid w:val="36C503A9"/>
    <w:rsid w:val="36CC1BEA"/>
    <w:rsid w:val="36D17C0B"/>
    <w:rsid w:val="36D277D5"/>
    <w:rsid w:val="36D3294D"/>
    <w:rsid w:val="36DD2C3A"/>
    <w:rsid w:val="36DF7AF3"/>
    <w:rsid w:val="36F31241"/>
    <w:rsid w:val="36F34D9D"/>
    <w:rsid w:val="36F477C1"/>
    <w:rsid w:val="36FB1EA4"/>
    <w:rsid w:val="36FC6348"/>
    <w:rsid w:val="36FD2CAC"/>
    <w:rsid w:val="36FF1994"/>
    <w:rsid w:val="36FF3742"/>
    <w:rsid w:val="371D40E4"/>
    <w:rsid w:val="3720190B"/>
    <w:rsid w:val="3724764D"/>
    <w:rsid w:val="37256F21"/>
    <w:rsid w:val="37257D3E"/>
    <w:rsid w:val="372E4027"/>
    <w:rsid w:val="37344DF6"/>
    <w:rsid w:val="373738C5"/>
    <w:rsid w:val="37490021"/>
    <w:rsid w:val="374A6DF4"/>
    <w:rsid w:val="374B4D11"/>
    <w:rsid w:val="374E6232"/>
    <w:rsid w:val="375566FE"/>
    <w:rsid w:val="37647766"/>
    <w:rsid w:val="37652A2C"/>
    <w:rsid w:val="376C0B36"/>
    <w:rsid w:val="376C68FE"/>
    <w:rsid w:val="37737C8C"/>
    <w:rsid w:val="37753A04"/>
    <w:rsid w:val="377A2D92"/>
    <w:rsid w:val="37847E6B"/>
    <w:rsid w:val="378B2135"/>
    <w:rsid w:val="37A64B53"/>
    <w:rsid w:val="37A67011"/>
    <w:rsid w:val="37A9301F"/>
    <w:rsid w:val="37AD108D"/>
    <w:rsid w:val="37AE5168"/>
    <w:rsid w:val="37BE35FD"/>
    <w:rsid w:val="37BF1123"/>
    <w:rsid w:val="37C14E9C"/>
    <w:rsid w:val="37C52C3A"/>
    <w:rsid w:val="37C72442"/>
    <w:rsid w:val="37DC1CD5"/>
    <w:rsid w:val="37E00298"/>
    <w:rsid w:val="37E42190"/>
    <w:rsid w:val="37E55929"/>
    <w:rsid w:val="37EA6D25"/>
    <w:rsid w:val="37EE37B7"/>
    <w:rsid w:val="37F07303"/>
    <w:rsid w:val="37F52D97"/>
    <w:rsid w:val="37FB07C3"/>
    <w:rsid w:val="37FE39FA"/>
    <w:rsid w:val="38043EED"/>
    <w:rsid w:val="380637DF"/>
    <w:rsid w:val="380B25BB"/>
    <w:rsid w:val="380F5C07"/>
    <w:rsid w:val="3816778C"/>
    <w:rsid w:val="382B4B2E"/>
    <w:rsid w:val="38340B4F"/>
    <w:rsid w:val="38350279"/>
    <w:rsid w:val="384148C6"/>
    <w:rsid w:val="38441C7C"/>
    <w:rsid w:val="3846433A"/>
    <w:rsid w:val="38484961"/>
    <w:rsid w:val="384F7C6E"/>
    <w:rsid w:val="385775AE"/>
    <w:rsid w:val="38683B2B"/>
    <w:rsid w:val="386C4CED"/>
    <w:rsid w:val="386C6581"/>
    <w:rsid w:val="387D5266"/>
    <w:rsid w:val="3885355F"/>
    <w:rsid w:val="38855EC9"/>
    <w:rsid w:val="388A4F19"/>
    <w:rsid w:val="388D7ABD"/>
    <w:rsid w:val="3891486E"/>
    <w:rsid w:val="389D0C25"/>
    <w:rsid w:val="38A327F3"/>
    <w:rsid w:val="38AC53A6"/>
    <w:rsid w:val="38B14F10"/>
    <w:rsid w:val="38B302F9"/>
    <w:rsid w:val="38B8063C"/>
    <w:rsid w:val="38DA426D"/>
    <w:rsid w:val="38E848AE"/>
    <w:rsid w:val="38E914AA"/>
    <w:rsid w:val="38EA6674"/>
    <w:rsid w:val="38F1098C"/>
    <w:rsid w:val="38F12CD3"/>
    <w:rsid w:val="38F94775"/>
    <w:rsid w:val="39006985"/>
    <w:rsid w:val="390200C3"/>
    <w:rsid w:val="39136779"/>
    <w:rsid w:val="39253208"/>
    <w:rsid w:val="39291494"/>
    <w:rsid w:val="392971ED"/>
    <w:rsid w:val="392A1279"/>
    <w:rsid w:val="392C0A3B"/>
    <w:rsid w:val="39325651"/>
    <w:rsid w:val="3938118D"/>
    <w:rsid w:val="393A44E6"/>
    <w:rsid w:val="393C75D0"/>
    <w:rsid w:val="39455658"/>
    <w:rsid w:val="39491574"/>
    <w:rsid w:val="394F0285"/>
    <w:rsid w:val="395064D7"/>
    <w:rsid w:val="395813DD"/>
    <w:rsid w:val="395C1320"/>
    <w:rsid w:val="39657AA9"/>
    <w:rsid w:val="39691347"/>
    <w:rsid w:val="396935D0"/>
    <w:rsid w:val="397A3554"/>
    <w:rsid w:val="397E7F17"/>
    <w:rsid w:val="398A5B0B"/>
    <w:rsid w:val="398D6D44"/>
    <w:rsid w:val="398E5251"/>
    <w:rsid w:val="39912A5F"/>
    <w:rsid w:val="3999665E"/>
    <w:rsid w:val="399A59A4"/>
    <w:rsid w:val="39A040DE"/>
    <w:rsid w:val="39A44A75"/>
    <w:rsid w:val="39A607ED"/>
    <w:rsid w:val="39A93E39"/>
    <w:rsid w:val="39AB0604"/>
    <w:rsid w:val="39AF02DA"/>
    <w:rsid w:val="39B216CA"/>
    <w:rsid w:val="39BA1BA2"/>
    <w:rsid w:val="39BC0E8B"/>
    <w:rsid w:val="39C13B7F"/>
    <w:rsid w:val="39C433BC"/>
    <w:rsid w:val="39C46EC5"/>
    <w:rsid w:val="39C742BF"/>
    <w:rsid w:val="39D32C64"/>
    <w:rsid w:val="39F84D5D"/>
    <w:rsid w:val="3A056D5E"/>
    <w:rsid w:val="3A0D43C8"/>
    <w:rsid w:val="3A164AA2"/>
    <w:rsid w:val="3A17043F"/>
    <w:rsid w:val="3A170A8B"/>
    <w:rsid w:val="3A173499"/>
    <w:rsid w:val="3A1B5921"/>
    <w:rsid w:val="3A2F6D7D"/>
    <w:rsid w:val="3A442C03"/>
    <w:rsid w:val="3A4564B5"/>
    <w:rsid w:val="3A465D1D"/>
    <w:rsid w:val="3A502507"/>
    <w:rsid w:val="3A5139DE"/>
    <w:rsid w:val="3A63048C"/>
    <w:rsid w:val="3A766F4E"/>
    <w:rsid w:val="3A795EE2"/>
    <w:rsid w:val="3A850402"/>
    <w:rsid w:val="3A872856"/>
    <w:rsid w:val="3A8D7BE9"/>
    <w:rsid w:val="3A960F1D"/>
    <w:rsid w:val="3A965CCF"/>
    <w:rsid w:val="3A9C399E"/>
    <w:rsid w:val="3AA32056"/>
    <w:rsid w:val="3AA82343"/>
    <w:rsid w:val="3AAA1C17"/>
    <w:rsid w:val="3AAD3FE1"/>
    <w:rsid w:val="3ABE1B66"/>
    <w:rsid w:val="3AC04A97"/>
    <w:rsid w:val="3AC44B7A"/>
    <w:rsid w:val="3AC86541"/>
    <w:rsid w:val="3ACC7DDF"/>
    <w:rsid w:val="3ACF78CF"/>
    <w:rsid w:val="3AD06A61"/>
    <w:rsid w:val="3AE067E0"/>
    <w:rsid w:val="3AE16E49"/>
    <w:rsid w:val="3AF87ACE"/>
    <w:rsid w:val="3B010619"/>
    <w:rsid w:val="3B09602A"/>
    <w:rsid w:val="3B096234"/>
    <w:rsid w:val="3B117EE8"/>
    <w:rsid w:val="3B1A08AC"/>
    <w:rsid w:val="3B1D063B"/>
    <w:rsid w:val="3B1E287C"/>
    <w:rsid w:val="3B2714BA"/>
    <w:rsid w:val="3B2C087E"/>
    <w:rsid w:val="3B3649FA"/>
    <w:rsid w:val="3B3763D1"/>
    <w:rsid w:val="3B4220E8"/>
    <w:rsid w:val="3B4F45B3"/>
    <w:rsid w:val="3B590554"/>
    <w:rsid w:val="3B5D312D"/>
    <w:rsid w:val="3B6049CB"/>
    <w:rsid w:val="3B6A40EF"/>
    <w:rsid w:val="3B6B2F90"/>
    <w:rsid w:val="3B710987"/>
    <w:rsid w:val="3B716BD9"/>
    <w:rsid w:val="3B7566C9"/>
    <w:rsid w:val="3B834548"/>
    <w:rsid w:val="3B865402"/>
    <w:rsid w:val="3B8C2A0C"/>
    <w:rsid w:val="3B8C57C0"/>
    <w:rsid w:val="3B9F72A2"/>
    <w:rsid w:val="3BA21F1F"/>
    <w:rsid w:val="3BA64AD4"/>
    <w:rsid w:val="3BBA2AA7"/>
    <w:rsid w:val="3BC1190E"/>
    <w:rsid w:val="3BD442D4"/>
    <w:rsid w:val="3BD96340"/>
    <w:rsid w:val="3BDD601C"/>
    <w:rsid w:val="3BE37D40"/>
    <w:rsid w:val="3BE61618"/>
    <w:rsid w:val="3BE9676F"/>
    <w:rsid w:val="3BE96A91"/>
    <w:rsid w:val="3BF30E01"/>
    <w:rsid w:val="3BF70E8C"/>
    <w:rsid w:val="3C095063"/>
    <w:rsid w:val="3C1102C6"/>
    <w:rsid w:val="3C1F03E3"/>
    <w:rsid w:val="3C2854E9"/>
    <w:rsid w:val="3C285DC7"/>
    <w:rsid w:val="3C2E1669"/>
    <w:rsid w:val="3C2F6E1E"/>
    <w:rsid w:val="3C3025F0"/>
    <w:rsid w:val="3C323FF7"/>
    <w:rsid w:val="3C3D4DEB"/>
    <w:rsid w:val="3C4542ED"/>
    <w:rsid w:val="3C464E77"/>
    <w:rsid w:val="3C4D6CFE"/>
    <w:rsid w:val="3C4F64BA"/>
    <w:rsid w:val="3C5664AD"/>
    <w:rsid w:val="3C6711BC"/>
    <w:rsid w:val="3C6A3884"/>
    <w:rsid w:val="3C6F3118"/>
    <w:rsid w:val="3C7772CB"/>
    <w:rsid w:val="3C8702B1"/>
    <w:rsid w:val="3C8844A1"/>
    <w:rsid w:val="3C9105B0"/>
    <w:rsid w:val="3C981E14"/>
    <w:rsid w:val="3C9D4B7E"/>
    <w:rsid w:val="3CA52FDE"/>
    <w:rsid w:val="3CAB6545"/>
    <w:rsid w:val="3CB31078"/>
    <w:rsid w:val="3CB42DEC"/>
    <w:rsid w:val="3CB55628"/>
    <w:rsid w:val="3CBA4F3B"/>
    <w:rsid w:val="3CC138F6"/>
    <w:rsid w:val="3CC316B6"/>
    <w:rsid w:val="3CC52D38"/>
    <w:rsid w:val="3CCA65A0"/>
    <w:rsid w:val="3CCD42E3"/>
    <w:rsid w:val="3CD47F2D"/>
    <w:rsid w:val="3CDA245A"/>
    <w:rsid w:val="3CDE3DFA"/>
    <w:rsid w:val="3CE27D8E"/>
    <w:rsid w:val="3CE33A12"/>
    <w:rsid w:val="3CEE591F"/>
    <w:rsid w:val="3CF00A00"/>
    <w:rsid w:val="3D0A2E41"/>
    <w:rsid w:val="3D0E56F1"/>
    <w:rsid w:val="3D110C1D"/>
    <w:rsid w:val="3D122852"/>
    <w:rsid w:val="3D124BBA"/>
    <w:rsid w:val="3D133D6E"/>
    <w:rsid w:val="3D1E06B7"/>
    <w:rsid w:val="3D2832C7"/>
    <w:rsid w:val="3D2B40A4"/>
    <w:rsid w:val="3D2E2245"/>
    <w:rsid w:val="3D2F28A7"/>
    <w:rsid w:val="3D39094A"/>
    <w:rsid w:val="3D404E06"/>
    <w:rsid w:val="3D483969"/>
    <w:rsid w:val="3D4965F0"/>
    <w:rsid w:val="3D4E71D1"/>
    <w:rsid w:val="3D514278"/>
    <w:rsid w:val="3D557D07"/>
    <w:rsid w:val="3D5A3DC8"/>
    <w:rsid w:val="3D605157"/>
    <w:rsid w:val="3D6407A3"/>
    <w:rsid w:val="3D672041"/>
    <w:rsid w:val="3D692A64"/>
    <w:rsid w:val="3D6E438D"/>
    <w:rsid w:val="3D734CA5"/>
    <w:rsid w:val="3D765EC5"/>
    <w:rsid w:val="3D7D1865"/>
    <w:rsid w:val="3D8205B2"/>
    <w:rsid w:val="3D9372DA"/>
    <w:rsid w:val="3D983A85"/>
    <w:rsid w:val="3D9950AA"/>
    <w:rsid w:val="3D9B643F"/>
    <w:rsid w:val="3DA225DB"/>
    <w:rsid w:val="3DAB621D"/>
    <w:rsid w:val="3DB23FF5"/>
    <w:rsid w:val="3DB42DAD"/>
    <w:rsid w:val="3DB44648"/>
    <w:rsid w:val="3DB56BD0"/>
    <w:rsid w:val="3DBC7133"/>
    <w:rsid w:val="3DBF59D9"/>
    <w:rsid w:val="3DCE0312"/>
    <w:rsid w:val="3DD933A1"/>
    <w:rsid w:val="3DDD0555"/>
    <w:rsid w:val="3DE47B36"/>
    <w:rsid w:val="3DE74F30"/>
    <w:rsid w:val="3DE82C81"/>
    <w:rsid w:val="3DED0897"/>
    <w:rsid w:val="3DFD4754"/>
    <w:rsid w:val="3E0105F0"/>
    <w:rsid w:val="3E1153CB"/>
    <w:rsid w:val="3E117A0C"/>
    <w:rsid w:val="3E2671A5"/>
    <w:rsid w:val="3E350391"/>
    <w:rsid w:val="3E390223"/>
    <w:rsid w:val="3E3A3A5F"/>
    <w:rsid w:val="3E410395"/>
    <w:rsid w:val="3E502AD5"/>
    <w:rsid w:val="3E52518D"/>
    <w:rsid w:val="3E5325C6"/>
    <w:rsid w:val="3E550ABA"/>
    <w:rsid w:val="3E5C76CC"/>
    <w:rsid w:val="3E5F71BC"/>
    <w:rsid w:val="3E612915"/>
    <w:rsid w:val="3E6E499A"/>
    <w:rsid w:val="3E7143F5"/>
    <w:rsid w:val="3E764A0D"/>
    <w:rsid w:val="3E7A3FF6"/>
    <w:rsid w:val="3E7F0B6A"/>
    <w:rsid w:val="3E955C83"/>
    <w:rsid w:val="3E976956"/>
    <w:rsid w:val="3E9E1A93"/>
    <w:rsid w:val="3EA77F8C"/>
    <w:rsid w:val="3EAA48DB"/>
    <w:rsid w:val="3EBE3EE3"/>
    <w:rsid w:val="3EC02D98"/>
    <w:rsid w:val="3EC3774B"/>
    <w:rsid w:val="3ECA3AD2"/>
    <w:rsid w:val="3EDA0523"/>
    <w:rsid w:val="3EE553D2"/>
    <w:rsid w:val="3EF47905"/>
    <w:rsid w:val="3EF94F1B"/>
    <w:rsid w:val="3EFF1743"/>
    <w:rsid w:val="3F006527"/>
    <w:rsid w:val="3F080F0A"/>
    <w:rsid w:val="3F084547"/>
    <w:rsid w:val="3F190EFC"/>
    <w:rsid w:val="3F2521B4"/>
    <w:rsid w:val="3F2C52F0"/>
    <w:rsid w:val="3F363BBA"/>
    <w:rsid w:val="3F462B73"/>
    <w:rsid w:val="3F4C780E"/>
    <w:rsid w:val="3F4E55F8"/>
    <w:rsid w:val="3F520F9D"/>
    <w:rsid w:val="3F542A99"/>
    <w:rsid w:val="3F577E93"/>
    <w:rsid w:val="3F5900B0"/>
    <w:rsid w:val="3F5E7474"/>
    <w:rsid w:val="3F6A406B"/>
    <w:rsid w:val="3F7722E4"/>
    <w:rsid w:val="3F8073EA"/>
    <w:rsid w:val="3F9C31D5"/>
    <w:rsid w:val="3FAD7A8A"/>
    <w:rsid w:val="3FBB6674"/>
    <w:rsid w:val="3FC01E79"/>
    <w:rsid w:val="3FC27A03"/>
    <w:rsid w:val="3FC52A78"/>
    <w:rsid w:val="3FCE63A8"/>
    <w:rsid w:val="3FDE6032"/>
    <w:rsid w:val="3FE931E1"/>
    <w:rsid w:val="3FE93D39"/>
    <w:rsid w:val="3FF948DF"/>
    <w:rsid w:val="3FFA0F4B"/>
    <w:rsid w:val="3FFF183B"/>
    <w:rsid w:val="4000052B"/>
    <w:rsid w:val="400A73D4"/>
    <w:rsid w:val="400C0C7E"/>
    <w:rsid w:val="401364B0"/>
    <w:rsid w:val="401D0F98"/>
    <w:rsid w:val="40220C6E"/>
    <w:rsid w:val="40267F92"/>
    <w:rsid w:val="40270FFA"/>
    <w:rsid w:val="40297A82"/>
    <w:rsid w:val="402C18FD"/>
    <w:rsid w:val="402D6079"/>
    <w:rsid w:val="402D7572"/>
    <w:rsid w:val="402F4D8A"/>
    <w:rsid w:val="40327BC0"/>
    <w:rsid w:val="4033445D"/>
    <w:rsid w:val="403440B4"/>
    <w:rsid w:val="4038159C"/>
    <w:rsid w:val="403E6EAE"/>
    <w:rsid w:val="4044666A"/>
    <w:rsid w:val="40491675"/>
    <w:rsid w:val="404D4C9A"/>
    <w:rsid w:val="404E573A"/>
    <w:rsid w:val="405771F1"/>
    <w:rsid w:val="40611A84"/>
    <w:rsid w:val="40611D0B"/>
    <w:rsid w:val="406C041E"/>
    <w:rsid w:val="40721429"/>
    <w:rsid w:val="407A6407"/>
    <w:rsid w:val="408847A8"/>
    <w:rsid w:val="40971BFD"/>
    <w:rsid w:val="409C7793"/>
    <w:rsid w:val="409D105B"/>
    <w:rsid w:val="40A35A86"/>
    <w:rsid w:val="40A37834"/>
    <w:rsid w:val="40A52144"/>
    <w:rsid w:val="40AF61D9"/>
    <w:rsid w:val="40B27A77"/>
    <w:rsid w:val="40BD7C79"/>
    <w:rsid w:val="40BE641C"/>
    <w:rsid w:val="40C17436"/>
    <w:rsid w:val="40CA6CAD"/>
    <w:rsid w:val="40D21FDE"/>
    <w:rsid w:val="40D423DC"/>
    <w:rsid w:val="40D75730"/>
    <w:rsid w:val="40D915C1"/>
    <w:rsid w:val="40EB4D37"/>
    <w:rsid w:val="40F053AA"/>
    <w:rsid w:val="40F63E08"/>
    <w:rsid w:val="40F9018D"/>
    <w:rsid w:val="40FB141E"/>
    <w:rsid w:val="4100002F"/>
    <w:rsid w:val="410453B8"/>
    <w:rsid w:val="4108711B"/>
    <w:rsid w:val="410B7187"/>
    <w:rsid w:val="412A5093"/>
    <w:rsid w:val="412B5440"/>
    <w:rsid w:val="413761CE"/>
    <w:rsid w:val="413B36FB"/>
    <w:rsid w:val="413D1A37"/>
    <w:rsid w:val="414A38B3"/>
    <w:rsid w:val="415428DD"/>
    <w:rsid w:val="415600D8"/>
    <w:rsid w:val="416A0352"/>
    <w:rsid w:val="416E0685"/>
    <w:rsid w:val="416F3BBA"/>
    <w:rsid w:val="417128D1"/>
    <w:rsid w:val="41760AA5"/>
    <w:rsid w:val="41841530"/>
    <w:rsid w:val="4185518C"/>
    <w:rsid w:val="418D1221"/>
    <w:rsid w:val="41901F2C"/>
    <w:rsid w:val="41944ECE"/>
    <w:rsid w:val="419470CE"/>
    <w:rsid w:val="419929E5"/>
    <w:rsid w:val="41A251CC"/>
    <w:rsid w:val="41A27FE8"/>
    <w:rsid w:val="41A84125"/>
    <w:rsid w:val="41AC096A"/>
    <w:rsid w:val="41D05AED"/>
    <w:rsid w:val="41D07879"/>
    <w:rsid w:val="41D82DAC"/>
    <w:rsid w:val="41DF6531"/>
    <w:rsid w:val="41E457CF"/>
    <w:rsid w:val="41E6016E"/>
    <w:rsid w:val="41EF2605"/>
    <w:rsid w:val="41F93484"/>
    <w:rsid w:val="4200449D"/>
    <w:rsid w:val="420E4F64"/>
    <w:rsid w:val="42130A14"/>
    <w:rsid w:val="42153FA7"/>
    <w:rsid w:val="42220C2D"/>
    <w:rsid w:val="42243BE5"/>
    <w:rsid w:val="422B6834"/>
    <w:rsid w:val="423323F2"/>
    <w:rsid w:val="423A3BCC"/>
    <w:rsid w:val="42440BA3"/>
    <w:rsid w:val="42447A1F"/>
    <w:rsid w:val="4246491B"/>
    <w:rsid w:val="424E57D2"/>
    <w:rsid w:val="425E17B2"/>
    <w:rsid w:val="425F778B"/>
    <w:rsid w:val="4262727B"/>
    <w:rsid w:val="42641245"/>
    <w:rsid w:val="42676E1C"/>
    <w:rsid w:val="42725710"/>
    <w:rsid w:val="427A2817"/>
    <w:rsid w:val="427A6373"/>
    <w:rsid w:val="42876CE2"/>
    <w:rsid w:val="428C0CF8"/>
    <w:rsid w:val="428E62C2"/>
    <w:rsid w:val="4297532B"/>
    <w:rsid w:val="42A16F4B"/>
    <w:rsid w:val="42A81C22"/>
    <w:rsid w:val="42B26C49"/>
    <w:rsid w:val="42B9333F"/>
    <w:rsid w:val="42C4107D"/>
    <w:rsid w:val="42C62075"/>
    <w:rsid w:val="42C817D4"/>
    <w:rsid w:val="42EB7271"/>
    <w:rsid w:val="42F02403"/>
    <w:rsid w:val="43052ACD"/>
    <w:rsid w:val="43056B91"/>
    <w:rsid w:val="430622FC"/>
    <w:rsid w:val="430F57CF"/>
    <w:rsid w:val="431274B4"/>
    <w:rsid w:val="431C677E"/>
    <w:rsid w:val="431E13F4"/>
    <w:rsid w:val="432634C5"/>
    <w:rsid w:val="433A6FE6"/>
    <w:rsid w:val="43480868"/>
    <w:rsid w:val="434D6868"/>
    <w:rsid w:val="4350713C"/>
    <w:rsid w:val="435A15C0"/>
    <w:rsid w:val="436653E0"/>
    <w:rsid w:val="43681A7E"/>
    <w:rsid w:val="437E1E93"/>
    <w:rsid w:val="43866F99"/>
    <w:rsid w:val="43893E96"/>
    <w:rsid w:val="438D69B0"/>
    <w:rsid w:val="438F5E4E"/>
    <w:rsid w:val="439A27CD"/>
    <w:rsid w:val="43A538C3"/>
    <w:rsid w:val="43AE7A61"/>
    <w:rsid w:val="43AF54FD"/>
    <w:rsid w:val="43B24761"/>
    <w:rsid w:val="43B35FE0"/>
    <w:rsid w:val="43BE4985"/>
    <w:rsid w:val="43BE6733"/>
    <w:rsid w:val="43C4431A"/>
    <w:rsid w:val="43CC3E90"/>
    <w:rsid w:val="43CD7111"/>
    <w:rsid w:val="43D1290A"/>
    <w:rsid w:val="43D146B8"/>
    <w:rsid w:val="43D50EF7"/>
    <w:rsid w:val="43D818D8"/>
    <w:rsid w:val="43D81C97"/>
    <w:rsid w:val="43D90F05"/>
    <w:rsid w:val="43D9356D"/>
    <w:rsid w:val="43DB72E5"/>
    <w:rsid w:val="43E97C54"/>
    <w:rsid w:val="43EC32A0"/>
    <w:rsid w:val="44022AC4"/>
    <w:rsid w:val="440B7F88"/>
    <w:rsid w:val="44242A3A"/>
    <w:rsid w:val="44304589"/>
    <w:rsid w:val="44326F59"/>
    <w:rsid w:val="4434106F"/>
    <w:rsid w:val="44380F3D"/>
    <w:rsid w:val="44384BF0"/>
    <w:rsid w:val="443864E5"/>
    <w:rsid w:val="443B63A1"/>
    <w:rsid w:val="4443784A"/>
    <w:rsid w:val="44494453"/>
    <w:rsid w:val="44584E18"/>
    <w:rsid w:val="44625310"/>
    <w:rsid w:val="44676DCB"/>
    <w:rsid w:val="44735770"/>
    <w:rsid w:val="44852DC1"/>
    <w:rsid w:val="44855120"/>
    <w:rsid w:val="448F109E"/>
    <w:rsid w:val="4493196E"/>
    <w:rsid w:val="449F30AE"/>
    <w:rsid w:val="44B951CC"/>
    <w:rsid w:val="44BA2B4D"/>
    <w:rsid w:val="44CD14E0"/>
    <w:rsid w:val="44CF474A"/>
    <w:rsid w:val="44DC1567"/>
    <w:rsid w:val="44E5109C"/>
    <w:rsid w:val="44EB17AA"/>
    <w:rsid w:val="44ED3395"/>
    <w:rsid w:val="44F20B0B"/>
    <w:rsid w:val="44FC460E"/>
    <w:rsid w:val="44FC5765"/>
    <w:rsid w:val="450C650E"/>
    <w:rsid w:val="45197D95"/>
    <w:rsid w:val="45253484"/>
    <w:rsid w:val="452B7957"/>
    <w:rsid w:val="452E5F4C"/>
    <w:rsid w:val="45350053"/>
    <w:rsid w:val="45350C77"/>
    <w:rsid w:val="45366F73"/>
    <w:rsid w:val="453F38A4"/>
    <w:rsid w:val="45435B29"/>
    <w:rsid w:val="454D5FC1"/>
    <w:rsid w:val="45612018"/>
    <w:rsid w:val="45666B92"/>
    <w:rsid w:val="456A6B72"/>
    <w:rsid w:val="457A48DC"/>
    <w:rsid w:val="457D6C89"/>
    <w:rsid w:val="45812AC0"/>
    <w:rsid w:val="458946E9"/>
    <w:rsid w:val="458B5363"/>
    <w:rsid w:val="458D206D"/>
    <w:rsid w:val="458F25FA"/>
    <w:rsid w:val="45A02594"/>
    <w:rsid w:val="45A47C0E"/>
    <w:rsid w:val="45A55DFD"/>
    <w:rsid w:val="45A57BAB"/>
    <w:rsid w:val="45A831F7"/>
    <w:rsid w:val="45AA51C1"/>
    <w:rsid w:val="45AD0B7D"/>
    <w:rsid w:val="45BB5620"/>
    <w:rsid w:val="45BC48AF"/>
    <w:rsid w:val="45CC3B06"/>
    <w:rsid w:val="45DD5472"/>
    <w:rsid w:val="45E73369"/>
    <w:rsid w:val="45EF52CA"/>
    <w:rsid w:val="460B38B5"/>
    <w:rsid w:val="462211FB"/>
    <w:rsid w:val="46280371"/>
    <w:rsid w:val="46476EB4"/>
    <w:rsid w:val="46522CDD"/>
    <w:rsid w:val="46553FB5"/>
    <w:rsid w:val="4656203B"/>
    <w:rsid w:val="46577FD6"/>
    <w:rsid w:val="46662458"/>
    <w:rsid w:val="466B2BA2"/>
    <w:rsid w:val="466F0CD2"/>
    <w:rsid w:val="46712183"/>
    <w:rsid w:val="46795DD4"/>
    <w:rsid w:val="467A1037"/>
    <w:rsid w:val="4682613E"/>
    <w:rsid w:val="46844D9D"/>
    <w:rsid w:val="46853C85"/>
    <w:rsid w:val="46873754"/>
    <w:rsid w:val="46A06372"/>
    <w:rsid w:val="46A2233C"/>
    <w:rsid w:val="46AA3E7B"/>
    <w:rsid w:val="46B37686"/>
    <w:rsid w:val="46B43C28"/>
    <w:rsid w:val="46C17B3B"/>
    <w:rsid w:val="46C329DE"/>
    <w:rsid w:val="46D955A7"/>
    <w:rsid w:val="46E65375"/>
    <w:rsid w:val="46EA51C7"/>
    <w:rsid w:val="47013507"/>
    <w:rsid w:val="470247C1"/>
    <w:rsid w:val="47044DA5"/>
    <w:rsid w:val="470758A2"/>
    <w:rsid w:val="47090753"/>
    <w:rsid w:val="47122C92"/>
    <w:rsid w:val="47133957"/>
    <w:rsid w:val="47147820"/>
    <w:rsid w:val="47166E29"/>
    <w:rsid w:val="471B7A8C"/>
    <w:rsid w:val="471D08BC"/>
    <w:rsid w:val="47213261"/>
    <w:rsid w:val="47214134"/>
    <w:rsid w:val="47287147"/>
    <w:rsid w:val="47372A84"/>
    <w:rsid w:val="474D43C2"/>
    <w:rsid w:val="474D674C"/>
    <w:rsid w:val="475B40DD"/>
    <w:rsid w:val="476076FD"/>
    <w:rsid w:val="47694177"/>
    <w:rsid w:val="47727F60"/>
    <w:rsid w:val="47784E4E"/>
    <w:rsid w:val="477F2951"/>
    <w:rsid w:val="47887784"/>
    <w:rsid w:val="47A07E0C"/>
    <w:rsid w:val="47A85730"/>
    <w:rsid w:val="47AD2D46"/>
    <w:rsid w:val="47D50693"/>
    <w:rsid w:val="47E66F7D"/>
    <w:rsid w:val="47EC4551"/>
    <w:rsid w:val="47ED75E7"/>
    <w:rsid w:val="47F40975"/>
    <w:rsid w:val="48165FBB"/>
    <w:rsid w:val="482F19AD"/>
    <w:rsid w:val="483B2E87"/>
    <w:rsid w:val="484E4529"/>
    <w:rsid w:val="48557B61"/>
    <w:rsid w:val="485972CA"/>
    <w:rsid w:val="485E04E5"/>
    <w:rsid w:val="485F6737"/>
    <w:rsid w:val="486418F1"/>
    <w:rsid w:val="486C2C02"/>
    <w:rsid w:val="4870272E"/>
    <w:rsid w:val="488141E9"/>
    <w:rsid w:val="488B2575"/>
    <w:rsid w:val="48912668"/>
    <w:rsid w:val="489A6FF3"/>
    <w:rsid w:val="48B16866"/>
    <w:rsid w:val="48BB4E68"/>
    <w:rsid w:val="48CD02C4"/>
    <w:rsid w:val="48D32C81"/>
    <w:rsid w:val="48D735FB"/>
    <w:rsid w:val="48E44E8E"/>
    <w:rsid w:val="48E55C32"/>
    <w:rsid w:val="48EF5D6E"/>
    <w:rsid w:val="48F739D8"/>
    <w:rsid w:val="48F77C20"/>
    <w:rsid w:val="48F826E7"/>
    <w:rsid w:val="48F87218"/>
    <w:rsid w:val="490177EE"/>
    <w:rsid w:val="49036AD5"/>
    <w:rsid w:val="490F16A7"/>
    <w:rsid w:val="49134C56"/>
    <w:rsid w:val="49183383"/>
    <w:rsid w:val="49320B4B"/>
    <w:rsid w:val="493C7C73"/>
    <w:rsid w:val="493D00FA"/>
    <w:rsid w:val="493E607C"/>
    <w:rsid w:val="494D2A33"/>
    <w:rsid w:val="4957464A"/>
    <w:rsid w:val="495E64C8"/>
    <w:rsid w:val="496833C9"/>
    <w:rsid w:val="496D09DF"/>
    <w:rsid w:val="4977360C"/>
    <w:rsid w:val="4981092F"/>
    <w:rsid w:val="498B02B0"/>
    <w:rsid w:val="498C4307"/>
    <w:rsid w:val="499D1F90"/>
    <w:rsid w:val="49A76A56"/>
    <w:rsid w:val="49B93987"/>
    <w:rsid w:val="49BE3C43"/>
    <w:rsid w:val="49BF6CEC"/>
    <w:rsid w:val="49C10D2B"/>
    <w:rsid w:val="49C176A8"/>
    <w:rsid w:val="49CA5E32"/>
    <w:rsid w:val="49CD5922"/>
    <w:rsid w:val="49CE328E"/>
    <w:rsid w:val="49D100BC"/>
    <w:rsid w:val="49D4051B"/>
    <w:rsid w:val="49D97E23"/>
    <w:rsid w:val="49DC7715"/>
    <w:rsid w:val="49E117CC"/>
    <w:rsid w:val="49EC0159"/>
    <w:rsid w:val="49F36400"/>
    <w:rsid w:val="49F92273"/>
    <w:rsid w:val="49FA5FEB"/>
    <w:rsid w:val="4A023139"/>
    <w:rsid w:val="4A027A62"/>
    <w:rsid w:val="4A0D3F70"/>
    <w:rsid w:val="4A121587"/>
    <w:rsid w:val="4A1D0657"/>
    <w:rsid w:val="4A2275DD"/>
    <w:rsid w:val="4A2714D2"/>
    <w:rsid w:val="4A305C8F"/>
    <w:rsid w:val="4A45195C"/>
    <w:rsid w:val="4A476658"/>
    <w:rsid w:val="4A4831FA"/>
    <w:rsid w:val="4A4A1294"/>
    <w:rsid w:val="4A4F27DB"/>
    <w:rsid w:val="4A510301"/>
    <w:rsid w:val="4A5120AF"/>
    <w:rsid w:val="4A517356"/>
    <w:rsid w:val="4A524E61"/>
    <w:rsid w:val="4A54394D"/>
    <w:rsid w:val="4A5751EC"/>
    <w:rsid w:val="4A5D45FE"/>
    <w:rsid w:val="4A600544"/>
    <w:rsid w:val="4A6F3A11"/>
    <w:rsid w:val="4A703E73"/>
    <w:rsid w:val="4A730277"/>
    <w:rsid w:val="4A743FEF"/>
    <w:rsid w:val="4A791EC3"/>
    <w:rsid w:val="4A7B576F"/>
    <w:rsid w:val="4A7C5D51"/>
    <w:rsid w:val="4A7C6200"/>
    <w:rsid w:val="4A7D10F6"/>
    <w:rsid w:val="4A8343B2"/>
    <w:rsid w:val="4A9137CD"/>
    <w:rsid w:val="4A975910"/>
    <w:rsid w:val="4A984241"/>
    <w:rsid w:val="4A9F1CEC"/>
    <w:rsid w:val="4AA541A9"/>
    <w:rsid w:val="4AA76173"/>
    <w:rsid w:val="4AA91DB6"/>
    <w:rsid w:val="4AA93C99"/>
    <w:rsid w:val="4AAC15CF"/>
    <w:rsid w:val="4AAC19DB"/>
    <w:rsid w:val="4AB50890"/>
    <w:rsid w:val="4AB619ED"/>
    <w:rsid w:val="4AB9311D"/>
    <w:rsid w:val="4AC67A0D"/>
    <w:rsid w:val="4AC72202"/>
    <w:rsid w:val="4AD116A9"/>
    <w:rsid w:val="4AD14F9E"/>
    <w:rsid w:val="4AD23FBA"/>
    <w:rsid w:val="4ADF3B5F"/>
    <w:rsid w:val="4AE11660"/>
    <w:rsid w:val="4AE42F23"/>
    <w:rsid w:val="4AE56CE5"/>
    <w:rsid w:val="4AE65D82"/>
    <w:rsid w:val="4AEC7DCD"/>
    <w:rsid w:val="4AED53A1"/>
    <w:rsid w:val="4AEF2C7F"/>
    <w:rsid w:val="4AEF3C97"/>
    <w:rsid w:val="4AF561A9"/>
    <w:rsid w:val="4AFD2237"/>
    <w:rsid w:val="4B0B166B"/>
    <w:rsid w:val="4B0D5FE1"/>
    <w:rsid w:val="4B11183E"/>
    <w:rsid w:val="4B131198"/>
    <w:rsid w:val="4B1B61AA"/>
    <w:rsid w:val="4B1D4687"/>
    <w:rsid w:val="4B354591"/>
    <w:rsid w:val="4B430C4B"/>
    <w:rsid w:val="4B5A1437"/>
    <w:rsid w:val="4B5D2903"/>
    <w:rsid w:val="4B6258B5"/>
    <w:rsid w:val="4B8F38B6"/>
    <w:rsid w:val="4B8F646E"/>
    <w:rsid w:val="4B913829"/>
    <w:rsid w:val="4B92472D"/>
    <w:rsid w:val="4B9C0CFF"/>
    <w:rsid w:val="4BA0405B"/>
    <w:rsid w:val="4BAB52EA"/>
    <w:rsid w:val="4BB00E03"/>
    <w:rsid w:val="4BB461F1"/>
    <w:rsid w:val="4BB5041C"/>
    <w:rsid w:val="4BB57E59"/>
    <w:rsid w:val="4BB954E6"/>
    <w:rsid w:val="4BBF20A9"/>
    <w:rsid w:val="4BC17742"/>
    <w:rsid w:val="4BCE35C8"/>
    <w:rsid w:val="4BCF2E19"/>
    <w:rsid w:val="4BEA27BB"/>
    <w:rsid w:val="4BF01FF3"/>
    <w:rsid w:val="4C0A4C0B"/>
    <w:rsid w:val="4C0A69B9"/>
    <w:rsid w:val="4C0B2731"/>
    <w:rsid w:val="4C133AD8"/>
    <w:rsid w:val="4C162F74"/>
    <w:rsid w:val="4C213D03"/>
    <w:rsid w:val="4C251A45"/>
    <w:rsid w:val="4C261319"/>
    <w:rsid w:val="4C2B6930"/>
    <w:rsid w:val="4C3752D5"/>
    <w:rsid w:val="4C3C2384"/>
    <w:rsid w:val="4C41239F"/>
    <w:rsid w:val="4C443EC1"/>
    <w:rsid w:val="4C483807"/>
    <w:rsid w:val="4C4A0649"/>
    <w:rsid w:val="4C550F01"/>
    <w:rsid w:val="4C5B45B9"/>
    <w:rsid w:val="4C5E1658"/>
    <w:rsid w:val="4C6328C6"/>
    <w:rsid w:val="4C651E42"/>
    <w:rsid w:val="4C6A7C8A"/>
    <w:rsid w:val="4C6E4B8B"/>
    <w:rsid w:val="4C7E5ECA"/>
    <w:rsid w:val="4C804E31"/>
    <w:rsid w:val="4C804ECE"/>
    <w:rsid w:val="4C876AA5"/>
    <w:rsid w:val="4C8A5D4C"/>
    <w:rsid w:val="4C8E75EA"/>
    <w:rsid w:val="4C910E89"/>
    <w:rsid w:val="4C955A9C"/>
    <w:rsid w:val="4CB76106"/>
    <w:rsid w:val="4CC15863"/>
    <w:rsid w:val="4CD001EF"/>
    <w:rsid w:val="4CD174D7"/>
    <w:rsid w:val="4CD43B3D"/>
    <w:rsid w:val="4CDE39A2"/>
    <w:rsid w:val="4CE92A73"/>
    <w:rsid w:val="4CED5C82"/>
    <w:rsid w:val="4CF15160"/>
    <w:rsid w:val="4CF53AD9"/>
    <w:rsid w:val="4D0C0932"/>
    <w:rsid w:val="4D0E00FB"/>
    <w:rsid w:val="4D0E072B"/>
    <w:rsid w:val="4D0E613F"/>
    <w:rsid w:val="4D147B0E"/>
    <w:rsid w:val="4D176606"/>
    <w:rsid w:val="4D2342AD"/>
    <w:rsid w:val="4D251BBA"/>
    <w:rsid w:val="4D2766A9"/>
    <w:rsid w:val="4D2A40E0"/>
    <w:rsid w:val="4D2B4C7E"/>
    <w:rsid w:val="4D330192"/>
    <w:rsid w:val="4D392243"/>
    <w:rsid w:val="4D3A1520"/>
    <w:rsid w:val="4D3B2BA3"/>
    <w:rsid w:val="4D3E1678"/>
    <w:rsid w:val="4D44478D"/>
    <w:rsid w:val="4D477799"/>
    <w:rsid w:val="4D626381"/>
    <w:rsid w:val="4D6350C8"/>
    <w:rsid w:val="4D636650"/>
    <w:rsid w:val="4D785BA5"/>
    <w:rsid w:val="4D796036"/>
    <w:rsid w:val="4D85531E"/>
    <w:rsid w:val="4D871088"/>
    <w:rsid w:val="4D8B1085"/>
    <w:rsid w:val="4D8E361B"/>
    <w:rsid w:val="4D950505"/>
    <w:rsid w:val="4DA42E3E"/>
    <w:rsid w:val="4DA942EA"/>
    <w:rsid w:val="4DAB41CC"/>
    <w:rsid w:val="4DB34E2F"/>
    <w:rsid w:val="4DB82A7D"/>
    <w:rsid w:val="4DBD1158"/>
    <w:rsid w:val="4DBF1A26"/>
    <w:rsid w:val="4DC4528E"/>
    <w:rsid w:val="4DD6077F"/>
    <w:rsid w:val="4DD76D6F"/>
    <w:rsid w:val="4DD8301F"/>
    <w:rsid w:val="4DEC4FB0"/>
    <w:rsid w:val="4DF25E14"/>
    <w:rsid w:val="4E01409F"/>
    <w:rsid w:val="4E0336C0"/>
    <w:rsid w:val="4E047438"/>
    <w:rsid w:val="4E075D8A"/>
    <w:rsid w:val="4E0B1AF5"/>
    <w:rsid w:val="4E127DA7"/>
    <w:rsid w:val="4E157897"/>
    <w:rsid w:val="4E1D52D4"/>
    <w:rsid w:val="4E1E499E"/>
    <w:rsid w:val="4E2730CC"/>
    <w:rsid w:val="4E28118B"/>
    <w:rsid w:val="4E2D5B83"/>
    <w:rsid w:val="4E323FA5"/>
    <w:rsid w:val="4E380649"/>
    <w:rsid w:val="4E3B59A5"/>
    <w:rsid w:val="4E402B66"/>
    <w:rsid w:val="4E41068C"/>
    <w:rsid w:val="4E41400E"/>
    <w:rsid w:val="4E4A7541"/>
    <w:rsid w:val="4E4C25AC"/>
    <w:rsid w:val="4E4F72F1"/>
    <w:rsid w:val="4E5047A6"/>
    <w:rsid w:val="4E593C28"/>
    <w:rsid w:val="4E5A0F2A"/>
    <w:rsid w:val="4E675FA7"/>
    <w:rsid w:val="4E6C5A1E"/>
    <w:rsid w:val="4E6D62C1"/>
    <w:rsid w:val="4E704ACE"/>
    <w:rsid w:val="4E724CEA"/>
    <w:rsid w:val="4E750644"/>
    <w:rsid w:val="4E832A53"/>
    <w:rsid w:val="4E8416B1"/>
    <w:rsid w:val="4EA01857"/>
    <w:rsid w:val="4EB55C9D"/>
    <w:rsid w:val="4EC00FAD"/>
    <w:rsid w:val="4EC372F3"/>
    <w:rsid w:val="4EC65521"/>
    <w:rsid w:val="4EC72940"/>
    <w:rsid w:val="4ECB6A6C"/>
    <w:rsid w:val="4ED45337"/>
    <w:rsid w:val="4EDD5C8A"/>
    <w:rsid w:val="4EDF237F"/>
    <w:rsid w:val="4EE72FE2"/>
    <w:rsid w:val="4EE74D90"/>
    <w:rsid w:val="4EEE166B"/>
    <w:rsid w:val="4EF02072"/>
    <w:rsid w:val="4EF23735"/>
    <w:rsid w:val="4EF61477"/>
    <w:rsid w:val="4EF70D4B"/>
    <w:rsid w:val="4EFC1F79"/>
    <w:rsid w:val="4F0469A4"/>
    <w:rsid w:val="4F157693"/>
    <w:rsid w:val="4F1A35E2"/>
    <w:rsid w:val="4F1F277C"/>
    <w:rsid w:val="4F244236"/>
    <w:rsid w:val="4F2D1B59"/>
    <w:rsid w:val="4F2E0C58"/>
    <w:rsid w:val="4F356287"/>
    <w:rsid w:val="4F3C5659"/>
    <w:rsid w:val="4F4B5AE9"/>
    <w:rsid w:val="4F635546"/>
    <w:rsid w:val="4F6C798B"/>
    <w:rsid w:val="4F71666C"/>
    <w:rsid w:val="4F843226"/>
    <w:rsid w:val="4F8D5BC1"/>
    <w:rsid w:val="4F912F4E"/>
    <w:rsid w:val="4F9843DC"/>
    <w:rsid w:val="4FA62E9D"/>
    <w:rsid w:val="4FB355BA"/>
    <w:rsid w:val="4FB56C3C"/>
    <w:rsid w:val="4FBD1F95"/>
    <w:rsid w:val="4FC62A8C"/>
    <w:rsid w:val="4FD6108E"/>
    <w:rsid w:val="4FD65E48"/>
    <w:rsid w:val="4FDB61D8"/>
    <w:rsid w:val="4FDC515A"/>
    <w:rsid w:val="4FE20F0D"/>
    <w:rsid w:val="4FE51552"/>
    <w:rsid w:val="4FF359B6"/>
    <w:rsid w:val="4FFD04AB"/>
    <w:rsid w:val="4FFD05E3"/>
    <w:rsid w:val="4FFE6835"/>
    <w:rsid w:val="5001388B"/>
    <w:rsid w:val="50080A36"/>
    <w:rsid w:val="500D0826"/>
    <w:rsid w:val="500F5F58"/>
    <w:rsid w:val="5016425C"/>
    <w:rsid w:val="503009B9"/>
    <w:rsid w:val="503233FA"/>
    <w:rsid w:val="50342257"/>
    <w:rsid w:val="50377F99"/>
    <w:rsid w:val="5039786D"/>
    <w:rsid w:val="503C110B"/>
    <w:rsid w:val="504306EC"/>
    <w:rsid w:val="50446212"/>
    <w:rsid w:val="50447FC0"/>
    <w:rsid w:val="504F52E3"/>
    <w:rsid w:val="50504C4B"/>
    <w:rsid w:val="5059342B"/>
    <w:rsid w:val="505C684E"/>
    <w:rsid w:val="505F4DFA"/>
    <w:rsid w:val="506F14E1"/>
    <w:rsid w:val="506F328F"/>
    <w:rsid w:val="50715807"/>
    <w:rsid w:val="507E179E"/>
    <w:rsid w:val="508872DA"/>
    <w:rsid w:val="508C2093"/>
    <w:rsid w:val="50966A6E"/>
    <w:rsid w:val="5099030C"/>
    <w:rsid w:val="509C6E7C"/>
    <w:rsid w:val="50A8054F"/>
    <w:rsid w:val="50B96C00"/>
    <w:rsid w:val="50BF7989"/>
    <w:rsid w:val="50C11611"/>
    <w:rsid w:val="50C64E79"/>
    <w:rsid w:val="50C95932"/>
    <w:rsid w:val="50CF01D2"/>
    <w:rsid w:val="50D13F4A"/>
    <w:rsid w:val="50D5635D"/>
    <w:rsid w:val="50DD469C"/>
    <w:rsid w:val="50E96211"/>
    <w:rsid w:val="50ED1830"/>
    <w:rsid w:val="50EF240D"/>
    <w:rsid w:val="50F04D5A"/>
    <w:rsid w:val="50F216B9"/>
    <w:rsid w:val="50F814D6"/>
    <w:rsid w:val="51150724"/>
    <w:rsid w:val="51167BAE"/>
    <w:rsid w:val="51220372"/>
    <w:rsid w:val="51223D82"/>
    <w:rsid w:val="51255F54"/>
    <w:rsid w:val="512E530A"/>
    <w:rsid w:val="51330760"/>
    <w:rsid w:val="51346287"/>
    <w:rsid w:val="51387B25"/>
    <w:rsid w:val="51417F1D"/>
    <w:rsid w:val="5144471C"/>
    <w:rsid w:val="514A374E"/>
    <w:rsid w:val="515B1A65"/>
    <w:rsid w:val="516135D9"/>
    <w:rsid w:val="5162104E"/>
    <w:rsid w:val="5162107A"/>
    <w:rsid w:val="51694182"/>
    <w:rsid w:val="516B0F6F"/>
    <w:rsid w:val="51704FC4"/>
    <w:rsid w:val="51826FF2"/>
    <w:rsid w:val="518E5997"/>
    <w:rsid w:val="519C2E80"/>
    <w:rsid w:val="51A2575E"/>
    <w:rsid w:val="51A317B8"/>
    <w:rsid w:val="51A51908"/>
    <w:rsid w:val="51A8134F"/>
    <w:rsid w:val="51A90A23"/>
    <w:rsid w:val="51AA0F5B"/>
    <w:rsid w:val="51AE014B"/>
    <w:rsid w:val="51B74D7E"/>
    <w:rsid w:val="51C33452"/>
    <w:rsid w:val="51D11D27"/>
    <w:rsid w:val="51D35A9F"/>
    <w:rsid w:val="51DC2BA6"/>
    <w:rsid w:val="51E036BA"/>
    <w:rsid w:val="51FE0D6E"/>
    <w:rsid w:val="520143BB"/>
    <w:rsid w:val="520420FD"/>
    <w:rsid w:val="520F2153"/>
    <w:rsid w:val="521161D6"/>
    <w:rsid w:val="52151E80"/>
    <w:rsid w:val="521A3F9A"/>
    <w:rsid w:val="521E1A19"/>
    <w:rsid w:val="52291B63"/>
    <w:rsid w:val="522F2A2B"/>
    <w:rsid w:val="52374280"/>
    <w:rsid w:val="5239305B"/>
    <w:rsid w:val="523F23C8"/>
    <w:rsid w:val="52490CB3"/>
    <w:rsid w:val="524E3378"/>
    <w:rsid w:val="524E7946"/>
    <w:rsid w:val="5253098E"/>
    <w:rsid w:val="5268443A"/>
    <w:rsid w:val="526B6621"/>
    <w:rsid w:val="526F2606"/>
    <w:rsid w:val="52701ACB"/>
    <w:rsid w:val="527D7845"/>
    <w:rsid w:val="528303ED"/>
    <w:rsid w:val="52872DCC"/>
    <w:rsid w:val="528B51AD"/>
    <w:rsid w:val="528D5323"/>
    <w:rsid w:val="52977F3F"/>
    <w:rsid w:val="52A631B4"/>
    <w:rsid w:val="52AC65AD"/>
    <w:rsid w:val="52C02541"/>
    <w:rsid w:val="52C5188C"/>
    <w:rsid w:val="52E37F64"/>
    <w:rsid w:val="52E801CF"/>
    <w:rsid w:val="52ED3E2D"/>
    <w:rsid w:val="52EE0433"/>
    <w:rsid w:val="52EF6FE5"/>
    <w:rsid w:val="52FB705C"/>
    <w:rsid w:val="5302769B"/>
    <w:rsid w:val="53073C53"/>
    <w:rsid w:val="530917F5"/>
    <w:rsid w:val="530A163B"/>
    <w:rsid w:val="531E0F9C"/>
    <w:rsid w:val="533C2DBB"/>
    <w:rsid w:val="533D68E5"/>
    <w:rsid w:val="53430A03"/>
    <w:rsid w:val="53456529"/>
    <w:rsid w:val="534D5C76"/>
    <w:rsid w:val="535D3873"/>
    <w:rsid w:val="536044BE"/>
    <w:rsid w:val="53746E0E"/>
    <w:rsid w:val="537D3F15"/>
    <w:rsid w:val="53805784"/>
    <w:rsid w:val="538708F0"/>
    <w:rsid w:val="5388421D"/>
    <w:rsid w:val="539A4AC7"/>
    <w:rsid w:val="539F3E8B"/>
    <w:rsid w:val="53A039CC"/>
    <w:rsid w:val="53A1505A"/>
    <w:rsid w:val="53A414A2"/>
    <w:rsid w:val="53A44F5A"/>
    <w:rsid w:val="53B2158C"/>
    <w:rsid w:val="53B66DA0"/>
    <w:rsid w:val="53BD388D"/>
    <w:rsid w:val="53C07410"/>
    <w:rsid w:val="53C30095"/>
    <w:rsid w:val="53D146BC"/>
    <w:rsid w:val="53D3124A"/>
    <w:rsid w:val="53D32072"/>
    <w:rsid w:val="53DA3929"/>
    <w:rsid w:val="53DF072C"/>
    <w:rsid w:val="53E779DA"/>
    <w:rsid w:val="53EE6F52"/>
    <w:rsid w:val="53EE799C"/>
    <w:rsid w:val="53F1045F"/>
    <w:rsid w:val="53F341D7"/>
    <w:rsid w:val="53F73CC7"/>
    <w:rsid w:val="53FE7845"/>
    <w:rsid w:val="54063E08"/>
    <w:rsid w:val="540A6EF0"/>
    <w:rsid w:val="540B47A1"/>
    <w:rsid w:val="541A601C"/>
    <w:rsid w:val="541D3002"/>
    <w:rsid w:val="541E5214"/>
    <w:rsid w:val="542258CB"/>
    <w:rsid w:val="5429409D"/>
    <w:rsid w:val="54330A77"/>
    <w:rsid w:val="543437E8"/>
    <w:rsid w:val="543A0058"/>
    <w:rsid w:val="543C3DD0"/>
    <w:rsid w:val="543C5B7E"/>
    <w:rsid w:val="544D22A7"/>
    <w:rsid w:val="544D38E7"/>
    <w:rsid w:val="5463135D"/>
    <w:rsid w:val="54714509"/>
    <w:rsid w:val="54750DF4"/>
    <w:rsid w:val="547E6196"/>
    <w:rsid w:val="548337AD"/>
    <w:rsid w:val="54844A1E"/>
    <w:rsid w:val="54880DC3"/>
    <w:rsid w:val="548A0182"/>
    <w:rsid w:val="549F610D"/>
    <w:rsid w:val="54A41A2E"/>
    <w:rsid w:val="54AD6F3D"/>
    <w:rsid w:val="54B03E76"/>
    <w:rsid w:val="54B35714"/>
    <w:rsid w:val="54C2150F"/>
    <w:rsid w:val="54C806C5"/>
    <w:rsid w:val="54C91AEE"/>
    <w:rsid w:val="54C94F38"/>
    <w:rsid w:val="54D2203E"/>
    <w:rsid w:val="54D93CFE"/>
    <w:rsid w:val="54E12281"/>
    <w:rsid w:val="54E16725"/>
    <w:rsid w:val="54E3249D"/>
    <w:rsid w:val="54E5748F"/>
    <w:rsid w:val="54F478A3"/>
    <w:rsid w:val="54F73313"/>
    <w:rsid w:val="54F80955"/>
    <w:rsid w:val="54FE2E33"/>
    <w:rsid w:val="550A7A2A"/>
    <w:rsid w:val="5512068D"/>
    <w:rsid w:val="55126513"/>
    <w:rsid w:val="55200136"/>
    <w:rsid w:val="552D3BA1"/>
    <w:rsid w:val="5536081F"/>
    <w:rsid w:val="553C2B64"/>
    <w:rsid w:val="554C04ED"/>
    <w:rsid w:val="555170A7"/>
    <w:rsid w:val="55572544"/>
    <w:rsid w:val="555B6F69"/>
    <w:rsid w:val="555D66B2"/>
    <w:rsid w:val="55707695"/>
    <w:rsid w:val="55767011"/>
    <w:rsid w:val="5579070C"/>
    <w:rsid w:val="557B4484"/>
    <w:rsid w:val="557E3F74"/>
    <w:rsid w:val="557F3BF8"/>
    <w:rsid w:val="55816C76"/>
    <w:rsid w:val="5587536D"/>
    <w:rsid w:val="55894556"/>
    <w:rsid w:val="558B65AD"/>
    <w:rsid w:val="55943272"/>
    <w:rsid w:val="559B174B"/>
    <w:rsid w:val="559B5D19"/>
    <w:rsid w:val="55A25899"/>
    <w:rsid w:val="55A90FF1"/>
    <w:rsid w:val="55AC6CFA"/>
    <w:rsid w:val="55B622C4"/>
    <w:rsid w:val="55C758D2"/>
    <w:rsid w:val="55C85FB5"/>
    <w:rsid w:val="55CB53D3"/>
    <w:rsid w:val="55CE0CF4"/>
    <w:rsid w:val="55CF2EA3"/>
    <w:rsid w:val="55D873DD"/>
    <w:rsid w:val="55EA33B8"/>
    <w:rsid w:val="55EA6E20"/>
    <w:rsid w:val="55EB2115"/>
    <w:rsid w:val="55EC0491"/>
    <w:rsid w:val="56013898"/>
    <w:rsid w:val="56051FA0"/>
    <w:rsid w:val="56076007"/>
    <w:rsid w:val="560D5577"/>
    <w:rsid w:val="56115026"/>
    <w:rsid w:val="561E7631"/>
    <w:rsid w:val="56301712"/>
    <w:rsid w:val="563D798B"/>
    <w:rsid w:val="56435C07"/>
    <w:rsid w:val="5648237A"/>
    <w:rsid w:val="565371AF"/>
    <w:rsid w:val="565C2507"/>
    <w:rsid w:val="565D002E"/>
    <w:rsid w:val="56717635"/>
    <w:rsid w:val="56764C4B"/>
    <w:rsid w:val="56771B90"/>
    <w:rsid w:val="568747F1"/>
    <w:rsid w:val="569F41A2"/>
    <w:rsid w:val="56B22A9C"/>
    <w:rsid w:val="56D36FB6"/>
    <w:rsid w:val="56DE2F1C"/>
    <w:rsid w:val="56E35284"/>
    <w:rsid w:val="570609FB"/>
    <w:rsid w:val="57087F99"/>
    <w:rsid w:val="570C5CDB"/>
    <w:rsid w:val="570D3802"/>
    <w:rsid w:val="570E21DD"/>
    <w:rsid w:val="570E7044"/>
    <w:rsid w:val="57122BC6"/>
    <w:rsid w:val="571C7B48"/>
    <w:rsid w:val="571F0503"/>
    <w:rsid w:val="57236B81"/>
    <w:rsid w:val="57362D58"/>
    <w:rsid w:val="57364CC8"/>
    <w:rsid w:val="573825B8"/>
    <w:rsid w:val="5742522B"/>
    <w:rsid w:val="57437223"/>
    <w:rsid w:val="57497909"/>
    <w:rsid w:val="574D3BFE"/>
    <w:rsid w:val="57541431"/>
    <w:rsid w:val="575B7127"/>
    <w:rsid w:val="576158FB"/>
    <w:rsid w:val="576B22D6"/>
    <w:rsid w:val="576F760A"/>
    <w:rsid w:val="577178B8"/>
    <w:rsid w:val="57723DCC"/>
    <w:rsid w:val="577420E6"/>
    <w:rsid w:val="578A6C00"/>
    <w:rsid w:val="578C5985"/>
    <w:rsid w:val="578C60D6"/>
    <w:rsid w:val="57A5082B"/>
    <w:rsid w:val="57A557E8"/>
    <w:rsid w:val="57B72A76"/>
    <w:rsid w:val="57C3426C"/>
    <w:rsid w:val="57C55B7A"/>
    <w:rsid w:val="57C739B1"/>
    <w:rsid w:val="57C93BCD"/>
    <w:rsid w:val="57C94E3C"/>
    <w:rsid w:val="57CC32D6"/>
    <w:rsid w:val="57CE1F93"/>
    <w:rsid w:val="57D122F5"/>
    <w:rsid w:val="57D9014C"/>
    <w:rsid w:val="57D91C6B"/>
    <w:rsid w:val="57E75E01"/>
    <w:rsid w:val="57F30C49"/>
    <w:rsid w:val="580274BB"/>
    <w:rsid w:val="581C66A2"/>
    <w:rsid w:val="58322F61"/>
    <w:rsid w:val="58334E78"/>
    <w:rsid w:val="58367B08"/>
    <w:rsid w:val="583703B2"/>
    <w:rsid w:val="584274DB"/>
    <w:rsid w:val="584A5DFD"/>
    <w:rsid w:val="584D65AC"/>
    <w:rsid w:val="586631C9"/>
    <w:rsid w:val="587A6C75"/>
    <w:rsid w:val="58825B29"/>
    <w:rsid w:val="588743D1"/>
    <w:rsid w:val="5887701A"/>
    <w:rsid w:val="58900CFD"/>
    <w:rsid w:val="58935F89"/>
    <w:rsid w:val="589D277F"/>
    <w:rsid w:val="58A469EB"/>
    <w:rsid w:val="58A75F47"/>
    <w:rsid w:val="58A957AC"/>
    <w:rsid w:val="58A96F4C"/>
    <w:rsid w:val="58B76E5D"/>
    <w:rsid w:val="58C252AC"/>
    <w:rsid w:val="58C63C68"/>
    <w:rsid w:val="58C80E74"/>
    <w:rsid w:val="58CF1278"/>
    <w:rsid w:val="58D0677A"/>
    <w:rsid w:val="58D2085F"/>
    <w:rsid w:val="58D740C7"/>
    <w:rsid w:val="58D86743"/>
    <w:rsid w:val="58D97E3F"/>
    <w:rsid w:val="58DA1063"/>
    <w:rsid w:val="58E00F99"/>
    <w:rsid w:val="58E16CF4"/>
    <w:rsid w:val="58FC1D80"/>
    <w:rsid w:val="58FE2A51"/>
    <w:rsid w:val="58FF0B23"/>
    <w:rsid w:val="59012EF2"/>
    <w:rsid w:val="590638DD"/>
    <w:rsid w:val="590D1897"/>
    <w:rsid w:val="590D7AE9"/>
    <w:rsid w:val="592117E6"/>
    <w:rsid w:val="59245C65"/>
    <w:rsid w:val="592866D1"/>
    <w:rsid w:val="592A069B"/>
    <w:rsid w:val="593037D7"/>
    <w:rsid w:val="5934151A"/>
    <w:rsid w:val="593E514E"/>
    <w:rsid w:val="594159E5"/>
    <w:rsid w:val="5942227D"/>
    <w:rsid w:val="594554D5"/>
    <w:rsid w:val="59487E7E"/>
    <w:rsid w:val="59580AEA"/>
    <w:rsid w:val="599B1EB6"/>
    <w:rsid w:val="599B6EA3"/>
    <w:rsid w:val="59AC7E18"/>
    <w:rsid w:val="59BE7D27"/>
    <w:rsid w:val="59C0439F"/>
    <w:rsid w:val="59C27A0F"/>
    <w:rsid w:val="59C71E69"/>
    <w:rsid w:val="59C92530"/>
    <w:rsid w:val="59CA59DA"/>
    <w:rsid w:val="59CE5128"/>
    <w:rsid w:val="59DB1995"/>
    <w:rsid w:val="59ED0ECA"/>
    <w:rsid w:val="59F3022C"/>
    <w:rsid w:val="59FC1447"/>
    <w:rsid w:val="5A091022"/>
    <w:rsid w:val="5A105AE3"/>
    <w:rsid w:val="5A1D1A12"/>
    <w:rsid w:val="5A24446D"/>
    <w:rsid w:val="5A296BA4"/>
    <w:rsid w:val="5A2E5F69"/>
    <w:rsid w:val="5A326537"/>
    <w:rsid w:val="5A366BCB"/>
    <w:rsid w:val="5A397F0E"/>
    <w:rsid w:val="5A4B6B1B"/>
    <w:rsid w:val="5A4C7D60"/>
    <w:rsid w:val="5A5F6122"/>
    <w:rsid w:val="5A6C637A"/>
    <w:rsid w:val="5A6E161C"/>
    <w:rsid w:val="5A82526F"/>
    <w:rsid w:val="5AAC298D"/>
    <w:rsid w:val="5AAD558E"/>
    <w:rsid w:val="5AB5009D"/>
    <w:rsid w:val="5ABA301A"/>
    <w:rsid w:val="5ABE2233"/>
    <w:rsid w:val="5ACE23ED"/>
    <w:rsid w:val="5AE825BC"/>
    <w:rsid w:val="5AEB5C08"/>
    <w:rsid w:val="5AEE394A"/>
    <w:rsid w:val="5AF14D62"/>
    <w:rsid w:val="5B044F1C"/>
    <w:rsid w:val="5B067980"/>
    <w:rsid w:val="5B0A0784"/>
    <w:rsid w:val="5B123195"/>
    <w:rsid w:val="5B157129"/>
    <w:rsid w:val="5B184523"/>
    <w:rsid w:val="5B22711E"/>
    <w:rsid w:val="5B253204"/>
    <w:rsid w:val="5B264E92"/>
    <w:rsid w:val="5B2D7FCE"/>
    <w:rsid w:val="5B3835D6"/>
    <w:rsid w:val="5B3951AC"/>
    <w:rsid w:val="5B3F7D02"/>
    <w:rsid w:val="5B4369AD"/>
    <w:rsid w:val="5B461090"/>
    <w:rsid w:val="5B471B88"/>
    <w:rsid w:val="5B555909"/>
    <w:rsid w:val="5B604483"/>
    <w:rsid w:val="5B6356DE"/>
    <w:rsid w:val="5B6800B4"/>
    <w:rsid w:val="5B6A2FD1"/>
    <w:rsid w:val="5B6D0067"/>
    <w:rsid w:val="5B6E25C5"/>
    <w:rsid w:val="5B774521"/>
    <w:rsid w:val="5B791466"/>
    <w:rsid w:val="5B862820"/>
    <w:rsid w:val="5B8A2641"/>
    <w:rsid w:val="5B8B04FA"/>
    <w:rsid w:val="5B9A7A8C"/>
    <w:rsid w:val="5BA83CAD"/>
    <w:rsid w:val="5BBA0A68"/>
    <w:rsid w:val="5BC16969"/>
    <w:rsid w:val="5BD45C2F"/>
    <w:rsid w:val="5BDA50CE"/>
    <w:rsid w:val="5BDC5041"/>
    <w:rsid w:val="5BDF5D95"/>
    <w:rsid w:val="5BFB1121"/>
    <w:rsid w:val="5BFC1093"/>
    <w:rsid w:val="5BFE7528"/>
    <w:rsid w:val="5C0A69D0"/>
    <w:rsid w:val="5C0F1DCA"/>
    <w:rsid w:val="5C1271C4"/>
    <w:rsid w:val="5C180C7F"/>
    <w:rsid w:val="5C1A1210"/>
    <w:rsid w:val="5C1A6EFE"/>
    <w:rsid w:val="5C2018E1"/>
    <w:rsid w:val="5C291E52"/>
    <w:rsid w:val="5C292E8C"/>
    <w:rsid w:val="5C2D3FFE"/>
    <w:rsid w:val="5C2D5D12"/>
    <w:rsid w:val="5C2E2250"/>
    <w:rsid w:val="5C323DE8"/>
    <w:rsid w:val="5C471564"/>
    <w:rsid w:val="5C4952DC"/>
    <w:rsid w:val="5C545A2F"/>
    <w:rsid w:val="5C5617A7"/>
    <w:rsid w:val="5C591EB4"/>
    <w:rsid w:val="5C5F49DD"/>
    <w:rsid w:val="5C642116"/>
    <w:rsid w:val="5C643EC4"/>
    <w:rsid w:val="5C645E3F"/>
    <w:rsid w:val="5C693288"/>
    <w:rsid w:val="5C6A2D64"/>
    <w:rsid w:val="5C82434A"/>
    <w:rsid w:val="5C8B6098"/>
    <w:rsid w:val="5C9A5173"/>
    <w:rsid w:val="5CA16A49"/>
    <w:rsid w:val="5CAE27E8"/>
    <w:rsid w:val="5CB0371D"/>
    <w:rsid w:val="5CB050E1"/>
    <w:rsid w:val="5CB42B43"/>
    <w:rsid w:val="5CCB5CF1"/>
    <w:rsid w:val="5CD56797"/>
    <w:rsid w:val="5CE45005"/>
    <w:rsid w:val="5CEB0141"/>
    <w:rsid w:val="5CFE3FC7"/>
    <w:rsid w:val="5D086F45"/>
    <w:rsid w:val="5D0B0471"/>
    <w:rsid w:val="5D0B433F"/>
    <w:rsid w:val="5D101956"/>
    <w:rsid w:val="5D1256CE"/>
    <w:rsid w:val="5D14135C"/>
    <w:rsid w:val="5D1458EA"/>
    <w:rsid w:val="5D1C0A02"/>
    <w:rsid w:val="5D1D4073"/>
    <w:rsid w:val="5D215911"/>
    <w:rsid w:val="5D261179"/>
    <w:rsid w:val="5D290C69"/>
    <w:rsid w:val="5D2B1F4F"/>
    <w:rsid w:val="5D2F0E85"/>
    <w:rsid w:val="5D3A69D3"/>
    <w:rsid w:val="5D414205"/>
    <w:rsid w:val="5D57507B"/>
    <w:rsid w:val="5D636BD6"/>
    <w:rsid w:val="5D682EED"/>
    <w:rsid w:val="5D7243BE"/>
    <w:rsid w:val="5D752101"/>
    <w:rsid w:val="5D795A4C"/>
    <w:rsid w:val="5D834642"/>
    <w:rsid w:val="5D847211"/>
    <w:rsid w:val="5D8F6D1E"/>
    <w:rsid w:val="5D9205BD"/>
    <w:rsid w:val="5D980799"/>
    <w:rsid w:val="5D9D08AC"/>
    <w:rsid w:val="5DA52053"/>
    <w:rsid w:val="5DAA1F8C"/>
    <w:rsid w:val="5DB2126A"/>
    <w:rsid w:val="5DB466F3"/>
    <w:rsid w:val="5DB46785"/>
    <w:rsid w:val="5DC63ADC"/>
    <w:rsid w:val="5DCF7A63"/>
    <w:rsid w:val="5DD106E8"/>
    <w:rsid w:val="5DD46E27"/>
    <w:rsid w:val="5DD60DF1"/>
    <w:rsid w:val="5DE057CC"/>
    <w:rsid w:val="5DE84681"/>
    <w:rsid w:val="5DEC4171"/>
    <w:rsid w:val="5DF41277"/>
    <w:rsid w:val="5DF4758C"/>
    <w:rsid w:val="5DF9063C"/>
    <w:rsid w:val="5DFB2606"/>
    <w:rsid w:val="5DFE5822"/>
    <w:rsid w:val="5E023DCC"/>
    <w:rsid w:val="5E04069C"/>
    <w:rsid w:val="5E111464"/>
    <w:rsid w:val="5E231B5D"/>
    <w:rsid w:val="5E2467F1"/>
    <w:rsid w:val="5E484209"/>
    <w:rsid w:val="5E563FA0"/>
    <w:rsid w:val="5E5B12F6"/>
    <w:rsid w:val="5E6152CC"/>
    <w:rsid w:val="5E622685"/>
    <w:rsid w:val="5E626EE0"/>
    <w:rsid w:val="5E6737F7"/>
    <w:rsid w:val="5E685F48"/>
    <w:rsid w:val="5E6E268E"/>
    <w:rsid w:val="5E6F6B50"/>
    <w:rsid w:val="5E704A1A"/>
    <w:rsid w:val="5E7441E1"/>
    <w:rsid w:val="5E745F14"/>
    <w:rsid w:val="5E7B7098"/>
    <w:rsid w:val="5E8018E6"/>
    <w:rsid w:val="5E8A3AE6"/>
    <w:rsid w:val="5E8B3B5F"/>
    <w:rsid w:val="5E8C5CF7"/>
    <w:rsid w:val="5E9345EC"/>
    <w:rsid w:val="5E99281F"/>
    <w:rsid w:val="5EB01642"/>
    <w:rsid w:val="5EB51E41"/>
    <w:rsid w:val="5EBB346E"/>
    <w:rsid w:val="5EC4125E"/>
    <w:rsid w:val="5ECA0F09"/>
    <w:rsid w:val="5ECE4E44"/>
    <w:rsid w:val="5EE40DB2"/>
    <w:rsid w:val="5EE412EC"/>
    <w:rsid w:val="5EFF7ED4"/>
    <w:rsid w:val="5F0061EF"/>
    <w:rsid w:val="5F033ADB"/>
    <w:rsid w:val="5F0563D5"/>
    <w:rsid w:val="5F08322C"/>
    <w:rsid w:val="5F1514A5"/>
    <w:rsid w:val="5F180F96"/>
    <w:rsid w:val="5F1A2B43"/>
    <w:rsid w:val="5F1C702E"/>
    <w:rsid w:val="5F2A2B9A"/>
    <w:rsid w:val="5F3062DF"/>
    <w:rsid w:val="5F445764"/>
    <w:rsid w:val="5F446718"/>
    <w:rsid w:val="5F53198B"/>
    <w:rsid w:val="5F586378"/>
    <w:rsid w:val="5F5E109E"/>
    <w:rsid w:val="5F5E6BA9"/>
    <w:rsid w:val="5F5F6BC4"/>
    <w:rsid w:val="5F6E34BB"/>
    <w:rsid w:val="5F6F725E"/>
    <w:rsid w:val="5F750250"/>
    <w:rsid w:val="5F751F44"/>
    <w:rsid w:val="5F797F37"/>
    <w:rsid w:val="5F7F20BF"/>
    <w:rsid w:val="5F816B3B"/>
    <w:rsid w:val="5F8605F5"/>
    <w:rsid w:val="5F90544E"/>
    <w:rsid w:val="5F92520A"/>
    <w:rsid w:val="5F950838"/>
    <w:rsid w:val="5FB837BB"/>
    <w:rsid w:val="5FB94E8F"/>
    <w:rsid w:val="5FD01870"/>
    <w:rsid w:val="5FD650D9"/>
    <w:rsid w:val="5FDB3C49"/>
    <w:rsid w:val="5FDD7A77"/>
    <w:rsid w:val="5FEE40F0"/>
    <w:rsid w:val="5FF25E96"/>
    <w:rsid w:val="5FFB4F31"/>
    <w:rsid w:val="5FFD15E1"/>
    <w:rsid w:val="60035C06"/>
    <w:rsid w:val="60067040"/>
    <w:rsid w:val="600C3541"/>
    <w:rsid w:val="60123C37"/>
    <w:rsid w:val="601856F1"/>
    <w:rsid w:val="60234096"/>
    <w:rsid w:val="60291279"/>
    <w:rsid w:val="6031230F"/>
    <w:rsid w:val="603A5BD9"/>
    <w:rsid w:val="603F52D1"/>
    <w:rsid w:val="6051475F"/>
    <w:rsid w:val="60523186"/>
    <w:rsid w:val="606370EE"/>
    <w:rsid w:val="606B38F1"/>
    <w:rsid w:val="607641C6"/>
    <w:rsid w:val="60766CE4"/>
    <w:rsid w:val="60767905"/>
    <w:rsid w:val="60771CEC"/>
    <w:rsid w:val="60785690"/>
    <w:rsid w:val="607A35BB"/>
    <w:rsid w:val="60806DF2"/>
    <w:rsid w:val="60A24FBB"/>
    <w:rsid w:val="60BB052D"/>
    <w:rsid w:val="60BB42CE"/>
    <w:rsid w:val="60BE7ED2"/>
    <w:rsid w:val="60CA62C0"/>
    <w:rsid w:val="60CC405A"/>
    <w:rsid w:val="60DF620F"/>
    <w:rsid w:val="60E52992"/>
    <w:rsid w:val="60F0072F"/>
    <w:rsid w:val="60FA4DF7"/>
    <w:rsid w:val="60FF4D92"/>
    <w:rsid w:val="61033714"/>
    <w:rsid w:val="61064C55"/>
    <w:rsid w:val="610A2B60"/>
    <w:rsid w:val="610A5D0A"/>
    <w:rsid w:val="61181C00"/>
    <w:rsid w:val="611C7E0C"/>
    <w:rsid w:val="61202383"/>
    <w:rsid w:val="61281E47"/>
    <w:rsid w:val="61284EDA"/>
    <w:rsid w:val="612D68E5"/>
    <w:rsid w:val="612E684E"/>
    <w:rsid w:val="61324198"/>
    <w:rsid w:val="613A7A6B"/>
    <w:rsid w:val="613D376A"/>
    <w:rsid w:val="613F0A5C"/>
    <w:rsid w:val="61476841"/>
    <w:rsid w:val="614916FA"/>
    <w:rsid w:val="614918DA"/>
    <w:rsid w:val="61545711"/>
    <w:rsid w:val="615F585B"/>
    <w:rsid w:val="61623355"/>
    <w:rsid w:val="61626939"/>
    <w:rsid w:val="61670DF0"/>
    <w:rsid w:val="61693D2A"/>
    <w:rsid w:val="619265F3"/>
    <w:rsid w:val="61993B80"/>
    <w:rsid w:val="619C0724"/>
    <w:rsid w:val="619E1C26"/>
    <w:rsid w:val="61B03E4C"/>
    <w:rsid w:val="61CB0541"/>
    <w:rsid w:val="61CD772E"/>
    <w:rsid w:val="61CE1DDF"/>
    <w:rsid w:val="61E215D8"/>
    <w:rsid w:val="61F91B01"/>
    <w:rsid w:val="61FE57B6"/>
    <w:rsid w:val="62033413"/>
    <w:rsid w:val="62053A53"/>
    <w:rsid w:val="621B3775"/>
    <w:rsid w:val="621C7D00"/>
    <w:rsid w:val="621D60F7"/>
    <w:rsid w:val="62297D08"/>
    <w:rsid w:val="623205C0"/>
    <w:rsid w:val="623307C1"/>
    <w:rsid w:val="62364782"/>
    <w:rsid w:val="624D320A"/>
    <w:rsid w:val="625304A7"/>
    <w:rsid w:val="62595B4D"/>
    <w:rsid w:val="625B3673"/>
    <w:rsid w:val="625E5251"/>
    <w:rsid w:val="6260512D"/>
    <w:rsid w:val="626D11D6"/>
    <w:rsid w:val="62742987"/>
    <w:rsid w:val="62831CC5"/>
    <w:rsid w:val="628966B6"/>
    <w:rsid w:val="62926818"/>
    <w:rsid w:val="629722D9"/>
    <w:rsid w:val="629F523C"/>
    <w:rsid w:val="62A274F4"/>
    <w:rsid w:val="62B965EC"/>
    <w:rsid w:val="62BB05B6"/>
    <w:rsid w:val="62BD60DC"/>
    <w:rsid w:val="62C24EA2"/>
    <w:rsid w:val="62C56824"/>
    <w:rsid w:val="62CD3A64"/>
    <w:rsid w:val="62CF186C"/>
    <w:rsid w:val="62DD052C"/>
    <w:rsid w:val="62EA2C49"/>
    <w:rsid w:val="62EB67A0"/>
    <w:rsid w:val="62F401CB"/>
    <w:rsid w:val="62F81938"/>
    <w:rsid w:val="62FA7330"/>
    <w:rsid w:val="6300771D"/>
    <w:rsid w:val="63027DEE"/>
    <w:rsid w:val="6308267B"/>
    <w:rsid w:val="63163A3E"/>
    <w:rsid w:val="632C03CB"/>
    <w:rsid w:val="633345F0"/>
    <w:rsid w:val="633839B4"/>
    <w:rsid w:val="633B5253"/>
    <w:rsid w:val="63445B40"/>
    <w:rsid w:val="634C56B2"/>
    <w:rsid w:val="635661F6"/>
    <w:rsid w:val="635D759F"/>
    <w:rsid w:val="63626C83"/>
    <w:rsid w:val="636903B1"/>
    <w:rsid w:val="63815BF0"/>
    <w:rsid w:val="63847915"/>
    <w:rsid w:val="63892462"/>
    <w:rsid w:val="638B7F88"/>
    <w:rsid w:val="639131A0"/>
    <w:rsid w:val="6394356A"/>
    <w:rsid w:val="63983F8C"/>
    <w:rsid w:val="639C03E7"/>
    <w:rsid w:val="63A64685"/>
    <w:rsid w:val="63A74D31"/>
    <w:rsid w:val="63AC4286"/>
    <w:rsid w:val="63B31F26"/>
    <w:rsid w:val="63B70D7D"/>
    <w:rsid w:val="63BA78C7"/>
    <w:rsid w:val="63BF5E84"/>
    <w:rsid w:val="63C61B2C"/>
    <w:rsid w:val="63C86F79"/>
    <w:rsid w:val="63D40BE9"/>
    <w:rsid w:val="63D80CF3"/>
    <w:rsid w:val="63DA0F0F"/>
    <w:rsid w:val="63DE39EA"/>
    <w:rsid w:val="63E92F01"/>
    <w:rsid w:val="63F10849"/>
    <w:rsid w:val="63F26BF6"/>
    <w:rsid w:val="63F461F0"/>
    <w:rsid w:val="63F52F6A"/>
    <w:rsid w:val="63F7561D"/>
    <w:rsid w:val="63FB48A3"/>
    <w:rsid w:val="64063AB3"/>
    <w:rsid w:val="64102431"/>
    <w:rsid w:val="641066DF"/>
    <w:rsid w:val="64114A51"/>
    <w:rsid w:val="64125E7C"/>
    <w:rsid w:val="6417181C"/>
    <w:rsid w:val="641E2BAA"/>
    <w:rsid w:val="642342DE"/>
    <w:rsid w:val="642503DD"/>
    <w:rsid w:val="642701CA"/>
    <w:rsid w:val="64273CA4"/>
    <w:rsid w:val="64287CED"/>
    <w:rsid w:val="642A0948"/>
    <w:rsid w:val="642B3519"/>
    <w:rsid w:val="642D103F"/>
    <w:rsid w:val="644B7717"/>
    <w:rsid w:val="64502F80"/>
    <w:rsid w:val="64520AA6"/>
    <w:rsid w:val="64654C7D"/>
    <w:rsid w:val="646F79E5"/>
    <w:rsid w:val="64713622"/>
    <w:rsid w:val="64781EE2"/>
    <w:rsid w:val="64846EDD"/>
    <w:rsid w:val="649D0BFE"/>
    <w:rsid w:val="649F0542"/>
    <w:rsid w:val="64A5243A"/>
    <w:rsid w:val="64B03E04"/>
    <w:rsid w:val="64B10AC5"/>
    <w:rsid w:val="64B5381C"/>
    <w:rsid w:val="64B90B25"/>
    <w:rsid w:val="64C06EE0"/>
    <w:rsid w:val="64C3768B"/>
    <w:rsid w:val="64D05561"/>
    <w:rsid w:val="64D107A1"/>
    <w:rsid w:val="64D46732"/>
    <w:rsid w:val="64DB47D3"/>
    <w:rsid w:val="64E262CE"/>
    <w:rsid w:val="64EB4BC6"/>
    <w:rsid w:val="64EC1C11"/>
    <w:rsid w:val="64EE6A20"/>
    <w:rsid w:val="64F15F74"/>
    <w:rsid w:val="64F24DEB"/>
    <w:rsid w:val="64F466E9"/>
    <w:rsid w:val="64F531DE"/>
    <w:rsid w:val="650205DF"/>
    <w:rsid w:val="65077220"/>
    <w:rsid w:val="6509385A"/>
    <w:rsid w:val="650A6E5A"/>
    <w:rsid w:val="6511270F"/>
    <w:rsid w:val="65155EBB"/>
    <w:rsid w:val="65157690"/>
    <w:rsid w:val="65167D25"/>
    <w:rsid w:val="6518024B"/>
    <w:rsid w:val="651915C4"/>
    <w:rsid w:val="6519526F"/>
    <w:rsid w:val="6528649D"/>
    <w:rsid w:val="652F5384"/>
    <w:rsid w:val="65373578"/>
    <w:rsid w:val="65377536"/>
    <w:rsid w:val="653D04DD"/>
    <w:rsid w:val="653D3643"/>
    <w:rsid w:val="65482370"/>
    <w:rsid w:val="65562818"/>
    <w:rsid w:val="6561620F"/>
    <w:rsid w:val="65641531"/>
    <w:rsid w:val="65711400"/>
    <w:rsid w:val="657D276F"/>
    <w:rsid w:val="65826562"/>
    <w:rsid w:val="65853E9A"/>
    <w:rsid w:val="658C6239"/>
    <w:rsid w:val="658E7523"/>
    <w:rsid w:val="659728BA"/>
    <w:rsid w:val="659A6BA8"/>
    <w:rsid w:val="65AC068A"/>
    <w:rsid w:val="65C03DF3"/>
    <w:rsid w:val="65C14135"/>
    <w:rsid w:val="65C2639F"/>
    <w:rsid w:val="65C92FEA"/>
    <w:rsid w:val="65CC4888"/>
    <w:rsid w:val="65CD36D6"/>
    <w:rsid w:val="65D537C7"/>
    <w:rsid w:val="65DC2687"/>
    <w:rsid w:val="65E360F4"/>
    <w:rsid w:val="65E61C16"/>
    <w:rsid w:val="65EF52A4"/>
    <w:rsid w:val="65FF5F93"/>
    <w:rsid w:val="66014F0E"/>
    <w:rsid w:val="66100C18"/>
    <w:rsid w:val="66344907"/>
    <w:rsid w:val="6635242D"/>
    <w:rsid w:val="664D3B44"/>
    <w:rsid w:val="66562638"/>
    <w:rsid w:val="666E2B53"/>
    <w:rsid w:val="66707909"/>
    <w:rsid w:val="66744C71"/>
    <w:rsid w:val="66772A46"/>
    <w:rsid w:val="667C4500"/>
    <w:rsid w:val="667D3BE9"/>
    <w:rsid w:val="66807B9C"/>
    <w:rsid w:val="668C4743"/>
    <w:rsid w:val="668D2269"/>
    <w:rsid w:val="66910655"/>
    <w:rsid w:val="669370E0"/>
    <w:rsid w:val="6695111E"/>
    <w:rsid w:val="669C06FE"/>
    <w:rsid w:val="66A001EE"/>
    <w:rsid w:val="66A17AC3"/>
    <w:rsid w:val="66A852F5"/>
    <w:rsid w:val="66AD08AF"/>
    <w:rsid w:val="66B43C9A"/>
    <w:rsid w:val="66CD4D5B"/>
    <w:rsid w:val="66CF4630"/>
    <w:rsid w:val="66D348EA"/>
    <w:rsid w:val="66DB6693"/>
    <w:rsid w:val="66E15DEB"/>
    <w:rsid w:val="66F5302E"/>
    <w:rsid w:val="66F62059"/>
    <w:rsid w:val="66FB5425"/>
    <w:rsid w:val="66FB71D3"/>
    <w:rsid w:val="6711405F"/>
    <w:rsid w:val="671F124A"/>
    <w:rsid w:val="67225A66"/>
    <w:rsid w:val="67280BA1"/>
    <w:rsid w:val="672A5D0A"/>
    <w:rsid w:val="674C5C80"/>
    <w:rsid w:val="6751081D"/>
    <w:rsid w:val="67515045"/>
    <w:rsid w:val="6760797E"/>
    <w:rsid w:val="6764746E"/>
    <w:rsid w:val="676A12DC"/>
    <w:rsid w:val="676E3E49"/>
    <w:rsid w:val="67772244"/>
    <w:rsid w:val="677A33C6"/>
    <w:rsid w:val="677D6B8B"/>
    <w:rsid w:val="677E1BB2"/>
    <w:rsid w:val="678C42CF"/>
    <w:rsid w:val="678D2A4F"/>
    <w:rsid w:val="6795253B"/>
    <w:rsid w:val="679A4C3E"/>
    <w:rsid w:val="67A6170A"/>
    <w:rsid w:val="67A62449"/>
    <w:rsid w:val="67AA652A"/>
    <w:rsid w:val="67AD1280"/>
    <w:rsid w:val="67AD6AD3"/>
    <w:rsid w:val="67AE06E9"/>
    <w:rsid w:val="67B51A77"/>
    <w:rsid w:val="67BC24FF"/>
    <w:rsid w:val="67BD0978"/>
    <w:rsid w:val="67C021CA"/>
    <w:rsid w:val="67C405D0"/>
    <w:rsid w:val="67C7597D"/>
    <w:rsid w:val="67CE0D8B"/>
    <w:rsid w:val="67D143D7"/>
    <w:rsid w:val="67DF6AF4"/>
    <w:rsid w:val="67DF7076"/>
    <w:rsid w:val="67E1286C"/>
    <w:rsid w:val="67E4410B"/>
    <w:rsid w:val="67E61C31"/>
    <w:rsid w:val="67E81E4D"/>
    <w:rsid w:val="67EC2FBF"/>
    <w:rsid w:val="67EE4F89"/>
    <w:rsid w:val="67F27091"/>
    <w:rsid w:val="67F6063A"/>
    <w:rsid w:val="680B563E"/>
    <w:rsid w:val="68104F00"/>
    <w:rsid w:val="68106CAE"/>
    <w:rsid w:val="681D761D"/>
    <w:rsid w:val="681F6961"/>
    <w:rsid w:val="682458E0"/>
    <w:rsid w:val="68356714"/>
    <w:rsid w:val="6841330B"/>
    <w:rsid w:val="68444BA9"/>
    <w:rsid w:val="68447ACD"/>
    <w:rsid w:val="68461536"/>
    <w:rsid w:val="68491E34"/>
    <w:rsid w:val="6852376A"/>
    <w:rsid w:val="68610A2F"/>
    <w:rsid w:val="68680898"/>
    <w:rsid w:val="68686AEA"/>
    <w:rsid w:val="686D1491"/>
    <w:rsid w:val="68703BF0"/>
    <w:rsid w:val="68776D2D"/>
    <w:rsid w:val="687B374E"/>
    <w:rsid w:val="687E5F2A"/>
    <w:rsid w:val="68805514"/>
    <w:rsid w:val="68817BAC"/>
    <w:rsid w:val="68926C75"/>
    <w:rsid w:val="68A613C0"/>
    <w:rsid w:val="68A94190"/>
    <w:rsid w:val="68AB2361"/>
    <w:rsid w:val="68B27D65"/>
    <w:rsid w:val="68B57855"/>
    <w:rsid w:val="68BB130F"/>
    <w:rsid w:val="68C71627"/>
    <w:rsid w:val="68D03AB8"/>
    <w:rsid w:val="68D34A65"/>
    <w:rsid w:val="68D4413E"/>
    <w:rsid w:val="68DE6DAC"/>
    <w:rsid w:val="68E00D76"/>
    <w:rsid w:val="68E02B24"/>
    <w:rsid w:val="68E1689C"/>
    <w:rsid w:val="68E52F3E"/>
    <w:rsid w:val="68E53982"/>
    <w:rsid w:val="68F55EA4"/>
    <w:rsid w:val="68FB795E"/>
    <w:rsid w:val="690A17CF"/>
    <w:rsid w:val="690C1B6B"/>
    <w:rsid w:val="690E069D"/>
    <w:rsid w:val="69171127"/>
    <w:rsid w:val="69205616"/>
    <w:rsid w:val="69214A29"/>
    <w:rsid w:val="692C7B17"/>
    <w:rsid w:val="69316E2F"/>
    <w:rsid w:val="693C3AD3"/>
    <w:rsid w:val="69401815"/>
    <w:rsid w:val="694806C9"/>
    <w:rsid w:val="694A0B5C"/>
    <w:rsid w:val="694C29D9"/>
    <w:rsid w:val="694E2071"/>
    <w:rsid w:val="69763488"/>
    <w:rsid w:val="69766163"/>
    <w:rsid w:val="697A3B33"/>
    <w:rsid w:val="69855479"/>
    <w:rsid w:val="698931BC"/>
    <w:rsid w:val="69893798"/>
    <w:rsid w:val="698B7CF9"/>
    <w:rsid w:val="698E2580"/>
    <w:rsid w:val="699658D9"/>
    <w:rsid w:val="69AE677E"/>
    <w:rsid w:val="69B414D2"/>
    <w:rsid w:val="69BA15C7"/>
    <w:rsid w:val="69BA2751"/>
    <w:rsid w:val="69BF098B"/>
    <w:rsid w:val="69C75A92"/>
    <w:rsid w:val="69D361E5"/>
    <w:rsid w:val="69D44760"/>
    <w:rsid w:val="69DB153D"/>
    <w:rsid w:val="69DB32EB"/>
    <w:rsid w:val="69DF734D"/>
    <w:rsid w:val="69E37DBD"/>
    <w:rsid w:val="69E5416A"/>
    <w:rsid w:val="69E9754E"/>
    <w:rsid w:val="69F6694B"/>
    <w:rsid w:val="69F8769B"/>
    <w:rsid w:val="69FA7C16"/>
    <w:rsid w:val="6A036873"/>
    <w:rsid w:val="6A06516E"/>
    <w:rsid w:val="6A070584"/>
    <w:rsid w:val="6A0960AB"/>
    <w:rsid w:val="6A10225C"/>
    <w:rsid w:val="6A107B14"/>
    <w:rsid w:val="6A1D1B56"/>
    <w:rsid w:val="6A2B08BD"/>
    <w:rsid w:val="6A2D06EE"/>
    <w:rsid w:val="6A301889"/>
    <w:rsid w:val="6A334ED5"/>
    <w:rsid w:val="6A38073E"/>
    <w:rsid w:val="6A3A6264"/>
    <w:rsid w:val="6A4610AD"/>
    <w:rsid w:val="6A470EF9"/>
    <w:rsid w:val="6A4A78EC"/>
    <w:rsid w:val="6A514CB6"/>
    <w:rsid w:val="6A520EC7"/>
    <w:rsid w:val="6A55056A"/>
    <w:rsid w:val="6A6F4A47"/>
    <w:rsid w:val="6A771266"/>
    <w:rsid w:val="6A772BC1"/>
    <w:rsid w:val="6A776FFE"/>
    <w:rsid w:val="6A7A0D56"/>
    <w:rsid w:val="6A94246C"/>
    <w:rsid w:val="6A9736B6"/>
    <w:rsid w:val="6AA06A0F"/>
    <w:rsid w:val="6AAB4434"/>
    <w:rsid w:val="6AB2229E"/>
    <w:rsid w:val="6AC46303"/>
    <w:rsid w:val="6AC66639"/>
    <w:rsid w:val="6AC738A6"/>
    <w:rsid w:val="6ACA1166"/>
    <w:rsid w:val="6ACE0509"/>
    <w:rsid w:val="6AD37EBF"/>
    <w:rsid w:val="6AD42C08"/>
    <w:rsid w:val="6AD43BEB"/>
    <w:rsid w:val="6AD96DFF"/>
    <w:rsid w:val="6AE246E1"/>
    <w:rsid w:val="6AE34377"/>
    <w:rsid w:val="6AE52674"/>
    <w:rsid w:val="6AEB2057"/>
    <w:rsid w:val="6AEC7442"/>
    <w:rsid w:val="6AF26B3F"/>
    <w:rsid w:val="6AF87E20"/>
    <w:rsid w:val="6AFC5236"/>
    <w:rsid w:val="6B040620"/>
    <w:rsid w:val="6B087FDF"/>
    <w:rsid w:val="6B1B7E43"/>
    <w:rsid w:val="6B2111D2"/>
    <w:rsid w:val="6B285ACB"/>
    <w:rsid w:val="6B2C2051"/>
    <w:rsid w:val="6B2E5B12"/>
    <w:rsid w:val="6B322639"/>
    <w:rsid w:val="6B3B12BF"/>
    <w:rsid w:val="6B454EC0"/>
    <w:rsid w:val="6B4F3F91"/>
    <w:rsid w:val="6B5416F3"/>
    <w:rsid w:val="6B594E10"/>
    <w:rsid w:val="6B5D5FDB"/>
    <w:rsid w:val="6B735CE0"/>
    <w:rsid w:val="6B926633"/>
    <w:rsid w:val="6B95409A"/>
    <w:rsid w:val="6B96571C"/>
    <w:rsid w:val="6B99520C"/>
    <w:rsid w:val="6BA505A7"/>
    <w:rsid w:val="6BAE6F0A"/>
    <w:rsid w:val="6BBD631B"/>
    <w:rsid w:val="6BBE4C73"/>
    <w:rsid w:val="6BC06C3D"/>
    <w:rsid w:val="6BC178A6"/>
    <w:rsid w:val="6BCB01A3"/>
    <w:rsid w:val="6BCB670E"/>
    <w:rsid w:val="6BCD26D4"/>
    <w:rsid w:val="6BCF0934"/>
    <w:rsid w:val="6BD44297"/>
    <w:rsid w:val="6BD446A2"/>
    <w:rsid w:val="6BD46244"/>
    <w:rsid w:val="6BE0108D"/>
    <w:rsid w:val="6BE209E5"/>
    <w:rsid w:val="6BE446D9"/>
    <w:rsid w:val="6C0A7EB8"/>
    <w:rsid w:val="6C0C7143"/>
    <w:rsid w:val="6C133210"/>
    <w:rsid w:val="6C250D28"/>
    <w:rsid w:val="6C2B2308"/>
    <w:rsid w:val="6C3B1858"/>
    <w:rsid w:val="6C47027C"/>
    <w:rsid w:val="6C4A3C83"/>
    <w:rsid w:val="6C622801"/>
    <w:rsid w:val="6C636C38"/>
    <w:rsid w:val="6C691082"/>
    <w:rsid w:val="6C8256C6"/>
    <w:rsid w:val="6C8B7100"/>
    <w:rsid w:val="6C924135"/>
    <w:rsid w:val="6C97799E"/>
    <w:rsid w:val="6C9D0D2C"/>
    <w:rsid w:val="6C9E0378"/>
    <w:rsid w:val="6CA66902"/>
    <w:rsid w:val="6CB247D7"/>
    <w:rsid w:val="6CB4386E"/>
    <w:rsid w:val="6CB858A6"/>
    <w:rsid w:val="6CBF6EF4"/>
    <w:rsid w:val="6CC369E5"/>
    <w:rsid w:val="6CC85251"/>
    <w:rsid w:val="6CC85C2E"/>
    <w:rsid w:val="6CC97CCC"/>
    <w:rsid w:val="6CCA2B90"/>
    <w:rsid w:val="6CD84DB9"/>
    <w:rsid w:val="6CDB7153"/>
    <w:rsid w:val="6CDD463E"/>
    <w:rsid w:val="6CDD536D"/>
    <w:rsid w:val="6CE10598"/>
    <w:rsid w:val="6CE84A5B"/>
    <w:rsid w:val="6CED69A6"/>
    <w:rsid w:val="6CF15ABD"/>
    <w:rsid w:val="6CFB34BB"/>
    <w:rsid w:val="6D024437"/>
    <w:rsid w:val="6D047B27"/>
    <w:rsid w:val="6D1709B1"/>
    <w:rsid w:val="6D26086E"/>
    <w:rsid w:val="6D266F73"/>
    <w:rsid w:val="6D2F0B31"/>
    <w:rsid w:val="6D31091A"/>
    <w:rsid w:val="6D3B5307"/>
    <w:rsid w:val="6D4A0EB4"/>
    <w:rsid w:val="6D561607"/>
    <w:rsid w:val="6D731F85"/>
    <w:rsid w:val="6D76179F"/>
    <w:rsid w:val="6D793547"/>
    <w:rsid w:val="6D796477"/>
    <w:rsid w:val="6D7B769A"/>
    <w:rsid w:val="6D7D5FAF"/>
    <w:rsid w:val="6D7D683A"/>
    <w:rsid w:val="6D800726"/>
    <w:rsid w:val="6D8352B7"/>
    <w:rsid w:val="6D8369D4"/>
    <w:rsid w:val="6D873D9B"/>
    <w:rsid w:val="6D877A12"/>
    <w:rsid w:val="6D8C05DE"/>
    <w:rsid w:val="6D917B91"/>
    <w:rsid w:val="6D9C260C"/>
    <w:rsid w:val="6DA348DB"/>
    <w:rsid w:val="6DA5433C"/>
    <w:rsid w:val="6DAA462E"/>
    <w:rsid w:val="6DB225B5"/>
    <w:rsid w:val="6DB34098"/>
    <w:rsid w:val="6DB545B6"/>
    <w:rsid w:val="6DC101D7"/>
    <w:rsid w:val="6DC46D1B"/>
    <w:rsid w:val="6DC9002B"/>
    <w:rsid w:val="6DD644F6"/>
    <w:rsid w:val="6DE02FB4"/>
    <w:rsid w:val="6DE54739"/>
    <w:rsid w:val="6DEA1DD3"/>
    <w:rsid w:val="6E0F7A08"/>
    <w:rsid w:val="6E182D60"/>
    <w:rsid w:val="6E2E4332"/>
    <w:rsid w:val="6E34121C"/>
    <w:rsid w:val="6E363A57"/>
    <w:rsid w:val="6E386F5E"/>
    <w:rsid w:val="6E3D5DC5"/>
    <w:rsid w:val="6E423939"/>
    <w:rsid w:val="6E4A51F2"/>
    <w:rsid w:val="6E514CED"/>
    <w:rsid w:val="6E5A6DD8"/>
    <w:rsid w:val="6E677704"/>
    <w:rsid w:val="6E731403"/>
    <w:rsid w:val="6E781A51"/>
    <w:rsid w:val="6E82185F"/>
    <w:rsid w:val="6E87523F"/>
    <w:rsid w:val="6E8E4DD0"/>
    <w:rsid w:val="6E94647B"/>
    <w:rsid w:val="6E9543B1"/>
    <w:rsid w:val="6EA02017"/>
    <w:rsid w:val="6EA63EC8"/>
    <w:rsid w:val="6EB14883"/>
    <w:rsid w:val="6EB1640A"/>
    <w:rsid w:val="6EB563D5"/>
    <w:rsid w:val="6EC10D02"/>
    <w:rsid w:val="6EC6456A"/>
    <w:rsid w:val="6EC9405A"/>
    <w:rsid w:val="6ECC7B1F"/>
    <w:rsid w:val="6ED92677"/>
    <w:rsid w:val="6EDA40A2"/>
    <w:rsid w:val="6EE13152"/>
    <w:rsid w:val="6EE80984"/>
    <w:rsid w:val="6EF2535F"/>
    <w:rsid w:val="6EF94940"/>
    <w:rsid w:val="6EFC4430"/>
    <w:rsid w:val="6F0137F4"/>
    <w:rsid w:val="6F1057E5"/>
    <w:rsid w:val="6F155D42"/>
    <w:rsid w:val="6F1B4D31"/>
    <w:rsid w:val="6F225983"/>
    <w:rsid w:val="6F2C2621"/>
    <w:rsid w:val="6F2D66BB"/>
    <w:rsid w:val="6F31353D"/>
    <w:rsid w:val="6F433E0D"/>
    <w:rsid w:val="6F434AD7"/>
    <w:rsid w:val="6F466928"/>
    <w:rsid w:val="6F7834E2"/>
    <w:rsid w:val="6F7F4719"/>
    <w:rsid w:val="6F811452"/>
    <w:rsid w:val="6F81464B"/>
    <w:rsid w:val="6F844EE5"/>
    <w:rsid w:val="6F8A0689"/>
    <w:rsid w:val="6FA26D85"/>
    <w:rsid w:val="6FA65D1A"/>
    <w:rsid w:val="6FA77D85"/>
    <w:rsid w:val="6FB16FC8"/>
    <w:rsid w:val="6FB50A17"/>
    <w:rsid w:val="6FBD3BBF"/>
    <w:rsid w:val="6FC05EAD"/>
    <w:rsid w:val="6FCA45E1"/>
    <w:rsid w:val="6FD2174A"/>
    <w:rsid w:val="6FD81A6C"/>
    <w:rsid w:val="6FDB4A9C"/>
    <w:rsid w:val="6FE23626"/>
    <w:rsid w:val="6FE96534"/>
    <w:rsid w:val="6FEA7DC9"/>
    <w:rsid w:val="6FEC1DAE"/>
    <w:rsid w:val="6FFC5590"/>
    <w:rsid w:val="700166E1"/>
    <w:rsid w:val="700510C2"/>
    <w:rsid w:val="700C630D"/>
    <w:rsid w:val="70156D97"/>
    <w:rsid w:val="7016507D"/>
    <w:rsid w:val="701A2428"/>
    <w:rsid w:val="701B6B38"/>
    <w:rsid w:val="70214F0B"/>
    <w:rsid w:val="70252C98"/>
    <w:rsid w:val="702F681D"/>
    <w:rsid w:val="70450E43"/>
    <w:rsid w:val="70453800"/>
    <w:rsid w:val="7048559D"/>
    <w:rsid w:val="704936A5"/>
    <w:rsid w:val="704A6E4A"/>
    <w:rsid w:val="704F058F"/>
    <w:rsid w:val="70524B14"/>
    <w:rsid w:val="705938B2"/>
    <w:rsid w:val="705C4E52"/>
    <w:rsid w:val="706C7393"/>
    <w:rsid w:val="706D1DD0"/>
    <w:rsid w:val="70720886"/>
    <w:rsid w:val="70730637"/>
    <w:rsid w:val="70773A4E"/>
    <w:rsid w:val="70856B87"/>
    <w:rsid w:val="708E6BB9"/>
    <w:rsid w:val="70926EAF"/>
    <w:rsid w:val="709963B9"/>
    <w:rsid w:val="709B1538"/>
    <w:rsid w:val="70A27F6E"/>
    <w:rsid w:val="70A44F98"/>
    <w:rsid w:val="70B2665B"/>
    <w:rsid w:val="70C1148D"/>
    <w:rsid w:val="70CB230C"/>
    <w:rsid w:val="70D527EE"/>
    <w:rsid w:val="70DF011C"/>
    <w:rsid w:val="70F1368F"/>
    <w:rsid w:val="70F67B0C"/>
    <w:rsid w:val="710475CC"/>
    <w:rsid w:val="71063344"/>
    <w:rsid w:val="710B00FA"/>
    <w:rsid w:val="710B2708"/>
    <w:rsid w:val="711114E2"/>
    <w:rsid w:val="71176815"/>
    <w:rsid w:val="711D01E9"/>
    <w:rsid w:val="711D41EA"/>
    <w:rsid w:val="712B1F28"/>
    <w:rsid w:val="712D267F"/>
    <w:rsid w:val="71383F6F"/>
    <w:rsid w:val="713C6D66"/>
    <w:rsid w:val="713F57D9"/>
    <w:rsid w:val="71453E6C"/>
    <w:rsid w:val="71542301"/>
    <w:rsid w:val="7158024E"/>
    <w:rsid w:val="715B5300"/>
    <w:rsid w:val="715F2A54"/>
    <w:rsid w:val="715F3336"/>
    <w:rsid w:val="71663DE2"/>
    <w:rsid w:val="71736911"/>
    <w:rsid w:val="71741E28"/>
    <w:rsid w:val="717D6C3A"/>
    <w:rsid w:val="718937DD"/>
    <w:rsid w:val="718C2FFF"/>
    <w:rsid w:val="719721EE"/>
    <w:rsid w:val="71972B8A"/>
    <w:rsid w:val="71C1397E"/>
    <w:rsid w:val="71C1726B"/>
    <w:rsid w:val="71C4433F"/>
    <w:rsid w:val="71CA376C"/>
    <w:rsid w:val="71CB1579"/>
    <w:rsid w:val="71D27F8A"/>
    <w:rsid w:val="71D76A8E"/>
    <w:rsid w:val="71D91E4C"/>
    <w:rsid w:val="71ED758E"/>
    <w:rsid w:val="71F47640"/>
    <w:rsid w:val="71FC74D6"/>
    <w:rsid w:val="720E57B2"/>
    <w:rsid w:val="720F5AE6"/>
    <w:rsid w:val="72255A4C"/>
    <w:rsid w:val="72330169"/>
    <w:rsid w:val="72343EE1"/>
    <w:rsid w:val="72444124"/>
    <w:rsid w:val="724531FC"/>
    <w:rsid w:val="7249173A"/>
    <w:rsid w:val="72553024"/>
    <w:rsid w:val="72573F13"/>
    <w:rsid w:val="7259171E"/>
    <w:rsid w:val="725A3947"/>
    <w:rsid w:val="72606A84"/>
    <w:rsid w:val="72695938"/>
    <w:rsid w:val="7275721E"/>
    <w:rsid w:val="72783DCD"/>
    <w:rsid w:val="727E149A"/>
    <w:rsid w:val="728E1843"/>
    <w:rsid w:val="72930C07"/>
    <w:rsid w:val="729A3D44"/>
    <w:rsid w:val="729B5D0E"/>
    <w:rsid w:val="729D535F"/>
    <w:rsid w:val="72A66B8C"/>
    <w:rsid w:val="72A93F87"/>
    <w:rsid w:val="72B46450"/>
    <w:rsid w:val="72BB1F46"/>
    <w:rsid w:val="72BD08DB"/>
    <w:rsid w:val="72BF677A"/>
    <w:rsid w:val="72C00D29"/>
    <w:rsid w:val="72C97E60"/>
    <w:rsid w:val="72CE7E91"/>
    <w:rsid w:val="72D059B7"/>
    <w:rsid w:val="72E74272"/>
    <w:rsid w:val="72F22C9A"/>
    <w:rsid w:val="73010625"/>
    <w:rsid w:val="730B2698"/>
    <w:rsid w:val="73122968"/>
    <w:rsid w:val="731358A4"/>
    <w:rsid w:val="7314192A"/>
    <w:rsid w:val="73180C30"/>
    <w:rsid w:val="731B07A5"/>
    <w:rsid w:val="731F5D5E"/>
    <w:rsid w:val="73214252"/>
    <w:rsid w:val="732857F3"/>
    <w:rsid w:val="732C6762"/>
    <w:rsid w:val="732E0930"/>
    <w:rsid w:val="734B14E2"/>
    <w:rsid w:val="734D7008"/>
    <w:rsid w:val="735302A5"/>
    <w:rsid w:val="735C724B"/>
    <w:rsid w:val="735F6D3B"/>
    <w:rsid w:val="73770529"/>
    <w:rsid w:val="737A274D"/>
    <w:rsid w:val="737D35DF"/>
    <w:rsid w:val="73816CB2"/>
    <w:rsid w:val="7386251A"/>
    <w:rsid w:val="73876540"/>
    <w:rsid w:val="73974727"/>
    <w:rsid w:val="7399049F"/>
    <w:rsid w:val="73A274B8"/>
    <w:rsid w:val="73A34E7A"/>
    <w:rsid w:val="73A40CD3"/>
    <w:rsid w:val="73A81C78"/>
    <w:rsid w:val="73B9469D"/>
    <w:rsid w:val="73BE7F06"/>
    <w:rsid w:val="73C51AD5"/>
    <w:rsid w:val="73C67660"/>
    <w:rsid w:val="73D2046F"/>
    <w:rsid w:val="73E6120B"/>
    <w:rsid w:val="73EA4F0A"/>
    <w:rsid w:val="73FE0302"/>
    <w:rsid w:val="74026727"/>
    <w:rsid w:val="74072684"/>
    <w:rsid w:val="740873D5"/>
    <w:rsid w:val="740F5229"/>
    <w:rsid w:val="74133C4A"/>
    <w:rsid w:val="74185868"/>
    <w:rsid w:val="741A65D3"/>
    <w:rsid w:val="741D62AC"/>
    <w:rsid w:val="741E793C"/>
    <w:rsid w:val="74203D23"/>
    <w:rsid w:val="74260615"/>
    <w:rsid w:val="74373814"/>
    <w:rsid w:val="744F0B5E"/>
    <w:rsid w:val="74556815"/>
    <w:rsid w:val="74595327"/>
    <w:rsid w:val="745B5755"/>
    <w:rsid w:val="745D14CD"/>
    <w:rsid w:val="745E3944"/>
    <w:rsid w:val="74640701"/>
    <w:rsid w:val="7464565A"/>
    <w:rsid w:val="7472484C"/>
    <w:rsid w:val="74856C75"/>
    <w:rsid w:val="74891D9B"/>
    <w:rsid w:val="74895FBC"/>
    <w:rsid w:val="748A603A"/>
    <w:rsid w:val="748C6764"/>
    <w:rsid w:val="7497094F"/>
    <w:rsid w:val="74AF784E"/>
    <w:rsid w:val="74B10E38"/>
    <w:rsid w:val="74B3656E"/>
    <w:rsid w:val="74B44E65"/>
    <w:rsid w:val="74BB7176"/>
    <w:rsid w:val="74CA4688"/>
    <w:rsid w:val="74CE23CA"/>
    <w:rsid w:val="74D00AB5"/>
    <w:rsid w:val="74D2348D"/>
    <w:rsid w:val="74D27B77"/>
    <w:rsid w:val="74D94D26"/>
    <w:rsid w:val="74E13A0B"/>
    <w:rsid w:val="74E67714"/>
    <w:rsid w:val="74EA5E38"/>
    <w:rsid w:val="74F201B9"/>
    <w:rsid w:val="74F636CF"/>
    <w:rsid w:val="74F87672"/>
    <w:rsid w:val="74FD42BB"/>
    <w:rsid w:val="750758DC"/>
    <w:rsid w:val="750D391C"/>
    <w:rsid w:val="751029E3"/>
    <w:rsid w:val="7510705C"/>
    <w:rsid w:val="75127231"/>
    <w:rsid w:val="751853F4"/>
    <w:rsid w:val="751B3603"/>
    <w:rsid w:val="751B470E"/>
    <w:rsid w:val="753C46CD"/>
    <w:rsid w:val="753E7AC8"/>
    <w:rsid w:val="75434999"/>
    <w:rsid w:val="75463B3A"/>
    <w:rsid w:val="754B7571"/>
    <w:rsid w:val="754D7793"/>
    <w:rsid w:val="755C3532"/>
    <w:rsid w:val="75656A7A"/>
    <w:rsid w:val="75660855"/>
    <w:rsid w:val="756B3B07"/>
    <w:rsid w:val="756B594D"/>
    <w:rsid w:val="757E5B9F"/>
    <w:rsid w:val="757E77E7"/>
    <w:rsid w:val="757F36C5"/>
    <w:rsid w:val="75892283"/>
    <w:rsid w:val="75912E0D"/>
    <w:rsid w:val="75AC4804"/>
    <w:rsid w:val="75B71915"/>
    <w:rsid w:val="75BA4488"/>
    <w:rsid w:val="75BA690B"/>
    <w:rsid w:val="75BD18FC"/>
    <w:rsid w:val="75BE5737"/>
    <w:rsid w:val="75BF3AC1"/>
    <w:rsid w:val="75C63DB3"/>
    <w:rsid w:val="75CB4B5C"/>
    <w:rsid w:val="75D14319"/>
    <w:rsid w:val="75DC4F49"/>
    <w:rsid w:val="75E17EDC"/>
    <w:rsid w:val="75E60258"/>
    <w:rsid w:val="75E93EAD"/>
    <w:rsid w:val="75EC3CF1"/>
    <w:rsid w:val="75EC3F5F"/>
    <w:rsid w:val="75F13A43"/>
    <w:rsid w:val="75F47FF3"/>
    <w:rsid w:val="75FA2D4B"/>
    <w:rsid w:val="7601232C"/>
    <w:rsid w:val="760D4DCB"/>
    <w:rsid w:val="760D6F22"/>
    <w:rsid w:val="76124201"/>
    <w:rsid w:val="7612456C"/>
    <w:rsid w:val="76164029"/>
    <w:rsid w:val="761E0097"/>
    <w:rsid w:val="76277FE4"/>
    <w:rsid w:val="762A3631"/>
    <w:rsid w:val="762B1157"/>
    <w:rsid w:val="7635099D"/>
    <w:rsid w:val="76384882"/>
    <w:rsid w:val="76407FE1"/>
    <w:rsid w:val="765E152C"/>
    <w:rsid w:val="765F5AD2"/>
    <w:rsid w:val="7663540C"/>
    <w:rsid w:val="766F54E7"/>
    <w:rsid w:val="76786CD2"/>
    <w:rsid w:val="767D0609"/>
    <w:rsid w:val="768857E3"/>
    <w:rsid w:val="768D061C"/>
    <w:rsid w:val="76943AE5"/>
    <w:rsid w:val="76AC04E9"/>
    <w:rsid w:val="76B1267A"/>
    <w:rsid w:val="76B41880"/>
    <w:rsid w:val="76BD26F7"/>
    <w:rsid w:val="76C45833"/>
    <w:rsid w:val="76C54E87"/>
    <w:rsid w:val="76DF581C"/>
    <w:rsid w:val="76E12079"/>
    <w:rsid w:val="76F11985"/>
    <w:rsid w:val="76F66EF5"/>
    <w:rsid w:val="77021F32"/>
    <w:rsid w:val="770420D4"/>
    <w:rsid w:val="77057F48"/>
    <w:rsid w:val="77060D1D"/>
    <w:rsid w:val="7706182A"/>
    <w:rsid w:val="77065D6D"/>
    <w:rsid w:val="77130235"/>
    <w:rsid w:val="77185B7F"/>
    <w:rsid w:val="771A36A5"/>
    <w:rsid w:val="771C242B"/>
    <w:rsid w:val="772B3424"/>
    <w:rsid w:val="77320B63"/>
    <w:rsid w:val="77334767"/>
    <w:rsid w:val="773607AE"/>
    <w:rsid w:val="77401A91"/>
    <w:rsid w:val="77440722"/>
    <w:rsid w:val="775552F7"/>
    <w:rsid w:val="77586D58"/>
    <w:rsid w:val="77610BA7"/>
    <w:rsid w:val="77762421"/>
    <w:rsid w:val="7777221F"/>
    <w:rsid w:val="778B4487"/>
    <w:rsid w:val="77932EEF"/>
    <w:rsid w:val="779D4EE5"/>
    <w:rsid w:val="779F34E2"/>
    <w:rsid w:val="77AA42EB"/>
    <w:rsid w:val="77AB1CE2"/>
    <w:rsid w:val="77B56B1F"/>
    <w:rsid w:val="77B70EF4"/>
    <w:rsid w:val="77C43C97"/>
    <w:rsid w:val="77C7ED3D"/>
    <w:rsid w:val="77E01473"/>
    <w:rsid w:val="77ED700C"/>
    <w:rsid w:val="77F04406"/>
    <w:rsid w:val="77F04FBF"/>
    <w:rsid w:val="77F35CA4"/>
    <w:rsid w:val="7800399B"/>
    <w:rsid w:val="78051F90"/>
    <w:rsid w:val="78093CFF"/>
    <w:rsid w:val="780C61B7"/>
    <w:rsid w:val="780F09F4"/>
    <w:rsid w:val="78112CFA"/>
    <w:rsid w:val="78192BDF"/>
    <w:rsid w:val="781A6563"/>
    <w:rsid w:val="78346A52"/>
    <w:rsid w:val="78377641"/>
    <w:rsid w:val="783E765A"/>
    <w:rsid w:val="78436C2C"/>
    <w:rsid w:val="784C2DFC"/>
    <w:rsid w:val="786066F1"/>
    <w:rsid w:val="78687CC4"/>
    <w:rsid w:val="786D76B6"/>
    <w:rsid w:val="78727511"/>
    <w:rsid w:val="78785895"/>
    <w:rsid w:val="7883527A"/>
    <w:rsid w:val="788A485A"/>
    <w:rsid w:val="78927089"/>
    <w:rsid w:val="78A53CD3"/>
    <w:rsid w:val="78A90480"/>
    <w:rsid w:val="78BB6390"/>
    <w:rsid w:val="78C7785D"/>
    <w:rsid w:val="78C95383"/>
    <w:rsid w:val="78DB3420"/>
    <w:rsid w:val="78F87A16"/>
    <w:rsid w:val="79001A80"/>
    <w:rsid w:val="79013AEE"/>
    <w:rsid w:val="790A7749"/>
    <w:rsid w:val="791918C5"/>
    <w:rsid w:val="791B089A"/>
    <w:rsid w:val="791C556F"/>
    <w:rsid w:val="791D47A0"/>
    <w:rsid w:val="79257A79"/>
    <w:rsid w:val="792F0192"/>
    <w:rsid w:val="793D18CD"/>
    <w:rsid w:val="793F5645"/>
    <w:rsid w:val="79420C91"/>
    <w:rsid w:val="79507852"/>
    <w:rsid w:val="795A6ACA"/>
    <w:rsid w:val="795D1F6F"/>
    <w:rsid w:val="795F6361"/>
    <w:rsid w:val="796A32C0"/>
    <w:rsid w:val="796F1C13"/>
    <w:rsid w:val="798826C5"/>
    <w:rsid w:val="798E3ED6"/>
    <w:rsid w:val="7991107F"/>
    <w:rsid w:val="799C15DD"/>
    <w:rsid w:val="79AB33F3"/>
    <w:rsid w:val="79AC16A8"/>
    <w:rsid w:val="79BD47BC"/>
    <w:rsid w:val="79BE058A"/>
    <w:rsid w:val="79C4251B"/>
    <w:rsid w:val="79CB6F46"/>
    <w:rsid w:val="79CD3171"/>
    <w:rsid w:val="79CF379C"/>
    <w:rsid w:val="79D639A3"/>
    <w:rsid w:val="79DD6C0C"/>
    <w:rsid w:val="79E166FC"/>
    <w:rsid w:val="79E5228B"/>
    <w:rsid w:val="79E61F64"/>
    <w:rsid w:val="79FE33F6"/>
    <w:rsid w:val="7A205476"/>
    <w:rsid w:val="7A2849FF"/>
    <w:rsid w:val="7A364017"/>
    <w:rsid w:val="7A394C16"/>
    <w:rsid w:val="7A3A4AB5"/>
    <w:rsid w:val="7A3E58FC"/>
    <w:rsid w:val="7A435828"/>
    <w:rsid w:val="7A4F18B8"/>
    <w:rsid w:val="7A504014"/>
    <w:rsid w:val="7A541AD7"/>
    <w:rsid w:val="7A57076C"/>
    <w:rsid w:val="7A5E5F9F"/>
    <w:rsid w:val="7A6510DB"/>
    <w:rsid w:val="7A664E53"/>
    <w:rsid w:val="7A667697"/>
    <w:rsid w:val="7A692114"/>
    <w:rsid w:val="7A6A4943"/>
    <w:rsid w:val="7A793AF9"/>
    <w:rsid w:val="7A8265E1"/>
    <w:rsid w:val="7A84390D"/>
    <w:rsid w:val="7A8552D9"/>
    <w:rsid w:val="7A862E00"/>
    <w:rsid w:val="7A875976"/>
    <w:rsid w:val="7A8760AF"/>
    <w:rsid w:val="7AA75DA7"/>
    <w:rsid w:val="7ABC4A73"/>
    <w:rsid w:val="7AC9589F"/>
    <w:rsid w:val="7AED10D1"/>
    <w:rsid w:val="7AF74707"/>
    <w:rsid w:val="7B0211D2"/>
    <w:rsid w:val="7B0E1591"/>
    <w:rsid w:val="7B160627"/>
    <w:rsid w:val="7B1B5C3E"/>
    <w:rsid w:val="7B1C52F6"/>
    <w:rsid w:val="7B2B0E32"/>
    <w:rsid w:val="7B2F16E9"/>
    <w:rsid w:val="7B302B34"/>
    <w:rsid w:val="7B325A32"/>
    <w:rsid w:val="7B3B4FD9"/>
    <w:rsid w:val="7B3F069E"/>
    <w:rsid w:val="7B3F7C8B"/>
    <w:rsid w:val="7B66335D"/>
    <w:rsid w:val="7B686D42"/>
    <w:rsid w:val="7B7339E4"/>
    <w:rsid w:val="7B7A401C"/>
    <w:rsid w:val="7B7B4727"/>
    <w:rsid w:val="7B7D0930"/>
    <w:rsid w:val="7B841746"/>
    <w:rsid w:val="7B8637EC"/>
    <w:rsid w:val="7B87299F"/>
    <w:rsid w:val="7B8C2698"/>
    <w:rsid w:val="7B8E01BE"/>
    <w:rsid w:val="7B95779E"/>
    <w:rsid w:val="7BA774D1"/>
    <w:rsid w:val="7BAD61AB"/>
    <w:rsid w:val="7BB126B3"/>
    <w:rsid w:val="7BB5399C"/>
    <w:rsid w:val="7BBF55AB"/>
    <w:rsid w:val="7BC76270"/>
    <w:rsid w:val="7BC9569A"/>
    <w:rsid w:val="7BD52290"/>
    <w:rsid w:val="7BDD00F3"/>
    <w:rsid w:val="7BE3278D"/>
    <w:rsid w:val="7BEC1388"/>
    <w:rsid w:val="7BEC3136"/>
    <w:rsid w:val="7BEE5100"/>
    <w:rsid w:val="7BF24BF0"/>
    <w:rsid w:val="7BF30969"/>
    <w:rsid w:val="7BF546E1"/>
    <w:rsid w:val="7BFD5343"/>
    <w:rsid w:val="7C001142"/>
    <w:rsid w:val="7C093CE8"/>
    <w:rsid w:val="7C0A429E"/>
    <w:rsid w:val="7C0D1A2A"/>
    <w:rsid w:val="7C192873"/>
    <w:rsid w:val="7C1A5EF5"/>
    <w:rsid w:val="7C2C7358"/>
    <w:rsid w:val="7C2E0F13"/>
    <w:rsid w:val="7C330D65"/>
    <w:rsid w:val="7C39281F"/>
    <w:rsid w:val="7C466CEA"/>
    <w:rsid w:val="7C492337"/>
    <w:rsid w:val="7C4D0079"/>
    <w:rsid w:val="7C5533D1"/>
    <w:rsid w:val="7C597A9A"/>
    <w:rsid w:val="7C5F7DAC"/>
    <w:rsid w:val="7C6333F8"/>
    <w:rsid w:val="7C6C5AC7"/>
    <w:rsid w:val="7C727D6A"/>
    <w:rsid w:val="7C741AA9"/>
    <w:rsid w:val="7C7750F6"/>
    <w:rsid w:val="7C7955CC"/>
    <w:rsid w:val="7C831CEC"/>
    <w:rsid w:val="7C887303"/>
    <w:rsid w:val="7C8D4919"/>
    <w:rsid w:val="7C92747F"/>
    <w:rsid w:val="7CA72DE8"/>
    <w:rsid w:val="7CB42FA4"/>
    <w:rsid w:val="7CBA4FE2"/>
    <w:rsid w:val="7CC17274"/>
    <w:rsid w:val="7CC52305"/>
    <w:rsid w:val="7CC6544B"/>
    <w:rsid w:val="7CD73DE6"/>
    <w:rsid w:val="7CD76B5A"/>
    <w:rsid w:val="7CD9190C"/>
    <w:rsid w:val="7CE54755"/>
    <w:rsid w:val="7CE56CE9"/>
    <w:rsid w:val="7CE92D02"/>
    <w:rsid w:val="7CEC50AB"/>
    <w:rsid w:val="7CF46746"/>
    <w:rsid w:val="7CF95827"/>
    <w:rsid w:val="7CFA6357"/>
    <w:rsid w:val="7CFE660F"/>
    <w:rsid w:val="7D0239F4"/>
    <w:rsid w:val="7D0239FF"/>
    <w:rsid w:val="7D0A7D18"/>
    <w:rsid w:val="7D0F22BD"/>
    <w:rsid w:val="7D2A409D"/>
    <w:rsid w:val="7D2F7EC4"/>
    <w:rsid w:val="7D344D95"/>
    <w:rsid w:val="7D366E44"/>
    <w:rsid w:val="7D3A30FB"/>
    <w:rsid w:val="7D3E12A7"/>
    <w:rsid w:val="7D400AB3"/>
    <w:rsid w:val="7D481084"/>
    <w:rsid w:val="7D482C94"/>
    <w:rsid w:val="7D575086"/>
    <w:rsid w:val="7D5B4A17"/>
    <w:rsid w:val="7D5E40CD"/>
    <w:rsid w:val="7D6A0A90"/>
    <w:rsid w:val="7D72268E"/>
    <w:rsid w:val="7D7B0C16"/>
    <w:rsid w:val="7D891584"/>
    <w:rsid w:val="7D8B7E56"/>
    <w:rsid w:val="7D8F7E0C"/>
    <w:rsid w:val="7D944D70"/>
    <w:rsid w:val="7D957F29"/>
    <w:rsid w:val="7D9C12B8"/>
    <w:rsid w:val="7D9E1DB5"/>
    <w:rsid w:val="7DA8331F"/>
    <w:rsid w:val="7DB639FC"/>
    <w:rsid w:val="7DBB54B6"/>
    <w:rsid w:val="7DBB7264"/>
    <w:rsid w:val="7DBD4D8A"/>
    <w:rsid w:val="7DBE709B"/>
    <w:rsid w:val="7DC3176B"/>
    <w:rsid w:val="7DC3217B"/>
    <w:rsid w:val="7DC97BD3"/>
    <w:rsid w:val="7DCD56F2"/>
    <w:rsid w:val="7DCD6D23"/>
    <w:rsid w:val="7DD722F0"/>
    <w:rsid w:val="7DDC6BD6"/>
    <w:rsid w:val="7DED735C"/>
    <w:rsid w:val="7DF07802"/>
    <w:rsid w:val="7DF34C50"/>
    <w:rsid w:val="7DF54524"/>
    <w:rsid w:val="7DF6632D"/>
    <w:rsid w:val="7DFB4C16"/>
    <w:rsid w:val="7DFF0D42"/>
    <w:rsid w:val="7E05177A"/>
    <w:rsid w:val="7E062059"/>
    <w:rsid w:val="7E0D57B3"/>
    <w:rsid w:val="7E13767C"/>
    <w:rsid w:val="7E1B7841"/>
    <w:rsid w:val="7E2679B6"/>
    <w:rsid w:val="7E385C82"/>
    <w:rsid w:val="7E4B683A"/>
    <w:rsid w:val="7E686C9A"/>
    <w:rsid w:val="7E6F3965"/>
    <w:rsid w:val="7E740531"/>
    <w:rsid w:val="7E7D3BCC"/>
    <w:rsid w:val="7E893DB0"/>
    <w:rsid w:val="7E8E610F"/>
    <w:rsid w:val="7E9036AC"/>
    <w:rsid w:val="7E924469"/>
    <w:rsid w:val="7E9957F7"/>
    <w:rsid w:val="7EA01E27"/>
    <w:rsid w:val="7EAC26D6"/>
    <w:rsid w:val="7EAD4449"/>
    <w:rsid w:val="7EC62175"/>
    <w:rsid w:val="7EC727FA"/>
    <w:rsid w:val="7ECB151B"/>
    <w:rsid w:val="7ED20D09"/>
    <w:rsid w:val="7ED700CE"/>
    <w:rsid w:val="7ED92098"/>
    <w:rsid w:val="7EDC7492"/>
    <w:rsid w:val="7EDE320A"/>
    <w:rsid w:val="7EE78E16"/>
    <w:rsid w:val="7EE912B4"/>
    <w:rsid w:val="7EEC75F6"/>
    <w:rsid w:val="7EF13B6B"/>
    <w:rsid w:val="7F001CE7"/>
    <w:rsid w:val="7F0458EA"/>
    <w:rsid w:val="7F1D1FE2"/>
    <w:rsid w:val="7F25708B"/>
    <w:rsid w:val="7F2A46A1"/>
    <w:rsid w:val="7F3513BB"/>
    <w:rsid w:val="7F427C3D"/>
    <w:rsid w:val="7F450D2C"/>
    <w:rsid w:val="7F484B27"/>
    <w:rsid w:val="7F492B03"/>
    <w:rsid w:val="7F4A6AF1"/>
    <w:rsid w:val="7F637BB3"/>
    <w:rsid w:val="7F743B6E"/>
    <w:rsid w:val="7F74591C"/>
    <w:rsid w:val="7F7D2D82"/>
    <w:rsid w:val="7F836FE0"/>
    <w:rsid w:val="7F8A2212"/>
    <w:rsid w:val="7F8A747C"/>
    <w:rsid w:val="7FA36202"/>
    <w:rsid w:val="7FC56178"/>
    <w:rsid w:val="7FCE14D1"/>
    <w:rsid w:val="7FD665D7"/>
    <w:rsid w:val="7FD85EAB"/>
    <w:rsid w:val="7FDD7966"/>
    <w:rsid w:val="7FE231CE"/>
    <w:rsid w:val="7FE47E50"/>
    <w:rsid w:val="7FEA160C"/>
    <w:rsid w:val="7FF37D36"/>
    <w:rsid w:val="7FF83459"/>
    <w:rsid w:val="A7FD5ED3"/>
    <w:rsid w:val="DFF4C616"/>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qFormat="1"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link w:val="89"/>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unhideWhenUsed/>
    <w:qFormat/>
    <w:locked/>
    <w:uiPriority w:val="0"/>
    <w:pPr>
      <w:keepNext/>
      <w:keepLines/>
      <w:spacing w:before="50" w:beforeLines="50" w:after="50" w:afterLines="50"/>
      <w:ind w:firstLine="0" w:firstLineChars="0"/>
      <w:outlineLvl w:val="1"/>
    </w:pPr>
    <w:rPr>
      <w:rFonts w:ascii="Times New Roman" w:hAnsi="Times New Roman" w:eastAsia="黑体" w:cstheme="minorBidi"/>
      <w:sz w:val="28"/>
      <w:szCs w:val="28"/>
    </w:rPr>
  </w:style>
  <w:style w:type="paragraph" w:styleId="5">
    <w:name w:val="heading 4"/>
    <w:basedOn w:val="1"/>
    <w:next w:val="1"/>
    <w:qFormat/>
    <w:locked/>
    <w:uiPriority w:val="0"/>
    <w:pPr>
      <w:keepNext/>
      <w:keepLines/>
      <w:spacing w:before="100" w:beforeLines="0" w:after="100" w:afterLines="0" w:line="377" w:lineRule="auto"/>
      <w:ind w:firstLine="766" w:firstLineChars="200"/>
      <w:outlineLvl w:val="3"/>
    </w:pPr>
    <w:rPr>
      <w:rFonts w:ascii="Arial" w:hAnsi="Arial" w:eastAsia="黑体"/>
      <w:b/>
      <w:bCs/>
      <w:szCs w:val="28"/>
    </w:rPr>
  </w:style>
  <w:style w:type="character" w:default="1" w:styleId="33">
    <w:name w:val="Default Paragraph Font"/>
    <w:semiHidden/>
    <w:qFormat/>
    <w:uiPriority w:val="0"/>
  </w:style>
  <w:style w:type="table" w:default="1" w:styleId="31">
    <w:name w:val="Normal Table"/>
    <w:semiHidden/>
    <w:qFormat/>
    <w:uiPriority w:val="0"/>
    <w:tblPr>
      <w:tblCellMar>
        <w:top w:w="0" w:type="dxa"/>
        <w:left w:w="108" w:type="dxa"/>
        <w:bottom w:w="0" w:type="dxa"/>
        <w:right w:w="108" w:type="dxa"/>
      </w:tblCellMar>
    </w:tblPr>
  </w:style>
  <w:style w:type="paragraph" w:styleId="2">
    <w:name w:val="Body Text Indent 2"/>
    <w:basedOn w:val="1"/>
    <w:qFormat/>
    <w:locked/>
    <w:uiPriority w:val="0"/>
    <w:pPr>
      <w:spacing w:before="120" w:beforeLines="0" w:line="360" w:lineRule="auto"/>
      <w:ind w:firstLine="567"/>
    </w:pPr>
    <w:rPr>
      <w:rFonts w:eastAsia="楷体_GB2312"/>
      <w:sz w:val="28"/>
      <w:szCs w:val="20"/>
    </w:rPr>
  </w:style>
  <w:style w:type="paragraph" w:styleId="6">
    <w:name w:val="table of authorities"/>
    <w:basedOn w:val="1"/>
    <w:next w:val="1"/>
    <w:qFormat/>
    <w:locked/>
    <w:uiPriority w:val="0"/>
    <w:pPr>
      <w:spacing w:line="360" w:lineRule="auto"/>
      <w:ind w:left="420" w:leftChars="200" w:firstLine="640" w:firstLineChars="200"/>
    </w:pPr>
    <w:rPr>
      <w:sz w:val="24"/>
      <w:szCs w:val="24"/>
    </w:rPr>
  </w:style>
  <w:style w:type="paragraph" w:styleId="7">
    <w:name w:val="Normal Indent"/>
    <w:basedOn w:val="1"/>
    <w:next w:val="5"/>
    <w:qFormat/>
    <w:locked/>
    <w:uiPriority w:val="0"/>
    <w:pPr>
      <w:spacing w:line="520" w:lineRule="exact"/>
      <w:ind w:firstLine="624"/>
    </w:pPr>
    <w:rPr>
      <w:sz w:val="28"/>
    </w:rPr>
  </w:style>
  <w:style w:type="paragraph" w:styleId="8">
    <w:name w:val="caption"/>
    <w:basedOn w:val="1"/>
    <w:next w:val="1"/>
    <w:unhideWhenUsed/>
    <w:qFormat/>
    <w:locked/>
    <w:uiPriority w:val="0"/>
    <w:rPr>
      <w:rFonts w:ascii="Cambria" w:hAnsi="Cambria" w:eastAsia="黑体"/>
      <w:sz w:val="20"/>
    </w:rPr>
  </w:style>
  <w:style w:type="paragraph" w:styleId="9">
    <w:name w:val="annotation text"/>
    <w:basedOn w:val="1"/>
    <w:next w:val="10"/>
    <w:link w:val="46"/>
    <w:semiHidden/>
    <w:qFormat/>
    <w:uiPriority w:val="0"/>
    <w:pPr>
      <w:jc w:val="left"/>
    </w:pPr>
    <w:rPr>
      <w:kern w:val="0"/>
      <w:sz w:val="24"/>
      <w:szCs w:val="20"/>
    </w:rPr>
  </w:style>
  <w:style w:type="paragraph" w:styleId="10">
    <w:name w:val="toc 5"/>
    <w:basedOn w:val="1"/>
    <w:next w:val="1"/>
    <w:qFormat/>
    <w:locked/>
    <w:uiPriority w:val="0"/>
    <w:pPr>
      <w:ind w:left="1680"/>
    </w:pPr>
  </w:style>
  <w:style w:type="paragraph" w:styleId="11">
    <w:name w:val="Body Text 3"/>
    <w:basedOn w:val="1"/>
    <w:qFormat/>
    <w:locked/>
    <w:uiPriority w:val="0"/>
    <w:rPr>
      <w:rFonts w:ascii="仿宋_GB2312" w:eastAsia="仿宋_GB2312"/>
      <w:sz w:val="24"/>
      <w:szCs w:val="20"/>
    </w:rPr>
  </w:style>
  <w:style w:type="paragraph" w:styleId="12">
    <w:name w:val="Body Text"/>
    <w:basedOn w:val="1"/>
    <w:next w:val="1"/>
    <w:link w:val="45"/>
    <w:qFormat/>
    <w:uiPriority w:val="0"/>
    <w:pPr>
      <w:widowControl/>
      <w:snapToGrid w:val="0"/>
      <w:spacing w:before="60" w:after="160" w:line="259" w:lineRule="auto"/>
      <w:ind w:right="113"/>
    </w:pPr>
    <w:rPr>
      <w:kern w:val="0"/>
      <w:sz w:val="18"/>
      <w:szCs w:val="20"/>
    </w:rPr>
  </w:style>
  <w:style w:type="paragraph" w:styleId="13">
    <w:name w:val="Body Text Indent"/>
    <w:basedOn w:val="1"/>
    <w:next w:val="14"/>
    <w:link w:val="47"/>
    <w:qFormat/>
    <w:uiPriority w:val="0"/>
    <w:pPr>
      <w:spacing w:after="120"/>
      <w:ind w:left="420" w:leftChars="200"/>
    </w:pPr>
    <w:rPr>
      <w:kern w:val="0"/>
      <w:sz w:val="24"/>
      <w:szCs w:val="20"/>
    </w:rPr>
  </w:style>
  <w:style w:type="paragraph" w:styleId="14">
    <w:name w:val="header"/>
    <w:basedOn w:val="1"/>
    <w:next w:val="15"/>
    <w:link w:val="51"/>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5">
    <w:name w:val="样式5"/>
    <w:basedOn w:val="12"/>
    <w:autoRedefine/>
    <w:unhideWhenUsed/>
    <w:qFormat/>
    <w:uiPriority w:val="0"/>
    <w:pPr>
      <w:spacing w:beforeLines="0" w:afterLines="0" w:line="380" w:lineRule="exact"/>
      <w:ind w:firstLine="566" w:firstLineChars="202"/>
    </w:pPr>
    <w:rPr>
      <w:rFonts w:hint="default" w:eastAsia="华文行楷"/>
      <w:sz w:val="28"/>
      <w:szCs w:val="24"/>
    </w:rPr>
  </w:style>
  <w:style w:type="paragraph" w:styleId="16">
    <w:name w:val="Block Text"/>
    <w:qFormat/>
    <w:locked/>
    <w:uiPriority w:val="0"/>
    <w:pPr>
      <w:widowControl w:val="0"/>
      <w:spacing w:after="120"/>
      <w:ind w:left="1440" w:leftChars="700" w:right="1440" w:rightChars="700"/>
      <w:jc w:val="both"/>
    </w:pPr>
    <w:rPr>
      <w:rFonts w:ascii="Times New Roman" w:hAnsi="Times New Roman" w:eastAsia="宋体" w:cs="Times New Roman"/>
      <w:kern w:val="2"/>
      <w:sz w:val="21"/>
      <w:szCs w:val="24"/>
      <w:lang w:val="en-US" w:eastAsia="zh-CN" w:bidi="ar-SA"/>
    </w:rPr>
  </w:style>
  <w:style w:type="paragraph" w:styleId="17">
    <w:name w:val="Plain Text"/>
    <w:basedOn w:val="1"/>
    <w:next w:val="1"/>
    <w:qFormat/>
    <w:locked/>
    <w:uiPriority w:val="0"/>
    <w:rPr>
      <w:rFonts w:ascii="宋体" w:hAnsi="Courier New" w:cs="Courier New"/>
      <w:szCs w:val="21"/>
    </w:rPr>
  </w:style>
  <w:style w:type="paragraph" w:styleId="18">
    <w:name w:val="List Bullet 5"/>
    <w:basedOn w:val="1"/>
    <w:qFormat/>
    <w:locked/>
    <w:uiPriority w:val="0"/>
    <w:pPr>
      <w:numPr>
        <w:ilvl w:val="0"/>
        <w:numId w:val="1"/>
      </w:numPr>
    </w:pPr>
  </w:style>
  <w:style w:type="paragraph" w:styleId="19">
    <w:name w:val="Date"/>
    <w:basedOn w:val="1"/>
    <w:next w:val="1"/>
    <w:link w:val="48"/>
    <w:qFormat/>
    <w:uiPriority w:val="0"/>
    <w:pPr>
      <w:ind w:left="100" w:leftChars="2500"/>
    </w:pPr>
    <w:rPr>
      <w:kern w:val="0"/>
      <w:sz w:val="24"/>
      <w:szCs w:val="20"/>
    </w:rPr>
  </w:style>
  <w:style w:type="paragraph" w:styleId="20">
    <w:name w:val="Balloon Text"/>
    <w:basedOn w:val="1"/>
    <w:link w:val="49"/>
    <w:semiHidden/>
    <w:qFormat/>
    <w:uiPriority w:val="0"/>
    <w:rPr>
      <w:kern w:val="0"/>
      <w:sz w:val="18"/>
      <w:szCs w:val="20"/>
    </w:rPr>
  </w:style>
  <w:style w:type="paragraph" w:styleId="21">
    <w:name w:val="footer"/>
    <w:basedOn w:val="1"/>
    <w:link w:val="50"/>
    <w:qFormat/>
    <w:uiPriority w:val="99"/>
    <w:pPr>
      <w:tabs>
        <w:tab w:val="center" w:pos="4153"/>
        <w:tab w:val="right" w:pos="8306"/>
      </w:tabs>
      <w:snapToGrid w:val="0"/>
      <w:jc w:val="left"/>
    </w:pPr>
    <w:rPr>
      <w:kern w:val="0"/>
      <w:sz w:val="18"/>
      <w:szCs w:val="20"/>
    </w:rPr>
  </w:style>
  <w:style w:type="paragraph" w:styleId="22">
    <w:name w:val="toc 1"/>
    <w:basedOn w:val="1"/>
    <w:next w:val="1"/>
    <w:qFormat/>
    <w:locked/>
    <w:uiPriority w:val="39"/>
    <w:pPr>
      <w:tabs>
        <w:tab w:val="right" w:leader="hyphen" w:pos="9060"/>
      </w:tabs>
    </w:pPr>
  </w:style>
  <w:style w:type="paragraph" w:styleId="23">
    <w:name w:val="toc 2"/>
    <w:basedOn w:val="1"/>
    <w:next w:val="1"/>
    <w:qFormat/>
    <w:locked/>
    <w:uiPriority w:val="0"/>
    <w:pPr>
      <w:ind w:left="420" w:leftChars="200"/>
    </w:pPr>
  </w:style>
  <w:style w:type="paragraph" w:styleId="24">
    <w:name w:val="Body Text 2"/>
    <w:basedOn w:val="1"/>
    <w:qFormat/>
    <w:locked/>
    <w:uiPriority w:val="0"/>
    <w:pPr>
      <w:spacing w:before="120" w:beforeLines="0" w:line="312" w:lineRule="auto"/>
    </w:pPr>
    <w:rPr>
      <w:rFonts w:ascii="楷体_GB2312" w:eastAsia="楷体_GB2312"/>
      <w:b/>
      <w:sz w:val="28"/>
      <w:szCs w:val="20"/>
    </w:rPr>
  </w:style>
  <w:style w:type="paragraph" w:styleId="25">
    <w:name w:val="Message Header"/>
    <w:basedOn w:val="1"/>
    <w:qFormat/>
    <w:locked/>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26">
    <w:name w:val="HTML Preformatted"/>
    <w:basedOn w:val="1"/>
    <w:qFormat/>
    <w:locked/>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7">
    <w:name w:val="Normal (Web)"/>
    <w:basedOn w:val="1"/>
    <w:link w:val="52"/>
    <w:qFormat/>
    <w:uiPriority w:val="0"/>
    <w:pPr>
      <w:widowControl/>
      <w:spacing w:before="100" w:beforeAutospacing="1" w:after="100" w:afterAutospacing="1"/>
      <w:jc w:val="left"/>
    </w:pPr>
    <w:rPr>
      <w:rFonts w:ascii="宋体" w:hAnsi="宋体"/>
      <w:kern w:val="0"/>
      <w:sz w:val="24"/>
      <w:szCs w:val="20"/>
    </w:rPr>
  </w:style>
  <w:style w:type="paragraph" w:styleId="28">
    <w:name w:val="annotation subject"/>
    <w:basedOn w:val="9"/>
    <w:next w:val="9"/>
    <w:link w:val="53"/>
    <w:semiHidden/>
    <w:qFormat/>
    <w:uiPriority w:val="0"/>
    <w:rPr>
      <w:b/>
      <w:sz w:val="24"/>
      <w:szCs w:val="20"/>
    </w:rPr>
  </w:style>
  <w:style w:type="paragraph" w:styleId="29">
    <w:name w:val="Body Text First Indent"/>
    <w:basedOn w:val="12"/>
    <w:next w:val="1"/>
    <w:qFormat/>
    <w:locked/>
    <w:uiPriority w:val="0"/>
    <w:pPr>
      <w:ind w:firstLine="420" w:firstLineChars="100"/>
    </w:pPr>
  </w:style>
  <w:style w:type="paragraph" w:styleId="30">
    <w:name w:val="Body Text First Indent 2"/>
    <w:basedOn w:val="13"/>
    <w:next w:val="1"/>
    <w:qFormat/>
    <w:locked/>
    <w:uiPriority w:val="0"/>
    <w:pPr>
      <w:tabs>
        <w:tab w:val="left" w:pos="420"/>
        <w:tab w:val="left" w:pos="870"/>
        <w:tab w:val="left" w:pos="3150"/>
      </w:tabs>
      <w:autoSpaceDE w:val="0"/>
      <w:autoSpaceDN w:val="0"/>
      <w:adjustRightInd w:val="0"/>
      <w:spacing w:before="60" w:beforeLines="25" w:line="336" w:lineRule="auto"/>
      <w:ind w:firstLine="527"/>
      <w:textAlignment w:val="baseline"/>
    </w:pPr>
    <w:rPr>
      <w:rFonts w:ascii="宋体"/>
      <w:sz w:val="24"/>
      <w:szCs w:val="28"/>
    </w:rPr>
  </w:style>
  <w:style w:type="table" w:styleId="32">
    <w:name w:val="Table Grid"/>
    <w:basedOn w:val="31"/>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basedOn w:val="33"/>
    <w:qFormat/>
    <w:locked/>
    <w:uiPriority w:val="0"/>
    <w:rPr>
      <w:b/>
    </w:rPr>
  </w:style>
  <w:style w:type="character" w:styleId="35">
    <w:name w:val="page number"/>
    <w:basedOn w:val="33"/>
    <w:qFormat/>
    <w:locked/>
    <w:uiPriority w:val="0"/>
  </w:style>
  <w:style w:type="character" w:styleId="36">
    <w:name w:val="Hyperlink"/>
    <w:basedOn w:val="33"/>
    <w:qFormat/>
    <w:locked/>
    <w:uiPriority w:val="0"/>
    <w:rPr>
      <w:color w:val="333333"/>
      <w:u w:val="single"/>
    </w:rPr>
  </w:style>
  <w:style w:type="character" w:styleId="37">
    <w:name w:val="annotation reference"/>
    <w:semiHidden/>
    <w:qFormat/>
    <w:uiPriority w:val="0"/>
    <w:rPr>
      <w:sz w:val="21"/>
    </w:rPr>
  </w:style>
  <w:style w:type="paragraph" w:customStyle="1" w:styleId="38">
    <w:name w:val="Default"/>
    <w:basedOn w:val="39"/>
    <w:next w:val="40"/>
    <w:qFormat/>
    <w:uiPriority w:val="99"/>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9">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0">
    <w:name w:val="正文文字1"/>
    <w:basedOn w:val="1"/>
    <w:autoRedefine/>
    <w:qFormat/>
    <w:uiPriority w:val="0"/>
    <w:pPr>
      <w:spacing w:line="360" w:lineRule="auto"/>
      <w:ind w:firstLine="200" w:firstLineChars="200"/>
    </w:pPr>
    <w:rPr>
      <w:rFonts w:eastAsia="仿宋_GB2312"/>
      <w:sz w:val="32"/>
      <w:szCs w:val="20"/>
    </w:rPr>
  </w:style>
  <w:style w:type="paragraph" w:customStyle="1" w:styleId="41">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42">
    <w:name w:val="BodyText"/>
    <w:basedOn w:val="1"/>
    <w:qFormat/>
    <w:uiPriority w:val="0"/>
    <w:pPr>
      <w:spacing w:after="120"/>
      <w:jc w:val="both"/>
      <w:textAlignment w:val="baseline"/>
    </w:pPr>
  </w:style>
  <w:style w:type="paragraph" w:customStyle="1" w:styleId="43">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44">
    <w:name w:val="样式 正文首行缩进 + 首行缩进:  2 字符1"/>
    <w:basedOn w:val="29"/>
    <w:next w:val="22"/>
    <w:qFormat/>
    <w:uiPriority w:val="0"/>
    <w:pPr>
      <w:spacing w:after="0" w:line="360" w:lineRule="auto"/>
      <w:ind w:firstLine="480" w:firstLineChars="200"/>
    </w:pPr>
    <w:rPr>
      <w:sz w:val="24"/>
      <w:szCs w:val="24"/>
    </w:rPr>
  </w:style>
  <w:style w:type="character" w:customStyle="1" w:styleId="45">
    <w:name w:val="正文文本 Char"/>
    <w:link w:val="12"/>
    <w:qFormat/>
    <w:locked/>
    <w:uiPriority w:val="0"/>
    <w:rPr>
      <w:sz w:val="18"/>
    </w:rPr>
  </w:style>
  <w:style w:type="character" w:customStyle="1" w:styleId="46">
    <w:name w:val="批注文字 Char"/>
    <w:link w:val="9"/>
    <w:qFormat/>
    <w:locked/>
    <w:uiPriority w:val="0"/>
    <w:rPr>
      <w:rFonts w:ascii="Times New Roman" w:hAnsi="Times New Roman" w:eastAsia="宋体"/>
      <w:sz w:val="24"/>
    </w:rPr>
  </w:style>
  <w:style w:type="character" w:customStyle="1" w:styleId="47">
    <w:name w:val="正文文本缩进 Char"/>
    <w:link w:val="13"/>
    <w:semiHidden/>
    <w:qFormat/>
    <w:locked/>
    <w:uiPriority w:val="0"/>
    <w:rPr>
      <w:rFonts w:ascii="Times New Roman" w:hAnsi="Times New Roman" w:eastAsia="宋体"/>
      <w:sz w:val="24"/>
    </w:rPr>
  </w:style>
  <w:style w:type="character" w:customStyle="1" w:styleId="48">
    <w:name w:val="日期 Char"/>
    <w:link w:val="19"/>
    <w:qFormat/>
    <w:locked/>
    <w:uiPriority w:val="0"/>
    <w:rPr>
      <w:rFonts w:ascii="Times New Roman" w:hAnsi="Times New Roman" w:eastAsia="宋体"/>
      <w:sz w:val="24"/>
    </w:rPr>
  </w:style>
  <w:style w:type="character" w:customStyle="1" w:styleId="49">
    <w:name w:val="批注框文本 Char"/>
    <w:link w:val="20"/>
    <w:semiHidden/>
    <w:qFormat/>
    <w:locked/>
    <w:uiPriority w:val="0"/>
    <w:rPr>
      <w:rFonts w:ascii="Times New Roman" w:hAnsi="Times New Roman" w:eastAsia="宋体"/>
      <w:sz w:val="18"/>
    </w:rPr>
  </w:style>
  <w:style w:type="character" w:customStyle="1" w:styleId="50">
    <w:name w:val="页脚 Char"/>
    <w:link w:val="21"/>
    <w:qFormat/>
    <w:locked/>
    <w:uiPriority w:val="99"/>
    <w:rPr>
      <w:sz w:val="18"/>
    </w:rPr>
  </w:style>
  <w:style w:type="character" w:customStyle="1" w:styleId="51">
    <w:name w:val="页眉 Char"/>
    <w:link w:val="14"/>
    <w:qFormat/>
    <w:locked/>
    <w:uiPriority w:val="0"/>
    <w:rPr>
      <w:sz w:val="18"/>
    </w:rPr>
  </w:style>
  <w:style w:type="character" w:customStyle="1" w:styleId="52">
    <w:name w:val="普通(网站) Char"/>
    <w:link w:val="27"/>
    <w:qFormat/>
    <w:locked/>
    <w:uiPriority w:val="0"/>
    <w:rPr>
      <w:rFonts w:ascii="宋体" w:hAnsi="宋体" w:eastAsia="宋体"/>
      <w:sz w:val="24"/>
    </w:rPr>
  </w:style>
  <w:style w:type="character" w:customStyle="1" w:styleId="53">
    <w:name w:val="批注主题 Char"/>
    <w:link w:val="28"/>
    <w:semiHidden/>
    <w:qFormat/>
    <w:locked/>
    <w:uiPriority w:val="0"/>
    <w:rPr>
      <w:rFonts w:ascii="Times New Roman" w:hAnsi="Times New Roman" w:eastAsia="宋体"/>
      <w:b/>
      <w:kern w:val="2"/>
      <w:sz w:val="24"/>
    </w:rPr>
  </w:style>
  <w:style w:type="paragraph" w:customStyle="1" w:styleId="54">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character" w:customStyle="1" w:styleId="55">
    <w:name w:val="正文文本 字符1"/>
    <w:semiHidden/>
    <w:qFormat/>
    <w:uiPriority w:val="0"/>
    <w:rPr>
      <w:rFonts w:ascii="Times New Roman" w:hAnsi="Times New Roman" w:eastAsia="宋体"/>
      <w:sz w:val="24"/>
    </w:rPr>
  </w:style>
  <w:style w:type="character" w:customStyle="1" w:styleId="56">
    <w:name w:val="日期 字符"/>
    <w:semiHidden/>
    <w:qFormat/>
    <w:uiPriority w:val="0"/>
    <w:rPr>
      <w:rFonts w:ascii="Times New Roman" w:hAnsi="Times New Roman" w:eastAsia="宋体"/>
      <w:sz w:val="24"/>
    </w:rPr>
  </w:style>
  <w:style w:type="character" w:customStyle="1" w:styleId="57">
    <w:name w:val="页脚 字符"/>
    <w:basedOn w:val="33"/>
    <w:qFormat/>
    <w:uiPriority w:val="99"/>
  </w:style>
  <w:style w:type="character" w:customStyle="1" w:styleId="58">
    <w:name w:val="批注文字 字符1"/>
    <w:semiHidden/>
    <w:qFormat/>
    <w:uiPriority w:val="0"/>
    <w:rPr>
      <w:rFonts w:ascii="Times New Roman" w:hAnsi="Times New Roman" w:eastAsia="宋体"/>
      <w:sz w:val="24"/>
    </w:rPr>
  </w:style>
  <w:style w:type="character" w:customStyle="1" w:styleId="59">
    <w:name w:val="表格 Char"/>
    <w:link w:val="60"/>
    <w:qFormat/>
    <w:locked/>
    <w:uiPriority w:val="0"/>
    <w:rPr>
      <w:rFonts w:ascii="宋体"/>
      <w:sz w:val="21"/>
    </w:rPr>
  </w:style>
  <w:style w:type="paragraph" w:customStyle="1" w:styleId="60">
    <w:name w:val="表格"/>
    <w:basedOn w:val="7"/>
    <w:next w:val="1"/>
    <w:link w:val="59"/>
    <w:qFormat/>
    <w:uiPriority w:val="0"/>
    <w:pPr>
      <w:adjustRightInd w:val="0"/>
      <w:snapToGrid w:val="0"/>
      <w:spacing w:beforeLines="10" w:afterLines="10" w:line="259" w:lineRule="auto"/>
      <w:jc w:val="center"/>
    </w:pPr>
    <w:rPr>
      <w:rFonts w:ascii="宋体"/>
      <w:kern w:val="0"/>
      <w:szCs w:val="20"/>
    </w:rPr>
  </w:style>
  <w:style w:type="paragraph" w:customStyle="1" w:styleId="61">
    <w:name w:val="表格标题"/>
    <w:basedOn w:val="1"/>
    <w:qFormat/>
    <w:uiPriority w:val="0"/>
    <w:pPr>
      <w:spacing w:before="120" w:after="40" w:line="320" w:lineRule="exact"/>
      <w:ind w:firstLine="0" w:firstLineChars="0"/>
      <w:jc w:val="center"/>
    </w:pPr>
    <w:rPr>
      <w:rFonts w:eastAsia="宋体"/>
      <w:sz w:val="21"/>
    </w:rPr>
  </w:style>
  <w:style w:type="paragraph" w:customStyle="1" w:styleId="62">
    <w:name w:val="正文缩进2"/>
    <w:basedOn w:val="1"/>
    <w:qFormat/>
    <w:uiPriority w:val="0"/>
    <w:pPr>
      <w:spacing w:line="520" w:lineRule="exact"/>
      <w:ind w:firstLine="624"/>
    </w:pPr>
    <w:rPr>
      <w:sz w:val="28"/>
    </w:rPr>
  </w:style>
  <w:style w:type="paragraph" w:customStyle="1" w:styleId="63">
    <w:name w:val="【表头】"/>
    <w:basedOn w:val="1"/>
    <w:qFormat/>
    <w:uiPriority w:val="0"/>
    <w:pPr>
      <w:spacing w:line="500" w:lineRule="atLeast"/>
      <w:ind w:firstLine="425" w:firstLineChars="177"/>
      <w:jc w:val="center"/>
    </w:pPr>
    <w:rPr>
      <w:rFonts w:ascii="宋体" w:hAnsi="宋体" w:cs="Times New Roman"/>
      <w:b/>
      <w:kern w:val="0"/>
      <w:sz w:val="20"/>
      <w:szCs w:val="21"/>
    </w:rPr>
  </w:style>
  <w:style w:type="paragraph" w:customStyle="1" w:styleId="64">
    <w:name w:val="【表中文字】"/>
    <w:basedOn w:val="1"/>
    <w:qFormat/>
    <w:uiPriority w:val="0"/>
    <w:pPr>
      <w:jc w:val="center"/>
    </w:pPr>
    <w:rPr>
      <w:rFonts w:cs="Times New Roman"/>
    </w:rPr>
  </w:style>
  <w:style w:type="paragraph" w:customStyle="1" w:styleId="6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6">
    <w:name w:val="正文缩进1"/>
    <w:basedOn w:val="1"/>
    <w:qFormat/>
    <w:uiPriority w:val="0"/>
    <w:pPr>
      <w:spacing w:line="520" w:lineRule="exact"/>
      <w:ind w:firstLine="624"/>
    </w:pPr>
    <w:rPr>
      <w:sz w:val="28"/>
    </w:rPr>
  </w:style>
  <w:style w:type="paragraph" w:customStyle="1" w:styleId="67">
    <w:name w:val="页脚1"/>
    <w:basedOn w:val="1"/>
    <w:qFormat/>
    <w:uiPriority w:val="0"/>
    <w:pPr>
      <w:tabs>
        <w:tab w:val="center" w:pos="4153"/>
        <w:tab w:val="right" w:pos="8306"/>
      </w:tabs>
      <w:snapToGrid w:val="0"/>
      <w:jc w:val="left"/>
    </w:pPr>
    <w:rPr>
      <w:sz w:val="18"/>
    </w:rPr>
  </w:style>
  <w:style w:type="paragraph" w:customStyle="1" w:styleId="68">
    <w:name w:val="表表头"/>
    <w:basedOn w:val="1"/>
    <w:qFormat/>
    <w:uiPriority w:val="0"/>
    <w:pPr>
      <w:ind w:firstLine="0" w:firstLineChars="0"/>
      <w:jc w:val="center"/>
    </w:pPr>
    <w:rPr>
      <w:rFonts w:eastAsia="黑体"/>
    </w:rPr>
  </w:style>
  <w:style w:type="paragraph" w:customStyle="1" w:styleId="69">
    <w:name w:val="p0"/>
    <w:basedOn w:val="1"/>
    <w:qFormat/>
    <w:uiPriority w:val="0"/>
    <w:pPr>
      <w:widowControl/>
    </w:pPr>
    <w:rPr>
      <w:kern w:val="0"/>
      <w:szCs w:val="21"/>
    </w:rPr>
  </w:style>
  <w:style w:type="paragraph" w:customStyle="1" w:styleId="70">
    <w:name w:val="空行"/>
    <w:basedOn w:val="1"/>
    <w:next w:val="29"/>
    <w:qFormat/>
    <w:uiPriority w:val="0"/>
    <w:pPr>
      <w:topLinePunct/>
      <w:adjustRightInd w:val="0"/>
      <w:snapToGrid w:val="0"/>
      <w:jc w:val="center"/>
    </w:pPr>
    <w:rPr>
      <w:kern w:val="0"/>
      <w:sz w:val="28"/>
    </w:rPr>
  </w:style>
  <w:style w:type="paragraph" w:customStyle="1" w:styleId="7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2">
    <w:name w:val="内容"/>
    <w:basedOn w:val="1"/>
    <w:qFormat/>
    <w:uiPriority w:val="0"/>
    <w:pPr>
      <w:spacing w:before="156" w:beforeLines="50" w:after="156" w:afterLines="50"/>
      <w:ind w:firstLine="200" w:firstLineChars="200"/>
    </w:pPr>
    <w:rPr>
      <w:rFonts w:cs="Times New Roman"/>
      <w:color w:val="000000"/>
      <w:sz w:val="24"/>
    </w:rPr>
  </w:style>
  <w:style w:type="paragraph" w:customStyle="1" w:styleId="73">
    <w:name w:val="【正文】"/>
    <w:basedOn w:val="1"/>
    <w:next w:val="25"/>
    <w:qFormat/>
    <w:uiPriority w:val="0"/>
    <w:pPr>
      <w:spacing w:line="360" w:lineRule="auto"/>
      <w:ind w:firstLine="480" w:firstLineChars="200"/>
    </w:pPr>
    <w:rPr>
      <w:rFonts w:ascii="Times New Roman" w:hAnsi="Times New Roman" w:eastAsia="宋体"/>
      <w:kern w:val="0"/>
      <w:sz w:val="36"/>
    </w:rPr>
  </w:style>
  <w:style w:type="paragraph" w:customStyle="1" w:styleId="74">
    <w:name w:val="报告书正文"/>
    <w:basedOn w:val="2"/>
    <w:qFormat/>
    <w:uiPriority w:val="0"/>
    <w:pPr>
      <w:adjustRightInd w:val="0"/>
      <w:snapToGrid w:val="0"/>
      <w:spacing w:line="360" w:lineRule="auto"/>
      <w:ind w:firstLine="425"/>
      <w:textAlignment w:val="baseline"/>
    </w:pPr>
    <w:rPr>
      <w:rFonts w:ascii="Arial" w:hAnsi="Arial"/>
    </w:rPr>
  </w:style>
  <w:style w:type="paragraph" w:customStyle="1" w:styleId="75">
    <w:name w:val="正文00"/>
    <w:basedOn w:val="1"/>
    <w:qFormat/>
    <w:uiPriority w:val="0"/>
    <w:pPr>
      <w:widowControl/>
      <w:spacing w:line="425" w:lineRule="atLeast"/>
      <w:ind w:left="107" w:leftChars="51" w:right="124" w:rightChars="59" w:firstLine="480"/>
      <w:textAlignment w:val="baseline"/>
    </w:pPr>
    <w:rPr>
      <w:kern w:val="0"/>
      <w:sz w:val="28"/>
      <w:szCs w:val="24"/>
    </w:rPr>
  </w:style>
  <w:style w:type="paragraph" w:customStyle="1" w:styleId="76">
    <w:name w:val="表格填充项"/>
    <w:basedOn w:val="1"/>
    <w:qFormat/>
    <w:uiPriority w:val="0"/>
    <w:pPr>
      <w:spacing w:line="240" w:lineRule="atLeast"/>
      <w:jc w:val="center"/>
    </w:pPr>
    <w:rPr>
      <w:rFonts w:ascii="宋体" w:hAnsi="宋体"/>
      <w:b/>
    </w:rPr>
  </w:style>
  <w:style w:type="paragraph" w:customStyle="1" w:styleId="77">
    <w:name w:val="表格题目"/>
    <w:basedOn w:val="1"/>
    <w:qFormat/>
    <w:uiPriority w:val="0"/>
    <w:pPr>
      <w:spacing w:line="240" w:lineRule="atLeast"/>
      <w:jc w:val="center"/>
    </w:pPr>
    <w:rPr>
      <w:rFonts w:ascii="黑体" w:hAnsi="宋体" w:eastAsia="黑体"/>
      <w:sz w:val="24"/>
    </w:rPr>
  </w:style>
  <w:style w:type="paragraph" w:customStyle="1" w:styleId="78">
    <w:name w:val="样式1"/>
    <w:basedOn w:val="1"/>
    <w:qFormat/>
    <w:uiPriority w:val="0"/>
    <w:pPr>
      <w:widowControl/>
      <w:spacing w:line="360" w:lineRule="auto"/>
      <w:ind w:firstLine="200" w:firstLineChars="200"/>
      <w:jc w:val="left"/>
    </w:pPr>
    <w:rPr>
      <w:rFonts w:ascii="宋体" w:hAnsi="宋体" w:eastAsia="宋体"/>
      <w:bCs/>
      <w:kern w:val="0"/>
      <w:sz w:val="24"/>
      <w:szCs w:val="20"/>
    </w:rPr>
  </w:style>
  <w:style w:type="paragraph" w:customStyle="1" w:styleId="79">
    <w:name w:val="样式3"/>
    <w:basedOn w:val="1"/>
    <w:qFormat/>
    <w:uiPriority w:val="0"/>
    <w:pPr>
      <w:adjustRightInd w:val="0"/>
      <w:snapToGrid w:val="0"/>
      <w:spacing w:before="10" w:beforeLines="10" w:after="10" w:afterLines="10" w:line="240" w:lineRule="auto"/>
      <w:ind w:firstLine="0" w:firstLineChars="0"/>
      <w:jc w:val="center"/>
    </w:pPr>
    <w:rPr>
      <w:rFonts w:ascii="宋体" w:hAnsi="宋体" w:eastAsia="宋体"/>
    </w:rPr>
  </w:style>
  <w:style w:type="paragraph" w:customStyle="1" w:styleId="80">
    <w:name w:val="_Style 4"/>
    <w:qFormat/>
    <w:uiPriority w:val="1"/>
    <w:pPr>
      <w:widowControl w:val="0"/>
      <w:spacing w:line="440" w:lineRule="exact"/>
      <w:jc w:val="both"/>
    </w:pPr>
    <w:rPr>
      <w:rFonts w:ascii="Times New Roman" w:hAnsi="Times New Roman" w:eastAsia="仿宋_GB2312" w:cs="Times New Roman"/>
      <w:kern w:val="2"/>
      <w:sz w:val="24"/>
      <w:szCs w:val="24"/>
      <w:lang w:val="en-US" w:eastAsia="zh-CN" w:bidi="ar-SA"/>
    </w:rPr>
  </w:style>
  <w:style w:type="paragraph" w:customStyle="1" w:styleId="81">
    <w:name w:val="Normal"/>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82">
    <w:name w:val="WPSOffice手动目录 1"/>
    <w:qFormat/>
    <w:uiPriority w:val="0"/>
    <w:pPr>
      <w:ind w:leftChars="0"/>
    </w:pPr>
    <w:rPr>
      <w:rFonts w:ascii="Times New Roman" w:hAnsi="Times New Roman" w:eastAsia="宋体" w:cs="Times New Roman"/>
      <w:sz w:val="20"/>
      <w:szCs w:val="20"/>
    </w:rPr>
  </w:style>
  <w:style w:type="paragraph" w:customStyle="1" w:styleId="83">
    <w:name w:val="baby-正文"/>
    <w:basedOn w:val="12"/>
    <w:next w:val="20"/>
    <w:qFormat/>
    <w:uiPriority w:val="0"/>
    <w:rPr>
      <w:rFonts w:ascii="仿宋_GB2312" w:hAnsi="宋体"/>
      <w:bCs/>
      <w:sz w:val="30"/>
    </w:rPr>
  </w:style>
  <w:style w:type="paragraph" w:customStyle="1" w:styleId="84">
    <w:name w:val="样式2"/>
    <w:basedOn w:val="1"/>
    <w:qFormat/>
    <w:uiPriority w:val="0"/>
    <w:pPr>
      <w:adjustRightInd w:val="0"/>
      <w:spacing w:line="360" w:lineRule="auto"/>
      <w:jc w:val="left"/>
      <w:textAlignment w:val="baseline"/>
    </w:pPr>
    <w:rPr>
      <w:rFonts w:ascii="Times New Roman" w:hAnsi="Times New Roman" w:eastAsia="宋体"/>
      <w:b/>
      <w:kern w:val="0"/>
      <w:sz w:val="24"/>
      <w:szCs w:val="20"/>
    </w:rPr>
  </w:style>
  <w:style w:type="paragraph" w:customStyle="1" w:styleId="85">
    <w:name w:val="正文----------------"/>
    <w:basedOn w:val="1"/>
    <w:qFormat/>
    <w:uiPriority w:val="0"/>
    <w:pPr>
      <w:spacing w:line="440" w:lineRule="exact"/>
      <w:ind w:firstLine="544" w:firstLineChars="200"/>
    </w:pPr>
    <w:rPr>
      <w:rFonts w:cs="宋体"/>
      <w:spacing w:val="16"/>
      <w:sz w:val="24"/>
    </w:rPr>
  </w:style>
  <w:style w:type="paragraph" w:customStyle="1" w:styleId="86">
    <w:name w:val="Table Paragraph"/>
    <w:basedOn w:val="1"/>
    <w:unhideWhenUsed/>
    <w:qFormat/>
    <w:uiPriority w:val="1"/>
    <w:rPr>
      <w:sz w:val="24"/>
    </w:rPr>
  </w:style>
  <w:style w:type="paragraph" w:customStyle="1" w:styleId="87">
    <w:name w:val="Normal (Web)1"/>
    <w:basedOn w:val="1"/>
    <w:next w:val="88"/>
    <w:qFormat/>
    <w:uiPriority w:val="0"/>
    <w:pPr>
      <w:widowControl/>
      <w:jc w:val="left"/>
    </w:pPr>
    <w:rPr>
      <w:rFonts w:ascii="宋体" w:cs="Times New Roman"/>
      <w:kern w:val="0"/>
      <w:sz w:val="24"/>
      <w:szCs w:val="21"/>
    </w:rPr>
  </w:style>
  <w:style w:type="paragraph" w:customStyle="1" w:styleId="88">
    <w:name w:val="Date1"/>
    <w:basedOn w:val="1"/>
    <w:next w:val="1"/>
    <w:qFormat/>
    <w:uiPriority w:val="0"/>
    <w:pPr>
      <w:ind w:left="2500" w:leftChars="2500"/>
    </w:pPr>
  </w:style>
  <w:style w:type="character" w:customStyle="1" w:styleId="89">
    <w:name w:val="NormalCharacter"/>
    <w:link w:val="1"/>
    <w:qFormat/>
    <w:uiPriority w:val="0"/>
    <w:rPr>
      <w:rFonts w:ascii="Times New Roman" w:hAnsi="Times New Roman" w:eastAsia="宋体" w:cs="Times New Roman"/>
      <w:kern w:val="2"/>
      <w:sz w:val="21"/>
      <w:szCs w:val="24"/>
      <w:lang w:val="en-US" w:eastAsia="zh-CN" w:bidi="ar-SA"/>
    </w:rPr>
  </w:style>
  <w:style w:type="character" w:customStyle="1" w:styleId="90">
    <w:name w:val="font31"/>
    <w:basedOn w:val="33"/>
    <w:qFormat/>
    <w:uiPriority w:val="0"/>
    <w:rPr>
      <w:rFonts w:hint="eastAsia" w:ascii="宋体" w:hAnsi="宋体" w:eastAsia="宋体" w:cs="宋体"/>
      <w:b/>
      <w:color w:val="000000"/>
      <w:sz w:val="20"/>
      <w:szCs w:val="20"/>
      <w:u w:val="none"/>
    </w:rPr>
  </w:style>
  <w:style w:type="character" w:customStyle="1" w:styleId="91">
    <w:name w:val="Font Style16"/>
    <w:unhideWhenUsed/>
    <w:qFormat/>
    <w:uiPriority w:val="99"/>
    <w:rPr>
      <w:rFonts w:hint="eastAsia" w:ascii="宋体" w:hAnsi="宋体" w:eastAsia="宋体"/>
      <w:b/>
      <w:color w:val="auto"/>
      <w:sz w:val="20"/>
    </w:rPr>
  </w:style>
  <w:style w:type="character" w:customStyle="1" w:styleId="92">
    <w:name w:val="font21"/>
    <w:basedOn w:val="33"/>
    <w:qFormat/>
    <w:uiPriority w:val="0"/>
    <w:rPr>
      <w:rFonts w:hint="eastAsia" w:ascii="宋体" w:hAnsi="宋体" w:eastAsia="宋体" w:cs="宋体"/>
      <w:color w:val="000000"/>
      <w:sz w:val="21"/>
      <w:szCs w:val="21"/>
      <w:u w:val="none"/>
    </w:rPr>
  </w:style>
  <w:style w:type="paragraph" w:customStyle="1" w:styleId="93">
    <w:name w:val="a正文"/>
    <w:basedOn w:val="94"/>
    <w:qFormat/>
    <w:uiPriority w:val="0"/>
    <w:pPr>
      <w:spacing w:line="520" w:lineRule="exact"/>
      <w:ind w:firstLine="200" w:firstLineChars="200"/>
    </w:pPr>
    <w:rPr>
      <w:rFonts w:ascii="Times New Roman" w:hAnsi="Times New Roman" w:eastAsia="宋体"/>
      <w:kern w:val="0"/>
      <w:sz w:val="24"/>
      <w:szCs w:val="21"/>
    </w:rPr>
  </w:style>
  <w:style w:type="paragraph" w:customStyle="1" w:styleId="94">
    <w:name w:val="正文格式"/>
    <w:basedOn w:val="1"/>
    <w:autoRedefine/>
    <w:qFormat/>
    <w:uiPriority w:val="0"/>
    <w:pPr>
      <w:spacing w:line="360" w:lineRule="auto"/>
      <w:ind w:firstLine="420" w:firstLineChars="200"/>
    </w:pPr>
    <w:rPr>
      <w:kern w:val="0"/>
      <w:szCs w:val="21"/>
    </w:rPr>
  </w:style>
  <w:style w:type="paragraph" w:customStyle="1" w:styleId="95">
    <w:name w:val="表格中文字"/>
    <w:basedOn w:val="96"/>
    <w:qFormat/>
    <w:uiPriority w:val="0"/>
    <w:pPr>
      <w:spacing w:line="360" w:lineRule="exact"/>
      <w:ind w:firstLine="0" w:firstLineChars="0"/>
      <w:jc w:val="center"/>
    </w:pPr>
    <w:rPr>
      <w:rFonts w:ascii="宋体" w:hAnsi="宋体" w:eastAsia="宋体"/>
      <w:sz w:val="21"/>
      <w:szCs w:val="21"/>
    </w:rPr>
  </w:style>
  <w:style w:type="paragraph" w:customStyle="1" w:styleId="96">
    <w:name w:val="填表正文"/>
    <w:basedOn w:val="1"/>
    <w:qFormat/>
    <w:uiPriority w:val="0"/>
    <w:pPr>
      <w:adjustRightInd w:val="0"/>
      <w:snapToGrid w:val="0"/>
      <w:jc w:val="center"/>
    </w:pPr>
    <w:rPr>
      <w:rFonts w:ascii="宋体" w:hAnsi="Calibri"/>
      <w:color w:val="000000"/>
      <w:kern w:val="0"/>
      <w:szCs w:val="44"/>
    </w:rPr>
  </w:style>
  <w:style w:type="paragraph" w:customStyle="1" w:styleId="97">
    <w:name w:val="样式 正文文字-1 + 首行缩进:  2.1 字符1"/>
    <w:basedOn w:val="1"/>
    <w:qFormat/>
    <w:uiPriority w:val="0"/>
    <w:pPr>
      <w:spacing w:before="120" w:after="120" w:line="440" w:lineRule="exact"/>
      <w:ind w:firstLine="210" w:firstLineChars="210"/>
    </w:pPr>
    <w:rPr>
      <w:rFonts w:ascii="Times New Roman" w:hAnsi="Times New Roman" w:eastAsia="宋体" w:cs="宋体"/>
      <w:sz w:val="24"/>
    </w:rPr>
  </w:style>
  <w:style w:type="paragraph" w:customStyle="1" w:styleId="98">
    <w:name w:val="正文首行缩进 21"/>
    <w:basedOn w:val="13"/>
    <w:qFormat/>
    <w:uiPriority w:val="0"/>
    <w:pPr>
      <w:ind w:left="0" w:leftChars="0" w:firstLine="210"/>
    </w:pPr>
    <w:rPr>
      <w:rFonts w:ascii="Times New Roman" w:hAnsi="Times New Roman" w:eastAsia="仿宋_GB2312" w:cs="Times New Roman"/>
      <w:sz w:val="24"/>
    </w:rPr>
  </w:style>
  <w:style w:type="character" w:customStyle="1" w:styleId="99">
    <w:name w:val="fontstyle01"/>
    <w:basedOn w:val="33"/>
    <w:qFormat/>
    <w:uiPriority w:val="0"/>
    <w:rPr>
      <w:rFonts w:hint="default" w:ascii="Times New Roman" w:hAnsi="Times New Roman" w:cs="Times New Roman"/>
      <w:color w:val="000000"/>
      <w:sz w:val="30"/>
      <w:szCs w:val="30"/>
    </w:rPr>
  </w:style>
  <w:style w:type="character" w:customStyle="1" w:styleId="100">
    <w:name w:val="fontstyle11"/>
    <w:basedOn w:val="33"/>
    <w:qFormat/>
    <w:uiPriority w:val="0"/>
    <w:rPr>
      <w:rFonts w:ascii="方正仿宋_GBK" w:hAnsi="方正仿宋_GBK" w:eastAsia="方正仿宋_GBK" w:cs="方正仿宋_GBK"/>
      <w:color w:val="000000"/>
      <w:sz w:val="30"/>
      <w:szCs w:val="30"/>
    </w:rPr>
  </w:style>
  <w:style w:type="character" w:customStyle="1" w:styleId="101">
    <w:name w:val="font11"/>
    <w:basedOn w:val="33"/>
    <w:qFormat/>
    <w:uiPriority w:val="0"/>
    <w:rPr>
      <w:rFonts w:hint="default" w:ascii="Times New Roman" w:hAnsi="Times New Roman" w:cs="Times New Roman"/>
      <w:color w:val="000000"/>
      <w:sz w:val="21"/>
      <w:szCs w:val="21"/>
      <w:u w:val="none"/>
    </w:rPr>
  </w:style>
  <w:style w:type="paragraph" w:customStyle="1" w:styleId="102">
    <w:name w:val="样式 小四 行距: 1.5 倍行距1"/>
    <w:basedOn w:val="1"/>
    <w:qFormat/>
    <w:uiPriority w:val="0"/>
    <w:pPr>
      <w:spacing w:line="360" w:lineRule="auto"/>
      <w:ind w:firstLine="200" w:firstLineChars="200"/>
    </w:pPr>
    <w:rPr>
      <w:rFonts w:cs="宋体"/>
      <w:sz w:val="24"/>
      <w:szCs w:val="20"/>
    </w:rPr>
  </w:style>
  <w:style w:type="paragraph" w:customStyle="1" w:styleId="103">
    <w:name w:val="表中文字（工大）"/>
    <w:basedOn w:val="1"/>
    <w:autoRedefine/>
    <w:qFormat/>
    <w:uiPriority w:val="0"/>
    <w:pPr>
      <w:spacing w:line="440" w:lineRule="exact"/>
      <w:ind w:firstLine="0" w:firstLineChars="0"/>
      <w:jc w:val="center"/>
    </w:pPr>
    <w:rPr>
      <w:sz w:val="21"/>
      <w:szCs w:val="20"/>
    </w:rPr>
  </w:style>
  <w:style w:type="paragraph" w:customStyle="1" w:styleId="104">
    <w:name w:val="报告正文"/>
    <w:basedOn w:val="1"/>
    <w:autoRedefine/>
    <w:qFormat/>
    <w:uiPriority w:val="0"/>
    <w:pPr>
      <w:adjustRightInd w:val="0"/>
      <w:snapToGrid w:val="0"/>
      <w:spacing w:line="360" w:lineRule="auto"/>
      <w:ind w:firstLine="200" w:firstLineChars="200"/>
    </w:pPr>
    <w:rPr>
      <w:sz w:val="24"/>
      <w:szCs w:val="20"/>
    </w:rPr>
  </w:style>
  <w:style w:type="paragraph" w:customStyle="1" w:styleId="105">
    <w:name w:val="0图表名"/>
    <w:basedOn w:val="1"/>
    <w:autoRedefine/>
    <w:qFormat/>
    <w:uiPriority w:val="0"/>
    <w:pPr>
      <w:jc w:val="center"/>
    </w:pPr>
    <w:rPr>
      <w:rFonts w:eastAsia="黑体"/>
      <w:kern w:val="24"/>
      <w:sz w:val="20"/>
      <w:szCs w:val="21"/>
    </w:rPr>
  </w:style>
  <w:style w:type="table" w:customStyle="1" w:styleId="106">
    <w:name w:val="Table Normal"/>
    <w:autoRedefine/>
    <w:unhideWhenUsed/>
    <w:qFormat/>
    <w:uiPriority w:val="0"/>
    <w:rPr>
      <w:lang w:val="en-US" w:eastAsia="zh-CN" w:bidi="ar-SA"/>
    </w:rPr>
    <w:tblPr>
      <w:tblCellMar>
        <w:top w:w="0" w:type="dxa"/>
        <w:left w:w="0" w:type="dxa"/>
        <w:bottom w:w="0" w:type="dxa"/>
        <w:right w:w="0" w:type="dxa"/>
      </w:tblCellMar>
    </w:tblPr>
  </w:style>
  <w:style w:type="paragraph" w:customStyle="1" w:styleId="107">
    <w:name w:val="正文(首行缩进)"/>
    <w:basedOn w:val="7"/>
    <w:qFormat/>
    <w:uiPriority w:val="0"/>
    <w:pPr>
      <w:spacing w:line="360" w:lineRule="auto"/>
      <w:ind w:firstLine="540" w:firstLineChars="225"/>
    </w:pPr>
    <w:rPr>
      <w:rFonts w:ascii="Times New Roman" w:hAnsi="Times New Roman" w:eastAsia="宋体" w:cs="Times New Roman"/>
      <w:snapToGrid w:val="0"/>
      <w:color w:val="000000"/>
      <w:kern w:val="0"/>
      <w:sz w:val="24"/>
    </w:rPr>
  </w:style>
  <w:style w:type="paragraph" w:customStyle="1" w:styleId="108">
    <w:name w:val="报告表内正文"/>
    <w:qFormat/>
    <w:uiPriority w:val="0"/>
    <w:pPr>
      <w:ind w:firstLine="640" w:firstLineChars="200"/>
    </w:pPr>
    <w:rPr>
      <w:rFonts w:ascii="Calibri" w:hAnsi="Calibri" w:eastAsia="Calibri" w:cs="Times New Roman"/>
      <w:sz w:val="28"/>
      <w:szCs w:val="22"/>
      <w:lang w:val="en-US" w:eastAsia="zh-CN" w:bidi="ar-SA"/>
    </w:rPr>
  </w:style>
  <w:style w:type="paragraph" w:customStyle="1" w:styleId="109">
    <w:name w:val="Tab正文"/>
    <w:basedOn w:val="1"/>
    <w:autoRedefine/>
    <w:qFormat/>
    <w:uiPriority w:val="0"/>
    <w:pPr>
      <w:jc w:val="center"/>
    </w:pPr>
    <w:rPr>
      <w:szCs w:val="21"/>
    </w:rPr>
  </w:style>
  <w:style w:type="paragraph" w:customStyle="1" w:styleId="110">
    <w:name w:val="正文内容g"/>
    <w:basedOn w:val="1"/>
    <w:next w:val="1"/>
    <w:autoRedefine/>
    <w:qFormat/>
    <w:uiPriority w:val="0"/>
    <w:pPr>
      <w:spacing w:line="460" w:lineRule="exact"/>
      <w:ind w:firstLine="720" w:firstLineChars="200"/>
    </w:pPr>
    <w:rPr>
      <w:kern w:val="0"/>
      <w:sz w:val="20"/>
      <w:szCs w:val="20"/>
    </w:rPr>
  </w:style>
  <w:style w:type="paragraph" w:customStyle="1" w:styleId="111">
    <w:name w:val="XQ报告表正文"/>
    <w:basedOn w:val="1"/>
    <w:autoRedefine/>
    <w:qFormat/>
    <w:uiPriority w:val="0"/>
    <w:pPr>
      <w:adjustRightInd w:val="0"/>
      <w:snapToGrid w:val="0"/>
      <w:spacing w:line="360" w:lineRule="auto"/>
      <w:ind w:firstLine="480" w:firstLineChars="200"/>
    </w:pPr>
    <w:rPr>
      <w:rFonts w:cs="宋体"/>
      <w:bCs/>
      <w:snapToGrid w:val="0"/>
      <w:kern w:val="0"/>
      <w:sz w:val="24"/>
      <w:szCs w:val="21"/>
      <w:lang w:val="zh-CN"/>
    </w:rPr>
  </w:style>
  <w:style w:type="paragraph" w:customStyle="1" w:styleId="112">
    <w:name w:val="XQ表格文字"/>
    <w:basedOn w:val="1"/>
    <w:autoRedefine/>
    <w:qFormat/>
    <w:uiPriority w:val="0"/>
    <w:pPr>
      <w:tabs>
        <w:tab w:val="left" w:pos="420"/>
        <w:tab w:val="center" w:pos="623"/>
      </w:tabs>
      <w:adjustRightInd w:val="0"/>
      <w:snapToGrid w:val="0"/>
      <w:jc w:val="center"/>
    </w:pPr>
    <w:rPr>
      <w:color w:val="000000"/>
      <w:kern w:val="0"/>
      <w:szCs w:val="21"/>
    </w:rPr>
  </w:style>
  <w:style w:type="paragraph" w:customStyle="1" w:styleId="113">
    <w:name w:val="lh-正文-报告表"/>
    <w:basedOn w:val="1"/>
    <w:autoRedefine/>
    <w:qFormat/>
    <w:uiPriority w:val="0"/>
    <w:pPr>
      <w:spacing w:line="360" w:lineRule="auto"/>
      <w:ind w:firstLine="480" w:firstLineChars="200"/>
    </w:pPr>
    <w:rPr>
      <w:kern w:val="0"/>
      <w:sz w:val="24"/>
      <w:szCs w:val="21"/>
    </w:rPr>
  </w:style>
  <w:style w:type="paragraph" w:customStyle="1" w:styleId="114">
    <w:name w:val="Table Text"/>
    <w:basedOn w:val="1"/>
    <w:semiHidden/>
    <w:qFormat/>
    <w:uiPriority w:val="0"/>
    <w:rPr>
      <w:rFonts w:ascii="微软雅黑" w:hAnsi="微软雅黑" w:eastAsia="微软雅黑" w:cs="微软雅黑"/>
      <w:sz w:val="20"/>
      <w:szCs w:val="20"/>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1.xml"/><Relationship Id="rId8" Type="http://schemas.openxmlformats.org/officeDocument/2006/relationships/footer" Target="footer6.xml"/><Relationship Id="rId72" Type="http://schemas.openxmlformats.org/officeDocument/2006/relationships/fontTable" Target="fontTable.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footer" Target="footer5.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jpeg"/><Relationship Id="rId6" Type="http://schemas.openxmlformats.org/officeDocument/2006/relationships/footer" Target="footer4.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footer" Target="footer3.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footer" Target="footer2.xml"/><Relationship Id="rId39" Type="http://schemas.openxmlformats.org/officeDocument/2006/relationships/image" Target="media/image22.pn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png"/><Relationship Id="rId35" Type="http://schemas.openxmlformats.org/officeDocument/2006/relationships/image" Target="media/image18.jpe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wmf"/><Relationship Id="rId30" Type="http://schemas.openxmlformats.org/officeDocument/2006/relationships/oleObject" Target="embeddings/oleObject6.bin"/><Relationship Id="rId3" Type="http://schemas.openxmlformats.org/officeDocument/2006/relationships/footer" Target="footer1.xml"/><Relationship Id="rId29" Type="http://schemas.openxmlformats.org/officeDocument/2006/relationships/image" Target="media/image13.wmf"/><Relationship Id="rId28" Type="http://schemas.openxmlformats.org/officeDocument/2006/relationships/oleObject" Target="embeddings/oleObject5.bin"/><Relationship Id="rId27" Type="http://schemas.openxmlformats.org/officeDocument/2006/relationships/image" Target="media/image12.png"/><Relationship Id="rId26" Type="http://schemas.openxmlformats.org/officeDocument/2006/relationships/image" Target="media/image11.wmf"/><Relationship Id="rId25" Type="http://schemas.openxmlformats.org/officeDocument/2006/relationships/image" Target="media/image10.wmf"/><Relationship Id="rId24" Type="http://schemas.openxmlformats.org/officeDocument/2006/relationships/image" Target="media/image9.wmf"/><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e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4.emf"/><Relationship Id="rId17" Type="http://schemas.openxmlformats.org/officeDocument/2006/relationships/oleObject" Target="embeddings/oleObject3.bin"/><Relationship Id="rId16" Type="http://schemas.openxmlformats.org/officeDocument/2006/relationships/image" Target="media/image3.wmf"/><Relationship Id="rId15" Type="http://schemas.openxmlformats.org/officeDocument/2006/relationships/oleObject" Target="embeddings/oleObject2.bin"/><Relationship Id="rId14" Type="http://schemas.openxmlformats.org/officeDocument/2006/relationships/image" Target="media/image2.emf"/><Relationship Id="rId13" Type="http://schemas.openxmlformats.org/officeDocument/2006/relationships/oleObject" Target="embeddings/oleObject1.bin"/><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89</Pages>
  <Words>11583</Words>
  <Characters>12118</Characters>
  <Lines>13</Lines>
  <Paragraphs>3</Paragraphs>
  <TotalTime>5</TotalTime>
  <ScaleCrop>false</ScaleCrop>
  <LinksUpToDate>false</LinksUpToDate>
  <CharactersWithSpaces>12476</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2020-12-24T17:29:00Z</dcterms:created>
  <dc:creator>lhj</dc:creator>
  <cp:lastModifiedBy>LYH</cp:lastModifiedBy>
  <cp:lastPrinted>2022-07-26T05:18:00Z</cp:lastPrinted>
  <dcterms:modified xsi:type="dcterms:W3CDTF">2024-10-25T05:30:51Z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5755DDBE25A24255A0875E712A7597FC</vt:lpwstr>
  </property>
</Properties>
</file>