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E708C2">
      <w:pPr>
        <w:rPr>
          <w:rFonts w:hint="default" w:ascii="Times New Roman" w:hAnsi="Times New Roman" w:eastAsia="仿宋_GB2312" w:cs="Times New Roman"/>
          <w:color w:val="auto"/>
          <w:sz w:val="36"/>
          <w:szCs w:val="36"/>
          <w:highlight w:val="none"/>
        </w:rPr>
      </w:pPr>
      <w:bookmarkStart w:id="0" w:name="_Hlk57883707"/>
    </w:p>
    <w:p w14:paraId="6DEFA0A3">
      <w:pPr>
        <w:rPr>
          <w:rFonts w:hint="default" w:ascii="Times New Roman" w:hAnsi="Times New Roman" w:eastAsia="仿宋_GB2312" w:cs="Times New Roman"/>
          <w:color w:val="auto"/>
          <w:sz w:val="36"/>
          <w:szCs w:val="36"/>
          <w:highlight w:val="none"/>
        </w:rPr>
      </w:pPr>
    </w:p>
    <w:p w14:paraId="1179EDDD">
      <w:pPr>
        <w:rPr>
          <w:rFonts w:hint="default" w:ascii="Times New Roman" w:hAnsi="Times New Roman" w:eastAsia="仿宋_GB2312" w:cs="Times New Roman"/>
          <w:color w:val="auto"/>
          <w:sz w:val="36"/>
          <w:szCs w:val="36"/>
          <w:highlight w:val="none"/>
        </w:rPr>
      </w:pPr>
    </w:p>
    <w:bookmarkEnd w:id="0"/>
    <w:p w14:paraId="306A8221">
      <w:pPr>
        <w:adjustRightInd w:val="0"/>
        <w:snapToGrid w:val="0"/>
        <w:jc w:val="center"/>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14:paraId="0AB906E8">
      <w:pPr>
        <w:adjustRightInd w:val="0"/>
        <w:snapToGrid w:val="0"/>
        <w:spacing w:before="249"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11255EC7">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1" w:name="_Hlk57883728"/>
    </w:p>
    <w:p w14:paraId="437F440E">
      <w:pPr>
        <w:jc w:val="center"/>
        <w:rPr>
          <w:rFonts w:hint="default" w:ascii="Times New Roman" w:hAnsi="Times New Roman" w:eastAsia="仿宋" w:cs="Times New Roman"/>
          <w:color w:val="auto"/>
          <w:sz w:val="52"/>
          <w:szCs w:val="52"/>
          <w:highlight w:val="none"/>
        </w:rPr>
      </w:pPr>
    </w:p>
    <w:p w14:paraId="22AC2B4A">
      <w:pPr>
        <w:ind w:firstLine="1040"/>
        <w:rPr>
          <w:rFonts w:hint="default" w:ascii="Times New Roman" w:hAnsi="Times New Roman" w:eastAsia="仿宋" w:cs="Times New Roman"/>
          <w:color w:val="auto"/>
          <w:sz w:val="44"/>
          <w:szCs w:val="44"/>
          <w:highlight w:val="none"/>
        </w:rPr>
      </w:pPr>
    </w:p>
    <w:p w14:paraId="05F5468F">
      <w:pPr>
        <w:pStyle w:val="2"/>
        <w:rPr>
          <w:rFonts w:hint="default" w:ascii="Times New Roman" w:hAnsi="Times New Roman" w:eastAsia="仿宋" w:cs="Times New Roman"/>
          <w:color w:val="auto"/>
          <w:sz w:val="44"/>
          <w:szCs w:val="44"/>
          <w:highlight w:val="none"/>
        </w:rPr>
      </w:pPr>
    </w:p>
    <w:p w14:paraId="1D3D07AF">
      <w:pPr>
        <w:pStyle w:val="3"/>
        <w:rPr>
          <w:rFonts w:hint="default" w:ascii="Times New Roman" w:hAnsi="Times New Roman" w:eastAsia="仿宋" w:cs="Times New Roman"/>
          <w:color w:val="auto"/>
          <w:sz w:val="44"/>
          <w:szCs w:val="44"/>
          <w:highlight w:val="none"/>
        </w:rPr>
      </w:pPr>
    </w:p>
    <w:p w14:paraId="76BDF12E">
      <w:pPr>
        <w:pStyle w:val="4"/>
        <w:rPr>
          <w:rFonts w:hint="default"/>
          <w:color w:val="auto"/>
          <w:highlight w:val="none"/>
        </w:rPr>
      </w:pPr>
    </w:p>
    <w:p w14:paraId="17977C59">
      <w:pPr>
        <w:rPr>
          <w:rFonts w:hint="default" w:ascii="Times New Roman" w:hAnsi="Times New Roman" w:eastAsia="仿宋" w:cs="Times New Roman"/>
          <w:color w:val="auto"/>
          <w:sz w:val="44"/>
          <w:szCs w:val="44"/>
          <w:highlight w:val="none"/>
        </w:rPr>
      </w:pPr>
    </w:p>
    <w:bookmarkEnd w:id="1"/>
    <w:p w14:paraId="4B853C2E">
      <w:pPr>
        <w:adjustRightInd w:val="0"/>
        <w:snapToGrid w:val="0"/>
        <w:spacing w:line="288" w:lineRule="auto"/>
        <w:ind w:left="1630" w:hanging="1630" w:hangingChars="500"/>
        <w:jc w:val="left"/>
        <w:rPr>
          <w:rFonts w:hint="default" w:ascii="Times New Roman" w:hAnsi="Times New Roman" w:eastAsia="仿宋_GB2312" w:cs="Times New Roman"/>
          <w:color w:val="auto"/>
          <w:spacing w:val="-17"/>
          <w:sz w:val="36"/>
          <w:szCs w:val="36"/>
          <w:highlight w:val="none"/>
          <w:u w:val="single"/>
          <w:lang w:val="en-US"/>
        </w:rPr>
      </w:pPr>
      <w:r>
        <w:rPr>
          <w:rFonts w:hint="default" w:ascii="Times New Roman" w:hAnsi="Times New Roman" w:eastAsia="仿宋_GB2312" w:cs="Times New Roman"/>
          <w:color w:val="auto"/>
          <w:spacing w:val="-17"/>
          <w:sz w:val="36"/>
          <w:szCs w:val="36"/>
          <w:highlight w:val="none"/>
        </w:rPr>
        <w:t>项目名称：</w:t>
      </w:r>
      <w:r>
        <w:rPr>
          <w:rFonts w:hint="eastAsia" w:eastAsia="仿宋_GB2312" w:cs="Times New Roman"/>
          <w:color w:val="auto"/>
          <w:spacing w:val="-17"/>
          <w:sz w:val="36"/>
          <w:szCs w:val="36"/>
          <w:highlight w:val="none"/>
          <w:u w:val="single"/>
          <w:lang w:val="en-US" w:eastAsia="zh-CN"/>
        </w:rPr>
        <w:t xml:space="preserve"> </w:t>
      </w:r>
      <w:r>
        <w:rPr>
          <w:rFonts w:hint="eastAsia" w:ascii="仿宋_GB2312" w:hAnsi="仿宋_GB2312" w:eastAsia="仿宋_GB2312" w:cs="仿宋_GB2312"/>
          <w:color w:val="auto"/>
          <w:sz w:val="36"/>
          <w:szCs w:val="36"/>
          <w:u w:val="single"/>
          <w:lang w:val="en-US" w:eastAsia="zh-CN"/>
        </w:rPr>
        <w:t>鸡东县新向阳粮库有限责任公司</w:t>
      </w:r>
      <w:r>
        <w:rPr>
          <w:rFonts w:hint="eastAsia" w:eastAsia="仿宋_GB2312" w:cs="Times New Roman"/>
          <w:color w:val="auto"/>
          <w:sz w:val="36"/>
          <w:szCs w:val="36"/>
          <w:highlight w:val="none"/>
          <w:u w:val="single"/>
          <w:lang w:val="en-US" w:eastAsia="zh-CN"/>
        </w:rPr>
        <w:t>建设项目</w:t>
      </w:r>
      <w:r>
        <w:rPr>
          <w:rFonts w:hint="eastAsia" w:ascii="仿宋_GB2312" w:hAnsi="仿宋_GB2312" w:eastAsia="仿宋_GB2312" w:cs="仿宋_GB2312"/>
          <w:color w:val="auto"/>
          <w:sz w:val="36"/>
          <w:szCs w:val="36"/>
          <w:highlight w:val="none"/>
          <w:u w:val="single"/>
          <w:lang w:val="en-US" w:eastAsia="zh-CN"/>
        </w:rPr>
        <w:t xml:space="preserve"> </w:t>
      </w:r>
      <w:r>
        <w:rPr>
          <w:rFonts w:hint="eastAsia" w:eastAsia="仿宋_GB2312" w:cs="Times New Roman"/>
          <w:color w:val="auto"/>
          <w:sz w:val="36"/>
          <w:szCs w:val="36"/>
          <w:highlight w:val="none"/>
          <w:u w:val="single"/>
          <w:lang w:val="en-US" w:eastAsia="zh-CN"/>
        </w:rPr>
        <w:t xml:space="preserve">             </w:t>
      </w:r>
    </w:p>
    <w:p w14:paraId="153D40BE">
      <w:pPr>
        <w:adjustRightInd w:val="0"/>
        <w:snapToGrid w:val="0"/>
        <w:spacing w:line="288" w:lineRule="auto"/>
        <w:rPr>
          <w:rFonts w:hint="default" w:ascii="Times New Roman" w:hAnsi="Times New Roman" w:eastAsia="仿宋_GB2312" w:cs="Times New Roman"/>
          <w:color w:val="auto"/>
          <w:sz w:val="36"/>
          <w:szCs w:val="36"/>
          <w:highlight w:val="none"/>
          <w:u w:val="single"/>
          <w:lang w:val="en-US"/>
        </w:rPr>
      </w:pPr>
      <w:r>
        <w:rPr>
          <w:rFonts w:hint="default" w:ascii="Times New Roman" w:hAnsi="Times New Roman" w:eastAsia="仿宋_GB2312" w:cs="Times New Roman"/>
          <w:color w:val="auto"/>
          <w:sz w:val="36"/>
          <w:szCs w:val="36"/>
          <w:highlight w:val="none"/>
        </w:rPr>
        <w:t>建设单位：</w:t>
      </w:r>
      <w:r>
        <w:rPr>
          <w:rFonts w:hint="eastAsia" w:eastAsia="仿宋_GB2312" w:cs="Times New Roman"/>
          <w:color w:val="auto"/>
          <w:sz w:val="36"/>
          <w:szCs w:val="36"/>
          <w:highlight w:val="none"/>
          <w:u w:val="single"/>
          <w:lang w:val="en-US" w:eastAsia="zh-CN"/>
        </w:rPr>
        <w:t xml:space="preserve">     </w:t>
      </w:r>
      <w:r>
        <w:rPr>
          <w:rFonts w:hint="eastAsia" w:ascii="仿宋_GB2312" w:hAnsi="仿宋_GB2312" w:eastAsia="仿宋_GB2312" w:cs="仿宋_GB2312"/>
          <w:color w:val="auto"/>
          <w:sz w:val="36"/>
          <w:szCs w:val="36"/>
          <w:u w:val="single"/>
          <w:lang w:val="en-US" w:eastAsia="zh-CN"/>
        </w:rPr>
        <w:t>鸡东县新向阳粮库有限责任公司</w:t>
      </w:r>
      <w:r>
        <w:rPr>
          <w:rFonts w:hint="eastAsia" w:ascii="仿宋_GB2312" w:hAnsi="仿宋_GB2312" w:eastAsia="仿宋_GB2312" w:cs="仿宋_GB2312"/>
          <w:color w:val="auto"/>
          <w:sz w:val="36"/>
          <w:szCs w:val="36"/>
          <w:u w:val="single"/>
          <w:lang w:val="en-US" w:eastAsia="zh-CN"/>
        </w:rPr>
        <w:tab/>
      </w:r>
      <w:r>
        <w:rPr>
          <w:rFonts w:hint="eastAsia" w:eastAsia="仿宋_GB2312" w:cs="Times New Roman"/>
          <w:color w:val="auto"/>
          <w:sz w:val="36"/>
          <w:szCs w:val="36"/>
          <w:highlight w:val="none"/>
          <w:u w:val="single"/>
          <w:lang w:val="en-US" w:eastAsia="zh-CN"/>
        </w:rPr>
        <w:t xml:space="preserve">        </w:t>
      </w:r>
    </w:p>
    <w:p w14:paraId="335DC435">
      <w:pPr>
        <w:adjustRightInd w:val="0"/>
        <w:snapToGrid w:val="0"/>
        <w:spacing w:line="288" w:lineRule="auto"/>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编制日期：</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4</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12</w:t>
      </w:r>
      <w:r>
        <w:rPr>
          <w:rFonts w:hint="default" w:ascii="Times New Roman" w:hAnsi="Times New Roman" w:eastAsia="仿宋_GB2312" w:cs="Times New Roman"/>
          <w:color w:val="auto"/>
          <w:sz w:val="36"/>
          <w:szCs w:val="36"/>
          <w:highlight w:val="none"/>
          <w:u w:val="single"/>
        </w:rPr>
        <w:t xml:space="preserve">月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4734AC46">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14:paraId="13118DB2">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532818BD">
      <w:pPr>
        <w:adjustRightInd w:val="0"/>
        <w:snapToGrid w:val="0"/>
        <w:spacing w:line="288" w:lineRule="auto"/>
        <w:rPr>
          <w:rFonts w:hint="default" w:ascii="Times New Roman" w:hAnsi="Times New Roman" w:eastAsia="仿宋_GB2312" w:cs="Times New Roman"/>
          <w:color w:val="auto"/>
          <w:sz w:val="36"/>
          <w:szCs w:val="36"/>
          <w:highlight w:val="none"/>
        </w:rPr>
      </w:pPr>
    </w:p>
    <w:p w14:paraId="3051AE77">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4C3D6F2">
      <w:pPr>
        <w:adjustRightInd w:val="0"/>
        <w:snapToGrid w:val="0"/>
        <w:spacing w:line="288" w:lineRule="auto"/>
        <w:jc w:val="center"/>
        <w:rPr>
          <w:rFonts w:hint="default" w:ascii="Times New Roman" w:hAnsi="Times New Roman" w:eastAsia="楷体_GB2312" w:cs="Times New Roman"/>
          <w:color w:val="auto"/>
          <w:sz w:val="36"/>
          <w:szCs w:val="36"/>
          <w:highlight w:val="none"/>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default" w:ascii="Times New Roman" w:hAnsi="Times New Roman" w:eastAsia="楷体_GB2312" w:cs="Times New Roman"/>
          <w:color w:val="auto"/>
          <w:sz w:val="36"/>
          <w:szCs w:val="36"/>
          <w:highlight w:val="none"/>
        </w:rPr>
        <w:t>中华人民共和国生态环境部</w:t>
      </w:r>
    </w:p>
    <w:p w14:paraId="2B1C6CEC">
      <w:pPr>
        <w:pStyle w:val="30"/>
        <w:jc w:val="center"/>
        <w:rPr>
          <w:rFonts w:hint="default"/>
          <w:color w:val="auto"/>
        </w:rPr>
        <w:sectPr>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eastAsia" w:eastAsia="宋体"/>
          <w:color w:val="auto"/>
          <w:lang w:eastAsia="zh-CN"/>
        </w:rPr>
        <w:drawing>
          <wp:inline distT="0" distB="0" distL="114300" distR="114300">
            <wp:extent cx="5579110" cy="7439025"/>
            <wp:effectExtent l="0" t="0" r="2540" b="9525"/>
            <wp:docPr id="73" name="图片 73" descr="50b948d6bb1024d9240861ce4283d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50b948d6bb1024d9240861ce4283df9"/>
                    <pic:cNvPicPr>
                      <a:picLocks noChangeAspect="1"/>
                    </pic:cNvPicPr>
                  </pic:nvPicPr>
                  <pic:blipFill>
                    <a:blip r:embed="rId8"/>
                    <a:stretch>
                      <a:fillRect/>
                    </a:stretch>
                  </pic:blipFill>
                  <pic:spPr>
                    <a:xfrm>
                      <a:off x="0" y="0"/>
                      <a:ext cx="5579110" cy="7439025"/>
                    </a:xfrm>
                    <a:prstGeom prst="rect">
                      <a:avLst/>
                    </a:prstGeom>
                  </pic:spPr>
                </pic:pic>
              </a:graphicData>
            </a:graphic>
          </wp:inline>
        </w:drawing>
      </w:r>
    </w:p>
    <w:p w14:paraId="298EA80D">
      <w:pPr>
        <w:pStyle w:val="29"/>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2" w:name="_Toc16950"/>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5"/>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4"/>
        <w:gridCol w:w="2139"/>
        <w:gridCol w:w="2145"/>
        <w:gridCol w:w="3163"/>
      </w:tblGrid>
      <w:tr w14:paraId="32FBD5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44D40A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57A61066">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1"/>
                <w:szCs w:val="21"/>
                <w:highlight w:val="none"/>
                <w:lang w:eastAsia="zh-CN"/>
              </w:rPr>
            </w:pPr>
            <w:r>
              <w:rPr>
                <w:rFonts w:hint="eastAsia" w:eastAsia="宋体"/>
                <w:color w:val="auto"/>
                <w:sz w:val="21"/>
                <w:szCs w:val="21"/>
                <w:lang w:val="en-US" w:eastAsia="zh-CN"/>
              </w:rPr>
              <w:t>鸡东县新向阳粮库有限责任公司建设项目</w:t>
            </w:r>
          </w:p>
        </w:tc>
      </w:tr>
      <w:tr w14:paraId="0C6C3C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8C24E9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2F4B960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无</w:t>
            </w:r>
          </w:p>
        </w:tc>
      </w:tr>
      <w:tr w14:paraId="4C3E8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D1976F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1179" w:type="pct"/>
            <w:vAlign w:val="center"/>
          </w:tcPr>
          <w:p w14:paraId="0D9CC89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1"/>
                <w:szCs w:val="21"/>
                <w:highlight w:val="none"/>
                <w:lang w:eastAsia="zh-CN"/>
              </w:rPr>
            </w:pPr>
            <w:r>
              <w:rPr>
                <w:rFonts w:hint="eastAsia"/>
                <w:color w:val="auto"/>
                <w:sz w:val="21"/>
                <w:szCs w:val="21"/>
                <w:lang w:val="en-US" w:eastAsia="zh-CN"/>
              </w:rPr>
              <w:t>孙亚林</w:t>
            </w:r>
          </w:p>
        </w:tc>
        <w:tc>
          <w:tcPr>
            <w:tcW w:w="1182" w:type="pct"/>
            <w:vAlign w:val="center"/>
          </w:tcPr>
          <w:p w14:paraId="66CC1E7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1743" w:type="pct"/>
            <w:vAlign w:val="center"/>
          </w:tcPr>
          <w:p w14:paraId="345BEB4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 w:val="21"/>
                <w:szCs w:val="21"/>
                <w:highlight w:val="none"/>
              </w:rPr>
            </w:pPr>
            <w:r>
              <w:rPr>
                <w:rFonts w:hint="eastAsia"/>
                <w:color w:val="auto"/>
                <w:sz w:val="21"/>
                <w:szCs w:val="21"/>
                <w:lang w:val="en-US" w:eastAsia="zh-CN"/>
              </w:rPr>
              <w:t>13946851858</w:t>
            </w:r>
          </w:p>
        </w:tc>
      </w:tr>
      <w:tr w14:paraId="0F894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09904C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3C937A0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黑龙江省鸡西市鸡东县向阳镇向阳村</w:t>
            </w:r>
          </w:p>
        </w:tc>
      </w:tr>
      <w:tr w14:paraId="2DB87A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FB3093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1FD90D1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Cs w:val="21"/>
                <w:highlight w:val="none"/>
              </w:rPr>
            </w:pP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u w:val="single"/>
              </w:rPr>
              <w:t xml:space="preserve"> 1</w:t>
            </w:r>
            <w:r>
              <w:rPr>
                <w:rFonts w:hint="eastAsia" w:cs="Times New Roman" w:eastAsiaTheme="minorEastAsia"/>
                <w:color w:val="auto"/>
                <w:szCs w:val="21"/>
                <w:highlight w:val="none"/>
                <w:u w:val="single"/>
                <w:lang w:val="en-US" w:eastAsia="zh-CN"/>
              </w:rPr>
              <w:t>31</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31</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22.781</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r>
              <w:rPr>
                <w:rFonts w:hint="default" w:ascii="Times New Roman" w:hAnsi="Times New Roman" w:cs="Times New Roman" w:eastAsiaTheme="minorEastAsia"/>
                <w:color w:val="auto"/>
                <w:szCs w:val="21"/>
                <w:highlight w:val="none"/>
                <w:u w:val="single"/>
              </w:rPr>
              <w:t xml:space="preserve"> 4</w:t>
            </w:r>
            <w:r>
              <w:rPr>
                <w:rFonts w:hint="eastAsia" w:cs="Times New Roman" w:eastAsiaTheme="minorEastAsia"/>
                <w:color w:val="auto"/>
                <w:szCs w:val="21"/>
                <w:highlight w:val="none"/>
                <w:u w:val="single"/>
                <w:lang w:val="en-US" w:eastAsia="zh-CN"/>
              </w:rPr>
              <w:t>5</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14</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14.678</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p>
        </w:tc>
      </w:tr>
      <w:tr w14:paraId="618378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BADAAE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4C3A986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center"/>
          </w:tcPr>
          <w:p w14:paraId="2321994F">
            <w:pPr>
              <w:pStyle w:val="85"/>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A0514农产品初加工活动；</w:t>
            </w:r>
          </w:p>
          <w:p w14:paraId="765B76B3">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1"/>
                <w:szCs w:val="21"/>
                <w:highlight w:val="none"/>
                <w:lang w:val="en-US"/>
              </w:rPr>
            </w:pPr>
            <w:r>
              <w:rPr>
                <w:rFonts w:hint="default" w:ascii="Times New Roman" w:hAnsi="Times New Roman" w:eastAsia="宋体" w:cs="Times New Roman"/>
                <w:color w:val="auto"/>
                <w:sz w:val="21"/>
                <w:szCs w:val="21"/>
                <w:highlight w:val="none"/>
              </w:rPr>
              <w:t>D4430热力生产和供应</w:t>
            </w:r>
          </w:p>
        </w:tc>
        <w:tc>
          <w:tcPr>
            <w:tcW w:w="1182" w:type="pct"/>
            <w:vAlign w:val="center"/>
          </w:tcPr>
          <w:p w14:paraId="2AD4B3E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270485A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center"/>
          </w:tcPr>
          <w:p w14:paraId="51FD13AD">
            <w:pPr>
              <w:keepNext w:val="0"/>
              <w:keepLines w:val="0"/>
              <w:widowControl/>
              <w:suppressLineNumbers w:val="0"/>
              <w:spacing w:before="0" w:beforeAutospacing="0" w:after="0" w:afterAutospacing="0"/>
              <w:ind w:left="0" w:right="0"/>
              <w:jc w:val="center"/>
              <w:rPr>
                <w:rFonts w:hint="default" w:eastAsia="宋体"/>
                <w:color w:val="auto"/>
                <w:highlight w:val="none"/>
                <w:lang w:val="en-US" w:eastAsia="zh-CN"/>
              </w:rPr>
            </w:pPr>
            <w:r>
              <w:rPr>
                <w:rFonts w:hint="default" w:ascii="Times New Roman" w:hAnsi="Times New Roman" w:eastAsia="宋体" w:cs="Times New Roman"/>
                <w:color w:val="auto"/>
                <w:sz w:val="21"/>
                <w:szCs w:val="21"/>
                <w:highlight w:val="none"/>
                <w:lang w:val="en-US"/>
              </w:rPr>
              <w:t>四十一、电力、热力生产和供应业 91.热力生产和供应工程（包括建设单位自建自用的供热工程）</w:t>
            </w:r>
          </w:p>
        </w:tc>
      </w:tr>
      <w:tr w14:paraId="67755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004781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422D1FBD">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新建（迁建）</w:t>
            </w:r>
          </w:p>
          <w:p w14:paraId="1F07137A">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改建</w:t>
            </w:r>
          </w:p>
          <w:p w14:paraId="61EB8E9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扩建</w:t>
            </w:r>
          </w:p>
          <w:p w14:paraId="740104C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55D6CDD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415FBDB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64219FC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14:paraId="064FA90E">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1A7FA07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68B94202">
            <w:pPr>
              <w:keepNext w:val="0"/>
              <w:keepLines w:val="0"/>
              <w:suppressLineNumbers w:val="0"/>
              <w:spacing w:before="0" w:beforeAutospacing="0" w:after="0" w:afterAutospacing="0"/>
              <w:ind w:left="0" w:right="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14:paraId="3F28E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1283E9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202EE5E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35FD4B0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025692F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2075D55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03DC2A4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2503CF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B104CC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2139" w:type="dxa"/>
            <w:vAlign w:val="center"/>
          </w:tcPr>
          <w:p w14:paraId="3C331F55">
            <w:pPr>
              <w:pStyle w:val="8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1"/>
                <w:highlight w:val="none"/>
                <w:lang w:val="en-US" w:eastAsia="zh-CN"/>
              </w:rPr>
            </w:pPr>
            <w:r>
              <w:rPr>
                <w:rFonts w:hint="eastAsia" w:eastAsia="宋体" w:cs="Times New Roman"/>
                <w:color w:val="auto"/>
                <w:kern w:val="21"/>
                <w:highlight w:val="none"/>
                <w:lang w:val="en-US" w:eastAsia="zh-CN"/>
              </w:rPr>
              <w:t>117.95</w:t>
            </w:r>
          </w:p>
        </w:tc>
        <w:tc>
          <w:tcPr>
            <w:tcW w:w="1182" w:type="pct"/>
            <w:tcMar>
              <w:top w:w="16" w:type="dxa"/>
              <w:left w:w="16" w:type="dxa"/>
              <w:right w:w="16" w:type="dxa"/>
            </w:tcMar>
            <w:vAlign w:val="center"/>
          </w:tcPr>
          <w:p w14:paraId="6433AF2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14:paraId="13732876">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27.7</w:t>
            </w:r>
          </w:p>
        </w:tc>
      </w:tr>
      <w:tr w14:paraId="4FEC4F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8900BB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2139" w:type="dxa"/>
            <w:vAlign w:val="center"/>
          </w:tcPr>
          <w:p w14:paraId="0C2A8660">
            <w:pPr>
              <w:pStyle w:val="85"/>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23.5</w:t>
            </w:r>
          </w:p>
        </w:tc>
        <w:tc>
          <w:tcPr>
            <w:tcW w:w="1182" w:type="pct"/>
            <w:tcMar>
              <w:top w:w="16" w:type="dxa"/>
              <w:left w:w="16" w:type="dxa"/>
              <w:right w:w="16" w:type="dxa"/>
            </w:tcMar>
            <w:vAlign w:val="center"/>
          </w:tcPr>
          <w:p w14:paraId="49F6404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施工工期</w:t>
            </w:r>
          </w:p>
        </w:tc>
        <w:tc>
          <w:tcPr>
            <w:tcW w:w="1743" w:type="pct"/>
            <w:vAlign w:val="center"/>
          </w:tcPr>
          <w:p w14:paraId="00BCAF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2025年4月-2025年5月</w:t>
            </w:r>
          </w:p>
        </w:tc>
      </w:tr>
      <w:tr w14:paraId="16ACB1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277F351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02614BBD">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14:paraId="2ACC0E99">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14:paraId="6CC02D1C">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1341A445">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Cs w:val="21"/>
                <w:highlight w:val="none"/>
                <w:lang w:val="en-US" w:eastAsia="zh-CN"/>
              </w:rPr>
            </w:pPr>
            <w:r>
              <w:rPr>
                <w:rFonts w:hint="eastAsia" w:eastAsia="宋体" w:cs="Times New Roman"/>
                <w:b w:val="0"/>
                <w:bCs w:val="0"/>
                <w:color w:val="auto"/>
                <w:kern w:val="21"/>
                <w:sz w:val="21"/>
                <w:szCs w:val="21"/>
                <w:highlight w:val="none"/>
                <w:lang w:val="en-US" w:eastAsia="zh-CN"/>
              </w:rPr>
              <w:t>0</w:t>
            </w:r>
          </w:p>
        </w:tc>
      </w:tr>
      <w:tr w14:paraId="43EC2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7A46DA1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54E07E26">
            <w:pPr>
              <w:keepNext w:val="0"/>
              <w:keepLines w:val="0"/>
              <w:suppressLineNumbers w:val="0"/>
              <w:snapToGrid w:val="0"/>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0AC482D5">
            <w:pPr>
              <w:keepNext w:val="0"/>
              <w:keepLines w:val="0"/>
              <w:suppressLineNumbers w:val="0"/>
              <w:snapToGrid w:val="0"/>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0"/>
              <w:gridCol w:w="4045"/>
            </w:tblGrid>
            <w:tr w14:paraId="65822D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0ED55906">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noWrap w:val="0"/>
                  <w:vAlign w:val="center"/>
                </w:tcPr>
                <w:p w14:paraId="0753AF6B">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48414E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6DA0A1AE">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noWrap w:val="0"/>
                  <w:vAlign w:val="center"/>
                </w:tcPr>
                <w:p w14:paraId="430CD7C0">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，不需设置大气专项评价。</w:t>
                  </w:r>
                </w:p>
              </w:tc>
            </w:tr>
            <w:tr w14:paraId="6207E4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0EE3186B">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noWrap w:val="0"/>
                  <w:vAlign w:val="center"/>
                </w:tcPr>
                <w:p w14:paraId="27957EEB">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14:paraId="659551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0E800514">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2727" w:type="pct"/>
                  <w:noWrap w:val="0"/>
                  <w:vAlign w:val="center"/>
                </w:tcPr>
                <w:p w14:paraId="7B6B2B08">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eastAsia="宋体" w:cs="Times New Roman"/>
                      <w:color w:val="auto"/>
                      <w:kern w:val="2"/>
                      <w:sz w:val="18"/>
                      <w:szCs w:val="18"/>
                      <w:highlight w:val="none"/>
                      <w:lang w:val="en-US" w:eastAsia="zh-CN" w:bidi="ar-SA"/>
                    </w:rPr>
                    <w:t>本项目涉及危险物质存储量未超过临界量</w:t>
                  </w:r>
                  <w:r>
                    <w:rPr>
                      <w:rFonts w:hint="eastAsia" w:ascii="Times New Roman" w:hAnsi="Times New Roman" w:eastAsia="宋体" w:cs="Times New Roman"/>
                      <w:color w:val="auto"/>
                      <w:kern w:val="2"/>
                      <w:sz w:val="18"/>
                      <w:szCs w:val="18"/>
                      <w:highlight w:val="none"/>
                      <w:lang w:val="en-US" w:eastAsia="zh-CN" w:bidi="ar-SA"/>
                    </w:rPr>
                    <w:t>，因此无需开展环境风险专项评价</w:t>
                  </w:r>
                </w:p>
              </w:tc>
            </w:tr>
            <w:tr w14:paraId="6D2BB9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0E63AFEE">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noWrap w:val="0"/>
                  <w:vAlign w:val="center"/>
                </w:tcPr>
                <w:p w14:paraId="3D003D89">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本项目供水</w:t>
                  </w:r>
                  <w:r>
                    <w:rPr>
                      <w:rFonts w:hint="eastAsia" w:ascii="Times New Roman" w:hAnsi="Times New Roman"/>
                      <w:color w:val="auto"/>
                      <w:sz w:val="18"/>
                      <w:szCs w:val="18"/>
                      <w:highlight w:val="none"/>
                      <w:lang w:val="en-US" w:eastAsia="zh-CN"/>
                    </w:rPr>
                    <w:t>由厂区外购，不属于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14:paraId="303521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30016D17">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noWrap w:val="0"/>
                  <w:vAlign w:val="center"/>
                </w:tcPr>
                <w:p w14:paraId="637CA32E">
                  <w:pPr>
                    <w:pStyle w:val="26"/>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2BD9B3E2">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14:paraId="1B8533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3A3017F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4104" w:type="pct"/>
            <w:gridSpan w:val="3"/>
            <w:tcMar>
              <w:top w:w="16" w:type="dxa"/>
              <w:left w:w="16" w:type="dxa"/>
              <w:right w:w="16" w:type="dxa"/>
            </w:tcMar>
            <w:vAlign w:val="center"/>
          </w:tcPr>
          <w:p w14:paraId="443407F4">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5B4274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7C5F4E9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319C8CF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4104" w:type="pct"/>
            <w:gridSpan w:val="3"/>
            <w:tcMar>
              <w:top w:w="16" w:type="dxa"/>
              <w:left w:w="16" w:type="dxa"/>
              <w:right w:w="16" w:type="dxa"/>
            </w:tcMar>
            <w:vAlign w:val="center"/>
          </w:tcPr>
          <w:p w14:paraId="513F8B71">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715190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95" w:type="pct"/>
            <w:tcMar>
              <w:top w:w="16" w:type="dxa"/>
              <w:left w:w="16" w:type="dxa"/>
              <w:right w:w="16" w:type="dxa"/>
            </w:tcMar>
            <w:vAlign w:val="center"/>
          </w:tcPr>
          <w:p w14:paraId="77FD73F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4104" w:type="pct"/>
            <w:gridSpan w:val="3"/>
            <w:tcMar>
              <w:top w:w="16" w:type="dxa"/>
              <w:left w:w="16" w:type="dxa"/>
              <w:right w:w="16" w:type="dxa"/>
            </w:tcMar>
            <w:vAlign w:val="center"/>
          </w:tcPr>
          <w:p w14:paraId="1DB344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color w:val="auto"/>
                <w:highlight w:val="none"/>
                <w:lang w:val="en-US" w:eastAsia="zh-CN"/>
              </w:rPr>
            </w:pPr>
            <w:r>
              <w:rPr>
                <w:rFonts w:hint="eastAsia"/>
                <w:color w:val="auto"/>
                <w:highlight w:val="none"/>
                <w:lang w:val="en-US" w:eastAsia="zh-CN"/>
              </w:rPr>
              <w:t>无</w:t>
            </w:r>
          </w:p>
        </w:tc>
      </w:tr>
      <w:tr w14:paraId="4E859E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54137D19">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5C3D0A04">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firstLine="422" w:firstLineChars="200"/>
              <w:textAlignment w:val="auto"/>
              <w:rPr>
                <w:rFonts w:hint="default"/>
                <w:b/>
                <w:bCs/>
                <w:color w:val="auto"/>
                <w:kern w:val="0"/>
                <w:sz w:val="21"/>
                <w:szCs w:val="21"/>
                <w:highlight w:val="none"/>
              </w:rPr>
            </w:pPr>
            <w:r>
              <w:rPr>
                <w:rFonts w:hint="eastAsia"/>
                <w:b/>
                <w:bCs/>
                <w:color w:val="auto"/>
                <w:kern w:val="0"/>
                <w:sz w:val="21"/>
                <w:szCs w:val="21"/>
                <w:highlight w:val="none"/>
                <w:lang w:val="en-US" w:eastAsia="zh-CN"/>
              </w:rPr>
              <w:t>1、</w:t>
            </w:r>
            <w:r>
              <w:rPr>
                <w:rFonts w:hint="eastAsia"/>
                <w:b/>
                <w:bCs/>
                <w:color w:val="auto"/>
                <w:kern w:val="0"/>
                <w:sz w:val="21"/>
                <w:szCs w:val="21"/>
                <w:highlight w:val="none"/>
                <w:lang w:eastAsia="zh-CN"/>
              </w:rPr>
              <w:t>生态环境分区管控</w:t>
            </w:r>
            <w:r>
              <w:rPr>
                <w:rFonts w:hint="eastAsia"/>
                <w:b/>
                <w:bCs/>
                <w:color w:val="auto"/>
                <w:kern w:val="0"/>
                <w:sz w:val="21"/>
                <w:szCs w:val="21"/>
                <w:highlight w:val="none"/>
              </w:rPr>
              <w:t>符合性分析</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本项目位于</w:t>
            </w:r>
            <w:r>
              <w:rPr>
                <w:rFonts w:hint="eastAsia" w:cs="Times New Roman"/>
                <w:color w:val="auto"/>
                <w:sz w:val="21"/>
                <w:szCs w:val="21"/>
                <w:highlight w:val="none"/>
                <w:lang w:val="en-US" w:eastAsia="zh-CN"/>
              </w:rPr>
              <w:t>黑龙江省鸡西市鸡东县向阳镇向阳村</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和《</w:t>
            </w:r>
            <w:r>
              <w:rPr>
                <w:rFonts w:hint="eastAsia" w:cs="Times New Roman"/>
                <w:color w:val="auto"/>
                <w:kern w:val="0"/>
                <w:sz w:val="21"/>
                <w:szCs w:val="21"/>
                <w:highlight w:val="none"/>
                <w:lang w:eastAsia="zh-CN" w:bidi="ar"/>
              </w:rPr>
              <w:t>鸡东县新向阳粮库有限责任公司建设项目生态环境分区管控分析报告》（见附件）</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本项目与“生态环境分区管控”符合性如下：</w:t>
            </w:r>
          </w:p>
          <w:p w14:paraId="45BA23DF">
            <w:pPr>
              <w:pStyle w:val="26"/>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eastAsia"/>
                <w:color w:val="auto"/>
                <w:sz w:val="21"/>
                <w:szCs w:val="21"/>
                <w:lang w:eastAsia="zh-CN"/>
              </w:rPr>
            </w:pPr>
            <w:r>
              <w:rPr>
                <w:rFonts w:hint="eastAsia" w:ascii="Calibri" w:hAnsi="Calibri" w:eastAsia="宋体" w:cs="Times New Roman"/>
                <w:color w:val="auto"/>
                <w:kern w:val="2"/>
                <w:sz w:val="21"/>
                <w:szCs w:val="21"/>
                <w:lang w:val="en-US" w:eastAsia="zh-CN" w:bidi="ar-SA"/>
              </w:rPr>
              <w:t>（1）</w:t>
            </w:r>
            <w:r>
              <w:rPr>
                <w:rFonts w:hint="eastAsia"/>
                <w:color w:val="auto"/>
                <w:sz w:val="21"/>
                <w:szCs w:val="21"/>
                <w:lang w:eastAsia="zh-CN"/>
              </w:rPr>
              <w:t>“一图”</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bidi="ar"/>
              </w:rPr>
            </w:pPr>
            <w:r>
              <w:rPr>
                <w:rFonts w:hint="eastAsia"/>
                <w:color w:val="auto"/>
                <w:sz w:val="21"/>
                <w:szCs w:val="21"/>
                <w:lang w:eastAsia="zh-CN"/>
              </w:rPr>
              <w:t>根据</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鸡东县新向阳粮库有限责任公司建设项目生态环境分区管控分析报告》，项目与环境管控单元叠加图见图</w:t>
            </w:r>
            <w:r>
              <w:rPr>
                <w:rFonts w:hint="eastAsia" w:cs="Times New Roman"/>
                <w:color w:val="auto"/>
                <w:kern w:val="0"/>
                <w:sz w:val="21"/>
                <w:szCs w:val="21"/>
                <w:highlight w:val="none"/>
                <w:lang w:val="en-US" w:eastAsia="zh-CN" w:bidi="ar"/>
              </w:rPr>
              <w:t>1-1。</w:t>
            </w:r>
          </w:p>
          <w:p w14:paraId="6964E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eastAsia="宋体" w:cs="宋体"/>
                <w:b/>
                <w:bCs/>
                <w:color w:val="auto"/>
                <w:kern w:val="0"/>
                <w:sz w:val="21"/>
                <w:szCs w:val="21"/>
                <w:highlight w:val="none"/>
                <w:lang w:eastAsia="zh-CN"/>
              </w:rPr>
            </w:pPr>
            <w:r>
              <w:rPr>
                <w:rFonts w:hint="default"/>
                <w:color w:val="auto"/>
              </w:rPr>
              <w:drawing>
                <wp:inline distT="0" distB="0" distL="114300" distR="114300">
                  <wp:extent cx="4684395" cy="2427605"/>
                  <wp:effectExtent l="0" t="0" r="1905" b="10795"/>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9"/>
                          <a:stretch>
                            <a:fillRect/>
                          </a:stretch>
                        </pic:blipFill>
                        <pic:spPr>
                          <a:xfrm>
                            <a:off x="0" y="0"/>
                            <a:ext cx="4684395" cy="242760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eastAsia="zh-CN"/>
              </w:rPr>
              <w:t>图</w:t>
            </w:r>
            <w:r>
              <w:rPr>
                <w:rFonts w:hint="eastAsia" w:ascii="宋体" w:hAnsi="宋体" w:eastAsia="宋体" w:cs="宋体"/>
                <w:b/>
                <w:bCs/>
                <w:color w:val="auto"/>
                <w:kern w:val="0"/>
                <w:sz w:val="21"/>
                <w:szCs w:val="21"/>
                <w:highlight w:val="none"/>
                <w:lang w:val="en-US" w:eastAsia="zh-CN"/>
              </w:rPr>
              <w:t>1-1与生态环境分区管控叠加图</w:t>
            </w:r>
          </w:p>
          <w:p w14:paraId="07F4930B">
            <w:pPr>
              <w:pStyle w:val="150"/>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一表”</w:t>
            </w:r>
          </w:p>
          <w:p w14:paraId="346552CF">
            <w:pPr>
              <w:pStyle w:val="1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本项目与生态环境准入清单符合性情况见表1-2。</w:t>
            </w:r>
          </w:p>
          <w:p w14:paraId="30B4B2A4">
            <w:pPr>
              <w:keepNext w:val="0"/>
              <w:keepLines w:val="0"/>
              <w:suppressLineNumbers w:val="0"/>
              <w:bidi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表1-</w:t>
            </w:r>
            <w:r>
              <w:rPr>
                <w:rFonts w:hint="eastAsia"/>
                <w:b/>
                <w:bCs/>
                <w:color w:val="auto"/>
                <w:sz w:val="21"/>
                <w:szCs w:val="21"/>
                <w:highlight w:val="none"/>
                <w:lang w:val="en-US" w:eastAsia="zh-CN"/>
              </w:rPr>
              <w:t xml:space="preserve">2   </w:t>
            </w:r>
            <w:r>
              <w:rPr>
                <w:rFonts w:hint="default"/>
                <w:b/>
                <w:bCs/>
                <w:color w:val="auto"/>
                <w:sz w:val="21"/>
                <w:szCs w:val="21"/>
                <w:highlight w:val="none"/>
              </w:rPr>
              <w:t>生态环境准入清单符合性分析</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208"/>
              <w:gridCol w:w="4338"/>
              <w:gridCol w:w="1631"/>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32C3D2D">
                  <w:pPr>
                    <w:pStyle w:val="163"/>
                    <w:keepNext w:val="0"/>
                    <w:keepLines w:val="0"/>
                    <w:suppressLineNumbers w:val="0"/>
                    <w:spacing w:before="0" w:beforeAutospacing="0" w:after="0" w:afterAutospacing="0" w:line="240" w:lineRule="auto"/>
                    <w:ind w:left="0" w:right="0" w:firstLine="420"/>
                    <w:rPr>
                      <w:rFonts w:hint="default"/>
                      <w:color w:val="auto"/>
                      <w:sz w:val="21"/>
                      <w:szCs w:val="21"/>
                      <w:highlight w:val="none"/>
                    </w:rPr>
                  </w:pPr>
                  <w:r>
                    <w:rPr>
                      <w:rFonts w:hint="eastAsia"/>
                      <w:color w:val="auto"/>
                      <w:sz w:val="21"/>
                      <w:szCs w:val="21"/>
                      <w:lang w:val="en-US" w:eastAsia="zh-CN"/>
                    </w:rPr>
                    <w:t>根据</w:t>
                  </w:r>
                  <w:r>
                    <w:rPr>
                      <w:rFonts w:hint="eastAsia" w:ascii="Times New Roman" w:hAnsi="Times New Roman" w:cs="Times New Roman"/>
                      <w:color w:val="auto"/>
                      <w:sz w:val="21"/>
                      <w:szCs w:val="21"/>
                      <w:lang w:val="en-US" w:eastAsia="zh-CN"/>
                    </w:rPr>
                    <w:t>《</w:t>
                  </w:r>
                  <w:r>
                    <w:rPr>
                      <w:rFonts w:hint="eastAsia" w:cs="Times New Roman"/>
                      <w:color w:val="auto"/>
                      <w:kern w:val="0"/>
                      <w:sz w:val="21"/>
                      <w:szCs w:val="21"/>
                      <w:highlight w:val="none"/>
                      <w:lang w:eastAsia="zh-CN" w:bidi="ar"/>
                    </w:rPr>
                    <w:t>鸡东县新向阳粮库有限责任公司建设项目生态环境分区管控分析报告</w:t>
                  </w:r>
                  <w:r>
                    <w:rPr>
                      <w:rFonts w:hint="eastAsia"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0A370CA">
                  <w:pPr>
                    <w:pStyle w:val="164"/>
                    <w:keepNext w:val="0"/>
                    <w:keepLines w:val="0"/>
                    <w:suppressLineNumbers w:val="0"/>
                    <w:spacing w:before="0" w:beforeAutospacing="0" w:after="0" w:afterAutospacing="0"/>
                    <w:ind w:left="0" w:right="0" w:firstLine="48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164"/>
                    <w:keepNext w:val="0"/>
                    <w:keepLines w:val="0"/>
                    <w:suppressLineNumbers w:val="0"/>
                    <w:spacing w:before="0" w:beforeAutospacing="0" w:after="0" w:afterAutospacing="0"/>
                    <w:ind w:left="0" w:right="0" w:firstLine="482"/>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1、大气环境</w:t>
                  </w:r>
                </w:p>
                <w:p w14:paraId="5A69A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rPr>
                  </w:pPr>
                  <w:r>
                    <w:rPr>
                      <w:rFonts w:hint="default" w:ascii="Times New Roman" w:hAnsi="Times New Roman"/>
                      <w:color w:val="FF0000"/>
                      <w:sz w:val="21"/>
                      <w:szCs w:val="21"/>
                      <w:highlight w:val="none"/>
                    </w:rPr>
                    <w:t>根据《202</w:t>
                  </w:r>
                  <w:r>
                    <w:rPr>
                      <w:rFonts w:hint="eastAsia"/>
                      <w:color w:val="FF0000"/>
                      <w:sz w:val="21"/>
                      <w:szCs w:val="21"/>
                      <w:highlight w:val="none"/>
                      <w:lang w:val="en-US" w:eastAsia="zh-CN"/>
                    </w:rPr>
                    <w:t>4</w:t>
                  </w:r>
                  <w:r>
                    <w:rPr>
                      <w:rFonts w:hint="default" w:ascii="Times New Roman" w:hAnsi="Times New Roman"/>
                      <w:color w:val="FF0000"/>
                      <w:sz w:val="21"/>
                      <w:szCs w:val="21"/>
                      <w:highlight w:val="none"/>
                    </w:rPr>
                    <w:t>年黑龙江省生态环境</w:t>
                  </w:r>
                  <w:r>
                    <w:rPr>
                      <w:rFonts w:hint="eastAsia"/>
                      <w:color w:val="FF0000"/>
                      <w:sz w:val="21"/>
                      <w:szCs w:val="21"/>
                      <w:highlight w:val="none"/>
                      <w:lang w:val="en-US" w:eastAsia="zh-CN"/>
                    </w:rPr>
                    <w:t>质量</w:t>
                  </w:r>
                  <w:r>
                    <w:rPr>
                      <w:rFonts w:hint="default" w:ascii="Times New Roman" w:hAnsi="Times New Roman"/>
                      <w:color w:val="FF0000"/>
                      <w:sz w:val="21"/>
                      <w:szCs w:val="21"/>
                      <w:highlight w:val="none"/>
                    </w:rPr>
                    <w:t>状况》（202</w:t>
                  </w:r>
                  <w:r>
                    <w:rPr>
                      <w:rFonts w:hint="eastAsia"/>
                      <w:color w:val="FF0000"/>
                      <w:sz w:val="21"/>
                      <w:szCs w:val="21"/>
                      <w:highlight w:val="none"/>
                      <w:lang w:val="en-US" w:eastAsia="zh-CN"/>
                    </w:rPr>
                    <w:t>5</w:t>
                  </w:r>
                  <w:r>
                    <w:rPr>
                      <w:rFonts w:hint="default" w:ascii="Times New Roman" w:hAnsi="Times New Roman"/>
                      <w:color w:val="FF0000"/>
                      <w:sz w:val="21"/>
                      <w:szCs w:val="21"/>
                      <w:highlight w:val="none"/>
                    </w:rPr>
                    <w:t>年</w:t>
                  </w:r>
                  <w:r>
                    <w:rPr>
                      <w:rFonts w:hint="eastAsia"/>
                      <w:color w:val="FF0000"/>
                      <w:sz w:val="21"/>
                      <w:szCs w:val="21"/>
                      <w:highlight w:val="none"/>
                      <w:lang w:val="en-US" w:eastAsia="zh-CN"/>
                    </w:rPr>
                    <w:t>1</w:t>
                  </w:r>
                  <w:r>
                    <w:rPr>
                      <w:rFonts w:hint="default" w:ascii="Times New Roman" w:hAnsi="Times New Roman"/>
                      <w:color w:val="FF0000"/>
                      <w:sz w:val="21"/>
                      <w:szCs w:val="21"/>
                      <w:highlight w:val="none"/>
                    </w:rPr>
                    <w:t>月），</w:t>
                  </w:r>
                  <w:r>
                    <w:rPr>
                      <w:rFonts w:hint="eastAsia"/>
                      <w:color w:val="FF0000"/>
                      <w:sz w:val="21"/>
                      <w:szCs w:val="21"/>
                      <w:highlight w:val="none"/>
                      <w:lang w:val="en-US" w:eastAsia="zh-CN"/>
                    </w:rPr>
                    <w:t>鸡西市空气质量级别达二级标准，PM2.5、PM10、SO2、NO2、CO-95per、O3-8h-90per年均浓度分别为27</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w:t>
                  </w:r>
                  <w:r>
                    <w:rPr>
                      <w:rFonts w:hint="eastAsia"/>
                      <w:color w:val="FF0000"/>
                      <w:sz w:val="21"/>
                      <w:szCs w:val="21"/>
                      <w:highlight w:val="none"/>
                      <w:lang w:val="en-US" w:eastAsia="zh-CN"/>
                    </w:rPr>
                    <w:t>46</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、8</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、1</w:t>
                  </w:r>
                  <w:r>
                    <w:rPr>
                      <w:rFonts w:hint="eastAsia"/>
                      <w:color w:val="FF0000"/>
                      <w:sz w:val="21"/>
                      <w:szCs w:val="21"/>
                      <w:highlight w:val="none"/>
                      <w:lang w:val="en-US" w:eastAsia="zh-CN"/>
                    </w:rPr>
                    <w:t>7</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、1.0</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、和90</w:t>
                  </w:r>
                  <w:r>
                    <w:rPr>
                      <w:rFonts w:hint="default" w:ascii="Times New Roman" w:hAnsi="Times New Roman" w:eastAsia="宋体" w:cs="Times New Roman"/>
                      <w:color w:val="FF0000"/>
                      <w:sz w:val="21"/>
                      <w:szCs w:val="21"/>
                      <w:highlight w:val="none"/>
                      <w:lang w:val="en-US" w:eastAsia="zh-CN"/>
                    </w:rPr>
                    <w:t>μ</w:t>
                  </w:r>
                  <w:r>
                    <w:rPr>
                      <w:rFonts w:hint="eastAsia" w:ascii="Times New Roman" w:hAnsi="Times New Roman" w:eastAsia="宋体" w:cs="Times New Roman"/>
                      <w:color w:val="FF0000"/>
                      <w:sz w:val="21"/>
                      <w:szCs w:val="21"/>
                      <w:highlight w:val="none"/>
                      <w:lang w:val="en-US" w:eastAsia="zh-CN"/>
                    </w:rPr>
                    <w:t>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cs="Times New Roman"/>
                      <w:color w:val="FF0000"/>
                      <w:sz w:val="21"/>
                      <w:szCs w:val="21"/>
                      <w:highlight w:val="none"/>
                      <w:vertAlign w:val="baseline"/>
                      <w:lang w:val="en-US" w:eastAsia="zh-CN"/>
                    </w:rPr>
                    <w:t>，</w:t>
                  </w:r>
                  <w:r>
                    <w:rPr>
                      <w:rFonts w:hint="eastAsia" w:ascii="Times New Roman" w:hAnsi="Times New Roman" w:eastAsia="宋体" w:cs="Times New Roman"/>
                      <w:color w:val="FF0000"/>
                      <w:kern w:val="21"/>
                      <w:sz w:val="21"/>
                      <w:szCs w:val="21"/>
                      <w:highlight w:val="none"/>
                      <w:lang w:val="en-US" w:eastAsia="zh-CN"/>
                    </w:rPr>
                    <w:t>均满足</w:t>
                  </w:r>
                  <w:r>
                    <w:rPr>
                      <w:rFonts w:hint="default" w:ascii="Times New Roman" w:hAnsi="Times New Roman" w:eastAsia="宋体" w:cs="Times New Roman"/>
                      <w:color w:val="FF0000"/>
                      <w:kern w:val="21"/>
                      <w:sz w:val="21"/>
                      <w:szCs w:val="21"/>
                      <w:highlight w:val="none"/>
                    </w:rPr>
                    <w:t>《环境空气质量标准》（GB3095-2012）中的二级标准</w:t>
                  </w:r>
                  <w:r>
                    <w:rPr>
                      <w:rFonts w:hint="eastAsia" w:ascii="Times New Roman" w:hAnsi="Times New Roman" w:eastAsia="宋体" w:cs="Times New Roman"/>
                      <w:color w:val="FF0000"/>
                      <w:kern w:val="21"/>
                      <w:sz w:val="21"/>
                      <w:szCs w:val="21"/>
                      <w:highlight w:val="none"/>
                      <w:lang w:eastAsia="zh-CN"/>
                    </w:rPr>
                    <w:t>，</w:t>
                  </w:r>
                  <w:r>
                    <w:rPr>
                      <w:rFonts w:hint="default" w:ascii="Times New Roman" w:hAnsi="Times New Roman" w:eastAsia="宋体" w:cs="Times New Roman"/>
                      <w:color w:val="FF0000"/>
                      <w:kern w:val="21"/>
                      <w:sz w:val="21"/>
                      <w:szCs w:val="21"/>
                      <w:highlight w:val="none"/>
                    </w:rPr>
                    <w:t>项目所在区域为达标区。</w:t>
                  </w:r>
                </w:p>
                <w:p w14:paraId="57E83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cs="Times New Roman"/>
                      <w:color w:val="auto"/>
                      <w:sz w:val="21"/>
                      <w:szCs w:val="21"/>
                      <w:highlight w:val="none"/>
                      <w:lang w:eastAsia="zh-CN"/>
                    </w:rPr>
                    <w:t>烟囱</w:t>
                  </w:r>
                  <w:r>
                    <w:rPr>
                      <w:rFonts w:hint="eastAsia" w:cs="Times New Roman"/>
                      <w:b w:val="0"/>
                      <w:bCs w:val="0"/>
                      <w:color w:val="auto"/>
                      <w:sz w:val="21"/>
                      <w:szCs w:val="21"/>
                      <w:highlight w:val="none"/>
                      <w:lang w:val="en-US" w:eastAsia="zh-CN"/>
                    </w:rPr>
                    <w:t>（DA001）</w:t>
                  </w:r>
                  <w:r>
                    <w:rPr>
                      <w:rFonts w:hint="eastAsia" w:ascii="Times New Roman" w:hAnsi="Times New Roman" w:eastAsia="宋体" w:cs="Times New Roman"/>
                      <w:b w:val="0"/>
                      <w:bCs w:val="0"/>
                      <w:color w:val="auto"/>
                      <w:sz w:val="21"/>
                      <w:szCs w:val="21"/>
                      <w:highlight w:val="none"/>
                      <w:lang w:val="en-US" w:eastAsia="zh-CN"/>
                    </w:rPr>
                    <w:t>高空排放</w:t>
                  </w:r>
                  <w:r>
                    <w:rPr>
                      <w:rFonts w:hint="eastAsia" w:cs="Times New Roman"/>
                      <w:b w:val="0"/>
                      <w:bCs w:val="0"/>
                      <w:color w:val="auto"/>
                      <w:sz w:val="21"/>
                      <w:szCs w:val="21"/>
                      <w:highlight w:val="none"/>
                      <w:lang w:val="en-US" w:eastAsia="zh-CN"/>
                    </w:rPr>
                    <w:t>（烟囱利旧）</w:t>
                  </w:r>
                  <w:r>
                    <w:rPr>
                      <w:rFonts w:hint="eastAsia" w:ascii="Times New Roman" w:hAnsi="Times New Roman" w:eastAsia="宋体" w:cs="Times New Roman"/>
                      <w:b w:val="0"/>
                      <w:bCs w:val="0"/>
                      <w:color w:val="auto"/>
                      <w:sz w:val="21"/>
                      <w:szCs w:val="21"/>
                      <w:highlight w:val="none"/>
                      <w:lang w:val="en-US" w:eastAsia="zh-CN"/>
                    </w:rPr>
                    <w:t>，SO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w:t>
                  </w:r>
                  <w:r>
                    <w:rPr>
                      <w:rFonts w:hint="eastAsia" w:cs="Times New Roman"/>
                      <w:color w:val="auto"/>
                      <w:sz w:val="21"/>
                      <w:szCs w:val="21"/>
                      <w:highlight w:val="none"/>
                      <w:lang w:val="en-US" w:eastAsia="zh-CN"/>
                    </w:rPr>
                    <w:t>筛分机</w:t>
                  </w:r>
                  <w:r>
                    <w:rPr>
                      <w:rFonts w:hint="eastAsia" w:ascii="Times New Roman" w:hAnsi="Times New Roman" w:cs="Times New Roman"/>
                      <w:color w:val="auto"/>
                      <w:sz w:val="21"/>
                      <w:szCs w:val="21"/>
                      <w:highlight w:val="none"/>
                      <w:lang w:eastAsia="zh-CN"/>
                    </w:rPr>
                    <w:t>，产生的粉尘经设备自带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eastAsia" w:ascii="Times New Roman" w:hAnsi="Times New Roman" w:eastAsia="宋体" w:cs="Times New Roman"/>
                      <w:b w:val="0"/>
                      <w:bCs w:val="0"/>
                      <w:color w:val="auto"/>
                      <w:sz w:val="21"/>
                      <w:szCs w:val="21"/>
                      <w:highlight w:val="none"/>
                      <w:lang w:val="en-US" w:eastAsia="zh-CN"/>
                    </w:rPr>
                    <w:t>。燃料库</w:t>
                  </w:r>
                  <w:r>
                    <w:rPr>
                      <w:rFonts w:hint="eastAsia" w:cs="Times New Roman"/>
                      <w:b w:val="0"/>
                      <w:bCs w:val="0"/>
                      <w:color w:val="auto"/>
                      <w:sz w:val="21"/>
                      <w:szCs w:val="21"/>
                      <w:highlight w:val="none"/>
                      <w:lang w:val="en-US" w:eastAsia="zh-CN"/>
                    </w:rPr>
                    <w:t>、</w:t>
                  </w:r>
                  <w:r>
                    <w:rPr>
                      <w:rFonts w:hint="eastAsia" w:cs="Times New Roman"/>
                      <w:bCs/>
                      <w:color w:val="auto"/>
                      <w:kern w:val="0"/>
                      <w:sz w:val="21"/>
                      <w:szCs w:val="21"/>
                      <w:highlight w:val="none"/>
                      <w:lang w:val="en-US" w:eastAsia="zh-CN"/>
                    </w:rPr>
                    <w:t>热风炉房</w:t>
                  </w:r>
                  <w:r>
                    <w:rPr>
                      <w:rFonts w:hint="eastAsia" w:ascii="Times New Roman" w:hAnsi="Times New Roman" w:eastAsia="宋体" w:cs="Times New Roman"/>
                      <w:b w:val="0"/>
                      <w:bCs w:val="0"/>
                      <w:color w:val="auto"/>
                      <w:sz w:val="21"/>
                      <w:szCs w:val="21"/>
                      <w:highlight w:val="none"/>
                      <w:lang w:val="en-US" w:eastAsia="zh-CN"/>
                    </w:rPr>
                    <w:t>密闭并定期洒水抑尘，减少粉尘扩散</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厂界颗粒物排放浓度符合《大气污染物综合排放标准》（GB16297-1996）表2无组织排放浓度限值要求。</w:t>
                  </w:r>
                </w:p>
                <w:p w14:paraId="41732AC3">
                  <w:pPr>
                    <w:pStyle w:val="164"/>
                    <w:keepNext w:val="0"/>
                    <w:keepLines w:val="0"/>
                    <w:suppressLineNumbers w:val="0"/>
                    <w:spacing w:before="0" w:beforeAutospacing="0" w:after="0" w:afterAutospacing="0"/>
                    <w:ind w:left="0" w:right="0" w:firstLine="482"/>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2、水环境</w:t>
                  </w:r>
                </w:p>
                <w:p w14:paraId="39165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eastAsia"/>
                      <w:color w:val="FF0000"/>
                      <w:kern w:val="0"/>
                      <w:sz w:val="21"/>
                      <w:szCs w:val="21"/>
                      <w:highlight w:val="none"/>
                    </w:rPr>
                    <w:t>本项目</w:t>
                  </w:r>
                  <w:r>
                    <w:rPr>
                      <w:rFonts w:hint="eastAsia"/>
                      <w:color w:val="FF0000"/>
                      <w:kern w:val="0"/>
                      <w:sz w:val="21"/>
                      <w:szCs w:val="21"/>
                      <w:highlight w:val="none"/>
                      <w:lang w:val="en-US" w:eastAsia="zh-CN"/>
                    </w:rPr>
                    <w:t>最近</w:t>
                  </w:r>
                  <w:r>
                    <w:rPr>
                      <w:rFonts w:hint="default"/>
                      <w:color w:val="FF0000"/>
                      <w:kern w:val="0"/>
                      <w:sz w:val="21"/>
                      <w:szCs w:val="21"/>
                      <w:highlight w:val="none"/>
                    </w:rPr>
                    <w:t>水体</w:t>
                  </w:r>
                  <w:r>
                    <w:rPr>
                      <w:rFonts w:hint="eastAsia"/>
                      <w:color w:val="FF0000"/>
                      <w:kern w:val="0"/>
                      <w:sz w:val="21"/>
                      <w:szCs w:val="21"/>
                      <w:highlight w:val="none"/>
                    </w:rPr>
                    <w:t>为</w:t>
                  </w:r>
                  <w:r>
                    <w:rPr>
                      <w:rFonts w:hint="eastAsia"/>
                      <w:color w:val="FF0000"/>
                      <w:kern w:val="0"/>
                      <w:sz w:val="21"/>
                      <w:szCs w:val="21"/>
                      <w:highlight w:val="none"/>
                      <w:lang w:val="en-US" w:eastAsia="zh-CN"/>
                    </w:rPr>
                    <w:t>穆棱河</w:t>
                  </w:r>
                  <w:r>
                    <w:rPr>
                      <w:rFonts w:hint="default" w:ascii="Times New Roman" w:hAnsi="Times New Roman" w:eastAsia="宋体" w:cs="Times New Roman"/>
                      <w:color w:val="FF0000"/>
                      <w:sz w:val="21"/>
                      <w:szCs w:val="21"/>
                      <w:highlight w:val="none"/>
                      <w:lang w:eastAsia="zh-CN"/>
                    </w:rPr>
                    <w:t>。根据</w:t>
                  </w:r>
                  <w:r>
                    <w:rPr>
                      <w:rFonts w:hint="eastAsia" w:ascii="Times New Roman" w:hAnsi="Times New Roman" w:eastAsia="宋体" w:cs="Times New Roman"/>
                      <w:color w:val="FF0000"/>
                      <w:sz w:val="21"/>
                      <w:szCs w:val="21"/>
                      <w:highlight w:val="none"/>
                      <w:lang w:val="en-US" w:eastAsia="zh-CN"/>
                    </w:rPr>
                    <w:t>《全国重要江河湖泊水功能区划（2011-2030）》，项目所在水功能区起始断面</w:t>
                  </w:r>
                  <w:r>
                    <w:rPr>
                      <w:rFonts w:hint="eastAsia" w:ascii="Times New Roman" w:hAnsi="Times New Roman" w:cs="Times New Roman"/>
                      <w:color w:val="FF0000"/>
                      <w:kern w:val="0"/>
                      <w:sz w:val="21"/>
                      <w:szCs w:val="21"/>
                      <w:highlight w:val="none"/>
                      <w:lang w:val="en-US" w:eastAsia="zh-CN"/>
                    </w:rPr>
                    <w:t>为</w:t>
                  </w:r>
                  <w:r>
                    <w:rPr>
                      <w:rFonts w:hint="eastAsia" w:ascii="Times New Roman" w:hAnsi="Times New Roman" w:eastAsia="宋体" w:cs="Times New Roman"/>
                      <w:color w:val="FF0000"/>
                      <w:sz w:val="21"/>
                      <w:szCs w:val="21"/>
                      <w:highlight w:val="none"/>
                      <w:lang w:val="en-US" w:eastAsia="zh-CN"/>
                    </w:rPr>
                    <w:t>鸡古路西100m，终止断面为凯北站，水质标准为Ⅲ类。根据鸡西市人民政府发布的《202</w:t>
                  </w:r>
                  <w:r>
                    <w:rPr>
                      <w:rFonts w:hint="eastAsia" w:cs="Times New Roman"/>
                      <w:color w:val="FF0000"/>
                      <w:sz w:val="21"/>
                      <w:szCs w:val="21"/>
                      <w:highlight w:val="none"/>
                      <w:lang w:val="en-US" w:eastAsia="zh-CN"/>
                    </w:rPr>
                    <w:t>5</w:t>
                  </w:r>
                  <w:r>
                    <w:rPr>
                      <w:rFonts w:hint="eastAsia" w:ascii="Times New Roman" w:hAnsi="Times New Roman" w:eastAsia="宋体" w:cs="Times New Roman"/>
                      <w:color w:val="FF0000"/>
                      <w:sz w:val="21"/>
                      <w:szCs w:val="21"/>
                      <w:highlight w:val="none"/>
                      <w:lang w:val="en-US" w:eastAsia="zh-CN"/>
                    </w:rPr>
                    <w:t>年1月地表水国控考核断面水质信息公开》穆棱河口内达到Ⅲ类水质类别标准</w:t>
                  </w:r>
                  <w:r>
                    <w:rPr>
                      <w:rFonts w:hint="eastAsia" w:cs="Times New Roman"/>
                      <w:color w:val="FF0000"/>
                      <w:sz w:val="21"/>
                      <w:szCs w:val="21"/>
                      <w:highlight w:val="none"/>
                      <w:lang w:val="en-US" w:eastAsia="zh-CN"/>
                    </w:rPr>
                    <w:t>，</w:t>
                  </w:r>
                  <w:r>
                    <w:rPr>
                      <w:rFonts w:hint="eastAsia" w:ascii="Times New Roman" w:hAnsi="Times New Roman" w:eastAsia="宋体" w:cs="Times New Roman"/>
                      <w:color w:val="FF0000"/>
                      <w:sz w:val="21"/>
                      <w:szCs w:val="21"/>
                      <w:highlight w:val="none"/>
                      <w:lang w:val="en-US" w:eastAsia="zh-CN"/>
                    </w:rPr>
                    <w:t>知一桥断面均达到</w:t>
                  </w:r>
                  <w:r>
                    <w:rPr>
                      <w:rFonts w:hint="eastAsia" w:cs="Times New Roman"/>
                      <w:color w:val="FF0000"/>
                      <w:sz w:val="21"/>
                      <w:szCs w:val="21"/>
                      <w:highlight w:val="none"/>
                      <w:lang w:val="en-US" w:eastAsia="zh-CN"/>
                    </w:rPr>
                    <w:t>Ⅱ</w:t>
                  </w:r>
                  <w:r>
                    <w:rPr>
                      <w:rFonts w:hint="eastAsia" w:ascii="Times New Roman" w:hAnsi="Times New Roman" w:eastAsia="宋体" w:cs="Times New Roman"/>
                      <w:color w:val="FF0000"/>
                      <w:sz w:val="21"/>
                      <w:szCs w:val="21"/>
                      <w:highlight w:val="none"/>
                      <w:lang w:val="en-US" w:eastAsia="zh-CN"/>
                    </w:rPr>
                    <w:t>类水质类别标准。</w:t>
                  </w:r>
                  <w:r>
                    <w:rPr>
                      <w:rFonts w:hint="eastAsia" w:ascii="Times New Roman" w:hAnsi="Times New Roman" w:eastAsia="宋体" w:cs="Times New Roman"/>
                      <w:color w:val="auto"/>
                      <w:sz w:val="21"/>
                      <w:szCs w:val="21"/>
                      <w:highlight w:val="none"/>
                      <w:lang w:eastAsia="zh-CN"/>
                    </w:rPr>
                    <w:t>本项目生产过程中无废水产生，</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 w:val="21"/>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3、声环境</w:t>
                  </w:r>
                </w:p>
                <w:p w14:paraId="71A4CE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eastAsia="宋体" w:asciiTheme="minorEastAsia" w:hAnsiTheme="minorEastAsia" w:cstheme="minorEastAsia"/>
                      <w:color w:val="auto"/>
                      <w:kern w:val="0"/>
                      <w:sz w:val="21"/>
                      <w:szCs w:val="21"/>
                      <w:highlight w:val="none"/>
                      <w:lang w:val="en-US" w:eastAsia="zh-CN" w:bidi="ar"/>
                    </w:rPr>
                  </w:pPr>
                  <w:r>
                    <w:rPr>
                      <w:rFonts w:hint="eastAsia" w:ascii="Times New Roman" w:hAnsi="Times New Roman" w:eastAsia="宋体" w:cs="Times New Roman"/>
                      <w:color w:val="FF0000"/>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color w:val="FF0000"/>
                      <w:sz w:val="21"/>
                      <w:szCs w:val="21"/>
                      <w:highlight w:val="none"/>
                      <w:lang w:val="en-US" w:eastAsia="zh-CN"/>
                    </w:rPr>
                    <w:t>。</w:t>
                  </w:r>
                  <w:r>
                    <w:rPr>
                      <w:rFonts w:hint="eastAsia"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厂界噪声满足</w:t>
                  </w:r>
                  <w:r>
                    <w:rPr>
                      <w:rFonts w:hint="eastAsia" w:cs="Times New Roman"/>
                      <w:color w:val="auto"/>
                      <w:kern w:val="0"/>
                      <w:sz w:val="21"/>
                      <w:szCs w:val="21"/>
                      <w:highlight w:val="none"/>
                      <w:lang w:eastAsia="zh-CN"/>
                    </w:rPr>
                    <w:t>《工业企业厂界环境噪声排放标准》(GB12348-2008)表1中2类标准。</w:t>
                  </w:r>
                </w:p>
                <w:p w14:paraId="0FFB5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heme="minorEastAsia" w:hAnsiTheme="minorEastAsia" w:eastAsiaTheme="minorEastAsia" w:cstheme="minorEastAsia"/>
                      <w:color w:val="auto"/>
                      <w:kern w:val="0"/>
                      <w:sz w:val="21"/>
                      <w:szCs w:val="21"/>
                      <w:highlight w:val="none"/>
                      <w:lang w:val="en-US" w:eastAsia="zh-CN" w:bidi="ar"/>
                    </w:rPr>
                  </w:pPr>
                  <w:r>
                    <w:rPr>
                      <w:rFonts w:hint="default"/>
                      <w:color w:val="auto"/>
                      <w:kern w:val="0"/>
                      <w:sz w:val="21"/>
                      <w:szCs w:val="21"/>
                      <w:highlight w:val="none"/>
                    </w:rPr>
                    <w:t>本项目运营期各类污染物经环境保护措施治理后均可达标排放，对区域环境造成的不利影响较小，不会改变区域环境质量现状，因此，</w:t>
                  </w:r>
                  <w:r>
                    <w:rPr>
                      <w:rFonts w:hint="eastAsia"/>
                      <w:color w:val="auto"/>
                      <w:kern w:val="0"/>
                      <w:sz w:val="21"/>
                      <w:szCs w:val="21"/>
                      <w:highlight w:val="none"/>
                      <w:lang w:val="en-US" w:eastAsia="zh-CN"/>
                    </w:rPr>
                    <w:t>本项目</w:t>
                  </w:r>
                  <w:r>
                    <w:rPr>
                      <w:rFonts w:hint="default"/>
                      <w:color w:val="auto"/>
                      <w:kern w:val="0"/>
                      <w:sz w:val="21"/>
                      <w:szCs w:val="21"/>
                      <w:highlight w:val="none"/>
                    </w:rPr>
                    <w:t>符合环境质量底线要求。</w:t>
                  </w:r>
                </w:p>
                <w:p w14:paraId="3FA0F356">
                  <w:pPr>
                    <w:pStyle w:val="164"/>
                    <w:keepNext w:val="0"/>
                    <w:keepLines w:val="0"/>
                    <w:suppressLineNumbers w:val="0"/>
                    <w:spacing w:before="0" w:beforeAutospacing="0" w:after="0" w:afterAutospacing="0"/>
                    <w:ind w:left="0" w:right="0" w:firstLine="482"/>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4、土壤环境</w:t>
                  </w:r>
                </w:p>
                <w:p w14:paraId="121E22CC">
                  <w:pPr>
                    <w:keepNext w:val="0"/>
                    <w:keepLines w:val="0"/>
                    <w:suppressLineNumbers w:val="0"/>
                    <w:spacing w:before="0" w:beforeAutospacing="0" w:after="0" w:afterAutospacing="0" w:line="360" w:lineRule="auto"/>
                    <w:ind w:left="0" w:right="0" w:firstLine="420" w:firstLineChars="200"/>
                    <w:rPr>
                      <w:rFonts w:hint="default"/>
                      <w:color w:val="auto"/>
                      <w:sz w:val="21"/>
                      <w:szCs w:val="21"/>
                      <w:highlight w:val="none"/>
                    </w:rPr>
                  </w:pPr>
                  <w:r>
                    <w:rPr>
                      <w:rFonts w:hint="eastAsia" w:ascii="宋体" w:hAnsi="宋体" w:eastAsia="宋体" w:cs="宋体"/>
                      <w:color w:val="auto"/>
                      <w:kern w:val="0"/>
                      <w:sz w:val="21"/>
                      <w:szCs w:val="21"/>
                      <w:lang w:val="en-US" w:eastAsia="zh-CN" w:bidi="ar-SA"/>
                    </w:rPr>
                    <w:t>本项目不位于土壤污染地块，项目不涉及重金属及易沉降的有机污染物，项目建设不会对土壤环境产生负面影响。</w:t>
                  </w:r>
                </w:p>
              </w:tc>
            </w:tr>
            <w:tr w14:paraId="13ED7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2F0E626">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三、资源利用上线</w:t>
                  </w:r>
                </w:p>
              </w:tc>
            </w:tr>
            <w:tr w14:paraId="57D15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0E2ECED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color w:val="auto"/>
                      <w:sz w:val="21"/>
                      <w:szCs w:val="21"/>
                      <w:highlight w:val="none"/>
                    </w:rPr>
                  </w:pPr>
                  <w:r>
                    <w:rPr>
                      <w:rFonts w:hint="eastAsia"/>
                      <w:color w:val="auto"/>
                      <w:kern w:val="0"/>
                      <w:sz w:val="21"/>
                      <w:szCs w:val="21"/>
                      <w:highlight w:val="none"/>
                      <w:lang w:val="en-US" w:eastAsia="zh-CN"/>
                    </w:rPr>
                    <w:t>本项目生产不用水，员工生活用水为平阳村自来水供应</w:t>
                  </w:r>
                  <w:r>
                    <w:rPr>
                      <w:rFonts w:hint="default"/>
                      <w:color w:val="auto"/>
                      <w:kern w:val="0"/>
                      <w:sz w:val="21"/>
                      <w:szCs w:val="21"/>
                      <w:highlight w:val="none"/>
                    </w:rPr>
                    <w:t>、供电电源为当地供电电网，</w:t>
                  </w:r>
                  <w:r>
                    <w:rPr>
                      <w:rFonts w:hint="eastAsia"/>
                      <w:color w:val="auto"/>
                      <w:kern w:val="0"/>
                      <w:sz w:val="21"/>
                      <w:szCs w:val="21"/>
                      <w:highlight w:val="none"/>
                      <w:lang w:eastAsia="zh-CN"/>
                    </w:rPr>
                    <w:t>热风炉本次改造后使用生物质成型燃料属</w:t>
                  </w:r>
                  <w:r>
                    <w:rPr>
                      <w:rFonts w:hint="eastAsia" w:ascii="Times New Roman" w:hAnsi="Times New Roman" w:eastAsia="宋体" w:cs="Times New Roman"/>
                      <w:b w:val="0"/>
                      <w:bCs w:val="0"/>
                      <w:color w:val="auto"/>
                      <w:kern w:val="2"/>
                      <w:sz w:val="21"/>
                      <w:szCs w:val="21"/>
                      <w:highlight w:val="none"/>
                      <w:lang w:val="en-US" w:eastAsia="zh-CN" w:bidi="ar-SA"/>
                    </w:rPr>
                    <w:t>洁净低碳的可再生能源，</w:t>
                  </w:r>
                  <w:r>
                    <w:rPr>
                      <w:rFonts w:hint="default"/>
                      <w:color w:val="auto"/>
                      <w:kern w:val="0"/>
                      <w:sz w:val="21"/>
                      <w:szCs w:val="21"/>
                      <w:highlight w:val="none"/>
                    </w:rPr>
                    <w:t>资源消耗量相对于区域资源利用总量较小，</w:t>
                  </w:r>
                  <w:r>
                    <w:rPr>
                      <w:rFonts w:hint="eastAsia"/>
                      <w:color w:val="auto"/>
                      <w:kern w:val="0"/>
                      <w:sz w:val="21"/>
                      <w:szCs w:val="21"/>
                      <w:highlight w:val="none"/>
                      <w:lang w:val="en-US" w:eastAsia="zh-CN"/>
                    </w:rPr>
                    <w:t>本项目</w:t>
                  </w:r>
                  <w:r>
                    <w:rPr>
                      <w:rFonts w:hint="default"/>
                      <w:color w:val="auto"/>
                      <w:kern w:val="0"/>
                      <w:sz w:val="21"/>
                      <w:szCs w:val="21"/>
                      <w:highlight w:val="none"/>
                    </w:rPr>
                    <w:t>符合资源利用上线要求。</w:t>
                  </w:r>
                </w:p>
              </w:tc>
            </w:tr>
            <w:tr w14:paraId="72C7C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54BCB1C4">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四、环境准入清单</w:t>
                  </w:r>
                </w:p>
              </w:tc>
            </w:tr>
            <w:tr w14:paraId="7209E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722FD4E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环境管控单元名称</w:t>
                  </w:r>
                </w:p>
              </w:tc>
              <w:tc>
                <w:tcPr>
                  <w:tcW w:w="4165" w:type="pct"/>
                  <w:gridSpan w:val="3"/>
                  <w:tcBorders>
                    <w:top w:val="single" w:color="auto" w:sz="4" w:space="0"/>
                    <w:left w:val="single" w:color="auto" w:sz="4" w:space="0"/>
                    <w:bottom w:val="single" w:color="auto" w:sz="4" w:space="0"/>
                  </w:tcBorders>
                  <w:noWrap w:val="0"/>
                  <w:vAlign w:val="center"/>
                </w:tcPr>
                <w:p w14:paraId="115A9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鸡东县城镇空间</w:t>
                  </w:r>
                </w:p>
              </w:tc>
            </w:tr>
            <w:tr w14:paraId="102FC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43D4DD73">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noWrap w:val="0"/>
                  <w:vAlign w:val="center"/>
                </w:tcPr>
                <w:p w14:paraId="34AD0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ZH23032120002</w:t>
                  </w:r>
                </w:p>
              </w:tc>
            </w:tr>
            <w:tr w14:paraId="70751F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467E35A2">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noWrap w:val="0"/>
                  <w:vAlign w:val="center"/>
                </w:tcPr>
                <w:p w14:paraId="1FDB8EFA">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41188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noWrap w:val="0"/>
                  <w:vAlign w:val="center"/>
                </w:tcPr>
                <w:p w14:paraId="25464BEF">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0D7C40D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项目符合性分析</w:t>
                  </w:r>
                </w:p>
              </w:tc>
            </w:tr>
            <w:tr w14:paraId="5B3DB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77214C0A">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645020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 （1）科学划定畜禽养 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3.大气环境布局敏感重点管控区同时执行本（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631" w:type="dxa"/>
                  <w:tcBorders>
                    <w:top w:val="single" w:color="auto" w:sz="4" w:space="0"/>
                    <w:left w:val="single" w:color="auto" w:sz="4" w:space="0"/>
                    <w:bottom w:val="single" w:color="auto" w:sz="4" w:space="0"/>
                  </w:tcBorders>
                  <w:noWrap w:val="0"/>
                  <w:vAlign w:val="center"/>
                </w:tcPr>
                <w:p w14:paraId="4CF837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本项目为粮食烘干项目，不属于</w:t>
                  </w:r>
                  <w:r>
                    <w:rPr>
                      <w:rFonts w:hint="eastAsia" w:cs="Times New Roman"/>
                      <w:color w:val="auto"/>
                      <w:sz w:val="21"/>
                      <w:szCs w:val="21"/>
                      <w:highlight w:val="none"/>
                      <w:lang w:val="en-US" w:eastAsia="zh-CN"/>
                    </w:rPr>
                    <w:t>危险化学品生产项目和</w:t>
                  </w:r>
                  <w:r>
                    <w:rPr>
                      <w:rFonts w:hint="eastAsia" w:ascii="Times New Roman" w:hAnsi="Times New Roman" w:eastAsia="宋体" w:cs="Times New Roman"/>
                      <w:color w:val="auto"/>
                      <w:sz w:val="21"/>
                      <w:szCs w:val="21"/>
                      <w:highlight w:val="none"/>
                      <w:lang w:val="en-US" w:eastAsia="zh-CN"/>
                    </w:rPr>
                    <w:t>“两高”行业产能，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28A97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066408D3">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4546" w:type="dxa"/>
                  <w:gridSpan w:val="2"/>
                  <w:tcBorders>
                    <w:top w:val="single" w:color="auto" w:sz="4" w:space="0"/>
                    <w:left w:val="single" w:color="auto" w:sz="4" w:space="0"/>
                    <w:bottom w:val="single" w:color="auto" w:sz="4" w:space="0"/>
                    <w:right w:val="single" w:color="auto" w:sz="4" w:space="0"/>
                  </w:tcBorders>
                  <w:noWrap w:val="0"/>
                  <w:vAlign w:val="center"/>
                </w:tcPr>
                <w:p w14:paraId="194DE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1.同时执行：加快65t/h 以上燃煤锅炉（含电力）超低排放改造。 2.水环境农业污染重点管控区同时执行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 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3.大气环境布局敏感重点管控区同时执行（1）对以煤、石焦油、渣油、重油等为燃料的锅炉和工业炉窑，加快使用清洁低碳能源以及工厂余热、电力热力等进行替代。（2）到2025 年，在用 65 蒸吨/小时以上的燃煤锅炉（含电力）实现超低排放，钢铁企业基本实现超低排放。</w:t>
                  </w:r>
                </w:p>
              </w:tc>
              <w:tc>
                <w:tcPr>
                  <w:tcW w:w="1631" w:type="dxa"/>
                  <w:tcBorders>
                    <w:top w:val="single" w:color="auto" w:sz="4" w:space="0"/>
                    <w:left w:val="single" w:color="auto" w:sz="4" w:space="0"/>
                    <w:bottom w:val="single" w:color="auto" w:sz="4" w:space="0"/>
                  </w:tcBorders>
                  <w:noWrap w:val="0"/>
                  <w:vAlign w:val="center"/>
                </w:tcPr>
                <w:p w14:paraId="5EDF7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本项目为烘干塔建设项目，燃料为生物质，热风炉烟气经布袋除尘器处理后达标排放，依据《产业结构调整指导目录（2024年本》不属于淘汰类燃煤热风炉。</w:t>
                  </w:r>
                  <w:r>
                    <w:rPr>
                      <w:rFonts w:hint="eastAsia" w:cs="Times New Roman"/>
                      <w:color w:val="auto"/>
                      <w:sz w:val="21"/>
                      <w:szCs w:val="21"/>
                      <w:highlight w:val="none"/>
                      <w:lang w:val="en-US" w:eastAsia="zh-CN"/>
                    </w:rPr>
                    <w:t>本项目为粮食烘干项目，无生产废水，员工生活污水排入防渗旱厕，定期清掏外运堆肥，不外排。</w:t>
                  </w:r>
                </w:p>
              </w:tc>
            </w:tr>
            <w:tr w14:paraId="0327B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D129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环境风险 </w:t>
                  </w:r>
                </w:p>
                <w:p w14:paraId="6DB755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防控</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1AC4ED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 2.大气环境布局敏感重点管控区同时执行本禁止在居民区、学校、医疗和养老机构等周边新建有色金属冶炼、焦化等行业企业。</w:t>
                  </w:r>
                </w:p>
              </w:tc>
              <w:tc>
                <w:tcPr>
                  <w:tcW w:w="1631" w:type="dxa"/>
                  <w:tcBorders>
                    <w:top w:val="single" w:color="auto" w:sz="4" w:space="0"/>
                    <w:left w:val="single" w:color="auto" w:sz="4" w:space="0"/>
                    <w:bottom w:val="single" w:color="auto" w:sz="4" w:space="0"/>
                  </w:tcBorders>
                  <w:noWrap w:val="0"/>
                  <w:vAlign w:val="center"/>
                </w:tcPr>
                <w:p w14:paraId="7CD3C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本项目为粮食烘干项目，不属于“有色金属冶炼、焦化”等行业企业，</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2D60C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58CD2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资源利用</w:t>
                  </w:r>
                </w:p>
                <w:p w14:paraId="18B524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效率要求</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38471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1.推进污水再生利用设施建设。 2.公共建筑必须采用节水器具，限期淘汰公共建筑中不符合节水标准的水嘴、便器水箱等生活用水器具。</w:t>
                  </w:r>
                </w:p>
                <w:p w14:paraId="3E9D4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p>
              </w:tc>
              <w:tc>
                <w:tcPr>
                  <w:tcW w:w="1631" w:type="dxa"/>
                  <w:tcBorders>
                    <w:top w:val="single" w:color="auto" w:sz="4" w:space="0"/>
                    <w:left w:val="single" w:color="auto" w:sz="4" w:space="0"/>
                    <w:bottom w:val="single" w:color="auto" w:sz="4" w:space="0"/>
                  </w:tcBorders>
                  <w:noWrap w:val="0"/>
                  <w:vAlign w:val="center"/>
                </w:tcPr>
                <w:p w14:paraId="194F85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本项目为粮食烘干项目，无生产废水，员工生活污水排入防渗旱厕，定期清掏外运堆肥，不外排。</w:t>
                  </w:r>
                </w:p>
              </w:tc>
            </w:tr>
            <w:tr w14:paraId="1F364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486BA97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环境管控单元名称</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5AA18A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鸡东县水环境农业污染 </w:t>
                  </w:r>
                </w:p>
                <w:p w14:paraId="0FB41E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重点管控区</w:t>
                  </w:r>
                </w:p>
              </w:tc>
            </w:tr>
            <w:tr w14:paraId="0F96C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178AC6B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736FA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ZH23032120004</w:t>
                  </w:r>
                </w:p>
              </w:tc>
            </w:tr>
            <w:tr w14:paraId="2744D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7BC5C50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631F9940">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2A873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750F6138">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3561A8B0">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项目符合性分析</w:t>
                  </w:r>
                </w:p>
              </w:tc>
            </w:tr>
            <w:tr w14:paraId="4E1E5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6D15C0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空间布局约束</w:t>
                  </w:r>
                </w:p>
              </w:tc>
              <w:tc>
                <w:tcPr>
                  <w:tcW w:w="4338" w:type="dxa"/>
                  <w:tcBorders>
                    <w:top w:val="single" w:color="auto" w:sz="4" w:space="0"/>
                    <w:bottom w:val="single" w:color="auto" w:sz="4" w:space="0"/>
                    <w:right w:val="single" w:color="auto" w:sz="4" w:space="0"/>
                  </w:tcBorders>
                  <w:shd w:val="clear" w:color="auto" w:fill="auto"/>
                  <w:noWrap w:val="0"/>
                  <w:vAlign w:val="center"/>
                </w:tcPr>
                <w:p w14:paraId="2BB25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631" w:type="dxa"/>
                  <w:tcBorders>
                    <w:top w:val="single" w:color="auto" w:sz="4" w:space="0"/>
                    <w:left w:val="single" w:color="auto" w:sz="4" w:space="0"/>
                    <w:bottom w:val="single" w:color="auto" w:sz="4" w:space="0"/>
                  </w:tcBorders>
                  <w:shd w:val="clear" w:color="auto" w:fill="auto"/>
                  <w:noWrap w:val="0"/>
                  <w:vAlign w:val="center"/>
                </w:tcPr>
                <w:p w14:paraId="35A7A5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36114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04A654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污染物排放管控</w:t>
                  </w:r>
                </w:p>
              </w:tc>
              <w:tc>
                <w:tcPr>
                  <w:tcW w:w="4338" w:type="dxa"/>
                  <w:tcBorders>
                    <w:top w:val="single" w:color="auto" w:sz="4" w:space="0"/>
                    <w:bottom w:val="single" w:color="auto" w:sz="4" w:space="0"/>
                    <w:right w:val="single" w:color="auto" w:sz="4" w:space="0"/>
                  </w:tcBorders>
                  <w:shd w:val="clear" w:color="auto" w:fill="auto"/>
                  <w:noWrap w:val="0"/>
                  <w:vAlign w:val="center"/>
                </w:tcPr>
                <w:p w14:paraId="451313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执行本清单（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（3）全面加强农业面源污染防控，科学合理使用农业投入品，提高使用效率，减少农业内源性污染。（4）大气环境布局敏感重点管控区同时执行 1.对以煤</w:t>
                  </w:r>
                </w:p>
                <w:p w14:paraId="7A7121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、石焦油、渣油、重油等为燃料的锅炉和工业炉窑，加快使用清洁低碳能源以及工厂余热、电力热力等进行替代。2.到2025年，在用 65 蒸吨/小时以上的燃煤锅炉（含电力）实现超低排放，钢铁企业基本实现超低排放。</w:t>
                  </w:r>
                </w:p>
              </w:tc>
              <w:tc>
                <w:tcPr>
                  <w:tcW w:w="1631" w:type="dxa"/>
                  <w:tcBorders>
                    <w:top w:val="single" w:color="auto" w:sz="4" w:space="0"/>
                    <w:left w:val="single" w:color="auto" w:sz="4" w:space="0"/>
                    <w:bottom w:val="single" w:color="auto" w:sz="4" w:space="0"/>
                  </w:tcBorders>
                  <w:shd w:val="clear" w:color="auto" w:fill="auto"/>
                  <w:noWrap w:val="0"/>
                  <w:vAlign w:val="center"/>
                </w:tcPr>
                <w:p w14:paraId="38796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本项目为烘干塔建设项目，燃料为生物质，热风炉烟气经布袋除尘器处理后达标排放，依据《产业结构调整指导目录（2024年本》不属于淘汰类燃煤热风炉。</w:t>
                  </w:r>
                  <w:r>
                    <w:rPr>
                      <w:rFonts w:hint="eastAsia" w:cs="Times New Roman"/>
                      <w:color w:val="auto"/>
                      <w:sz w:val="21"/>
                      <w:szCs w:val="21"/>
                      <w:highlight w:val="none"/>
                      <w:lang w:val="en-US" w:eastAsia="zh-CN"/>
                    </w:rPr>
                    <w:t>本项目为粮食烘干项目，无生产废水，员工生活污水排入防渗旱厕，定期清掏外运堆肥，不外排。</w:t>
                  </w:r>
                </w:p>
              </w:tc>
            </w:tr>
            <w:tr w14:paraId="339B6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69833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环境风险</w:t>
                  </w:r>
                </w:p>
                <w:p w14:paraId="5741C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防控</w:t>
                  </w:r>
                </w:p>
              </w:tc>
              <w:tc>
                <w:tcPr>
                  <w:tcW w:w="4338" w:type="dxa"/>
                  <w:tcBorders>
                    <w:top w:val="single" w:color="auto" w:sz="4" w:space="0"/>
                    <w:bottom w:val="single" w:color="auto" w:sz="4" w:space="0"/>
                    <w:right w:val="single" w:color="auto" w:sz="4" w:space="0"/>
                  </w:tcBorders>
                  <w:shd w:val="clear" w:color="auto" w:fill="auto"/>
                  <w:noWrap w:val="0"/>
                  <w:vAlign w:val="center"/>
                </w:tcPr>
                <w:p w14:paraId="7DEE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1.同时执行：（1）严禁在人口密集区新建危险化学品生产项目，城镇人口密集区危险化学品生产企业应搬迁改造。（2）禁止在城镇居民区、文化教育科学研究区等人口集中区域建设畜禽养殖场、养殖小区。 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3.大气环境布局敏感重点管控区同时执行本（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631" w:type="dxa"/>
                  <w:tcBorders>
                    <w:top w:val="single" w:color="auto" w:sz="4" w:space="0"/>
                    <w:left w:val="single" w:color="auto" w:sz="4" w:space="0"/>
                    <w:bottom w:val="single" w:color="auto" w:sz="4" w:space="0"/>
                  </w:tcBorders>
                  <w:shd w:val="clear" w:color="auto" w:fill="auto"/>
                  <w:noWrap w:val="0"/>
                  <w:vAlign w:val="center"/>
                </w:tcPr>
                <w:p w14:paraId="015FE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本项目为粮食烘干项目，不属于</w:t>
                  </w:r>
                  <w:r>
                    <w:rPr>
                      <w:rFonts w:hint="eastAsia" w:cs="Times New Roman"/>
                      <w:color w:val="auto"/>
                      <w:sz w:val="21"/>
                      <w:szCs w:val="21"/>
                      <w:highlight w:val="none"/>
                      <w:lang w:val="en-US" w:eastAsia="zh-CN"/>
                    </w:rPr>
                    <w:t>危险化学品生产项目和</w:t>
                  </w:r>
                  <w:r>
                    <w:rPr>
                      <w:rFonts w:hint="eastAsia" w:ascii="Times New Roman" w:hAnsi="Times New Roman" w:eastAsia="宋体" w:cs="Times New Roman"/>
                      <w:color w:val="auto"/>
                      <w:sz w:val="21"/>
                      <w:szCs w:val="21"/>
                      <w:highlight w:val="none"/>
                      <w:lang w:val="en-US" w:eastAsia="zh-CN"/>
                    </w:rPr>
                    <w:t>“两高”行业产能，</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41FF3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69D2296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环境管控区名称</w:t>
                  </w:r>
                </w:p>
              </w:tc>
              <w:tc>
                <w:tcPr>
                  <w:tcW w:w="4024" w:type="pct"/>
                  <w:gridSpan w:val="2"/>
                  <w:tcBorders>
                    <w:top w:val="single" w:color="auto" w:sz="4" w:space="0"/>
                    <w:bottom w:val="single" w:color="auto" w:sz="4" w:space="0"/>
                  </w:tcBorders>
                  <w:shd w:val="clear" w:color="auto" w:fill="auto"/>
                  <w:noWrap w:val="0"/>
                  <w:vAlign w:val="center"/>
                </w:tcPr>
                <w:p w14:paraId="552ABCDC">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鸡东县地下水环境一般管控区</w:t>
                  </w:r>
                </w:p>
              </w:tc>
            </w:tr>
            <w:tr w14:paraId="743C1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72EDDA3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环境管控区编码</w:t>
                  </w:r>
                </w:p>
              </w:tc>
              <w:tc>
                <w:tcPr>
                  <w:tcW w:w="4024" w:type="pct"/>
                  <w:gridSpan w:val="2"/>
                  <w:tcBorders>
                    <w:top w:val="single" w:color="auto" w:sz="4" w:space="0"/>
                    <w:bottom w:val="single" w:color="auto" w:sz="4" w:space="0"/>
                  </w:tcBorders>
                  <w:shd w:val="clear" w:color="auto" w:fill="auto"/>
                  <w:noWrap w:val="0"/>
                  <w:vAlign w:val="center"/>
                </w:tcPr>
                <w:p w14:paraId="7CB4691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YS2303216310001</w:t>
                  </w:r>
                </w:p>
              </w:tc>
            </w:tr>
            <w:tr w14:paraId="7541E3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67509F6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管控区类型</w:t>
                  </w:r>
                </w:p>
              </w:tc>
              <w:tc>
                <w:tcPr>
                  <w:tcW w:w="4024" w:type="pct"/>
                  <w:gridSpan w:val="2"/>
                  <w:tcBorders>
                    <w:top w:val="single" w:color="auto" w:sz="4" w:space="0"/>
                    <w:bottom w:val="single" w:color="auto" w:sz="4" w:space="0"/>
                  </w:tcBorders>
                  <w:shd w:val="clear" w:color="auto" w:fill="auto"/>
                  <w:noWrap w:val="0"/>
                  <w:vAlign w:val="center"/>
                </w:tcPr>
                <w:p w14:paraId="6C199576">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一般管控区</w:t>
                  </w:r>
                </w:p>
              </w:tc>
            </w:tr>
            <w:tr w14:paraId="5771B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320C56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031993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r>
            <w:tr w14:paraId="36062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37600495">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环境风险管控</w:t>
                  </w:r>
                </w:p>
                <w:p w14:paraId="01790846">
                  <w:pPr>
                    <w:keepNext w:val="0"/>
                    <w:keepLines w:val="0"/>
                    <w:widowControl/>
                    <w:suppressLineNumbers w:val="0"/>
                    <w:spacing w:before="0" w:beforeAutospacing="0" w:after="0" w:afterAutospacing="0"/>
                    <w:ind w:left="0" w:right="0"/>
                    <w:jc w:val="left"/>
                    <w:rPr>
                      <w:rFonts w:hint="default"/>
                      <w:color w:val="auto"/>
                      <w:sz w:val="21"/>
                      <w:szCs w:val="21"/>
                    </w:rPr>
                  </w:pPr>
                  <w:r>
                    <w:rPr>
                      <w:rFonts w:hint="eastAsia" w:ascii="宋体" w:hAnsi="宋体" w:eastAsia="宋体" w:cs="宋体"/>
                      <w:color w:val="auto"/>
                      <w:kern w:val="0"/>
                      <w:sz w:val="21"/>
                      <w:szCs w:val="21"/>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w:t>
                  </w:r>
                </w:p>
                <w:p w14:paraId="3632AB57">
                  <w:pPr>
                    <w:keepNext w:val="0"/>
                    <w:keepLines w:val="0"/>
                    <w:widowControl/>
                    <w:suppressLineNumbers w:val="0"/>
                    <w:spacing w:before="0" w:beforeAutospacing="0" w:after="0" w:afterAutospacing="0"/>
                    <w:ind w:left="0" w:right="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53891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本项目不属于土壤污染重点监管单位。</w:t>
                  </w:r>
                </w:p>
              </w:tc>
            </w:tr>
            <w:tr w14:paraId="17A50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C2C0338">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3）“一说明”</w:t>
                  </w:r>
                </w:p>
                <w:p w14:paraId="3DFC8B95">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由上述分析可知，本项目的建设符合《</w:t>
                  </w:r>
                  <w:r>
                    <w:rPr>
                      <w:rFonts w:hint="eastAsia" w:cs="Times New Roman"/>
                      <w:color w:val="auto"/>
                      <w:kern w:val="0"/>
                      <w:sz w:val="21"/>
                      <w:szCs w:val="21"/>
                      <w:highlight w:val="none"/>
                      <w:lang w:eastAsia="zh-CN" w:bidi="ar"/>
                    </w:rPr>
                    <w:t>鸡东县新向阳粮库有限责任公司建设项目生态环境分区管控分析报告</w:t>
                  </w:r>
                  <w:r>
                    <w:rPr>
                      <w:rFonts w:hint="eastAsia" w:ascii="宋体" w:hAnsi="宋体" w:eastAsia="宋体" w:cs="宋体"/>
                      <w:color w:val="auto"/>
                      <w:kern w:val="0"/>
                      <w:sz w:val="21"/>
                      <w:szCs w:val="21"/>
                      <w:lang w:val="en-US" w:eastAsia="zh-CN" w:bidi="ar-SA"/>
                    </w:rPr>
                    <w:t>》中的要求。</w:t>
                  </w:r>
                </w:p>
                <w:p w14:paraId="355AD2D4">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根据黑龙江省生态环境分区管控数据应用平台查询的《生态环境分区管控分析报告》（分析报告见附件）：</w:t>
                  </w:r>
                </w:p>
                <w:p w14:paraId="27479766">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本项目与生态保护红线交集面积为0.00平方公里，占项目占地面积的0.00%。</w:t>
                  </w:r>
                </w:p>
                <w:p w14:paraId="69347000">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与自然保护地整合优化方案数据交集面积为0.00平方公里，占项目占地面积的0.00%。保护地涉及等类型。与自然保护地</w:t>
                  </w:r>
                  <w:r>
                    <w:rPr>
                      <w:rFonts w:hint="eastAsia" w:ascii="宋体" w:hAnsi="宋体" w:cs="宋体"/>
                      <w:color w:val="auto"/>
                      <w:kern w:val="0"/>
                      <w:sz w:val="21"/>
                      <w:szCs w:val="21"/>
                      <w:lang w:val="en-US" w:eastAsia="zh-CN" w:bidi="ar-SA"/>
                    </w:rPr>
                    <w:t>（</w:t>
                  </w:r>
                  <w:r>
                    <w:rPr>
                      <w:rFonts w:hint="eastAsia" w:ascii="宋体" w:hAnsi="宋体" w:eastAsia="宋体" w:cs="宋体"/>
                      <w:color w:val="auto"/>
                      <w:kern w:val="0"/>
                      <w:sz w:val="21"/>
                      <w:szCs w:val="21"/>
                      <w:lang w:val="en-US" w:eastAsia="zh-CN" w:bidi="ar-SA"/>
                    </w:rPr>
                    <w:t>现状管理数据</w:t>
                  </w:r>
                  <w:r>
                    <w:rPr>
                      <w:rFonts w:hint="eastAsia" w:ascii="宋体" w:hAnsi="宋体" w:cs="宋体"/>
                      <w:color w:val="auto"/>
                      <w:kern w:val="0"/>
                      <w:sz w:val="21"/>
                      <w:szCs w:val="21"/>
                      <w:lang w:val="en-US" w:eastAsia="zh-CN" w:bidi="ar-SA"/>
                    </w:rPr>
                    <w:t>）</w:t>
                  </w:r>
                  <w:r>
                    <w:rPr>
                      <w:rFonts w:hint="eastAsia" w:ascii="宋体" w:hAnsi="宋体" w:eastAsia="宋体" w:cs="宋体"/>
                      <w:color w:val="auto"/>
                      <w:kern w:val="0"/>
                      <w:sz w:val="21"/>
                      <w:szCs w:val="21"/>
                      <w:lang w:val="en-US" w:eastAsia="zh-CN" w:bidi="ar-SA"/>
                    </w:rPr>
                    <w:t>交集面积为0.00平方公里，占项目占地面积的0.00%。保护地涉及等类型。</w:t>
                  </w:r>
                </w:p>
                <w:p w14:paraId="182FA0B8">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与饮用水水源保护区交集面积为0.00平方公里，占项目占地面积的0.00%。与国家级水产种质资源保护区交集面积为0.00平方公里，占项目占地面积的0.00%。</w:t>
                  </w:r>
                </w:p>
                <w:p w14:paraId="70A3CCF7">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与环境管控单元优先保护单元交集面积为0.00平方公里，占项目占地面积的0.00%；与重点管控单元交集面积为0.</w:t>
                  </w:r>
                  <w:r>
                    <w:rPr>
                      <w:rFonts w:hint="eastAsia" w:ascii="宋体" w:hAnsi="宋体" w:cs="宋体"/>
                      <w:color w:val="auto"/>
                      <w:kern w:val="0"/>
                      <w:sz w:val="21"/>
                      <w:szCs w:val="21"/>
                      <w:lang w:val="en-US" w:eastAsia="zh-CN" w:bidi="ar-SA"/>
                    </w:rPr>
                    <w:t>08</w:t>
                  </w:r>
                  <w:r>
                    <w:rPr>
                      <w:rFonts w:hint="eastAsia" w:ascii="宋体" w:hAnsi="宋体" w:eastAsia="宋体" w:cs="宋体"/>
                      <w:color w:val="auto"/>
                      <w:kern w:val="0"/>
                      <w:sz w:val="21"/>
                      <w:szCs w:val="21"/>
                      <w:lang w:val="en-US" w:eastAsia="zh-CN" w:bidi="ar-SA"/>
                    </w:rPr>
                    <w:t>平方公里，占项目占地面积的100.00%；一般管控单元交集面积为0.00平方公里，占项目占地面积的0.00%。</w:t>
                  </w:r>
                </w:p>
                <w:p w14:paraId="6321C17D">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与地下水环境优先保护区交集面积为0.00平方公里，占项目占地面积的0.00%；与地下水环境重点管控区交集面积为0.00 平方公里，占项目占地面积的0.00%，与地下水环境一般管控区交集面积为0.</w:t>
                  </w:r>
                  <w:r>
                    <w:rPr>
                      <w:rFonts w:hint="eastAsia" w:ascii="宋体" w:hAnsi="宋体" w:cs="宋体"/>
                      <w:color w:val="auto"/>
                      <w:kern w:val="0"/>
                      <w:sz w:val="21"/>
                      <w:szCs w:val="21"/>
                      <w:lang w:val="en-US" w:eastAsia="zh-CN" w:bidi="ar-SA"/>
                    </w:rPr>
                    <w:t>08</w:t>
                  </w:r>
                  <w:r>
                    <w:rPr>
                      <w:rFonts w:hint="eastAsia" w:ascii="宋体" w:hAnsi="宋体" w:eastAsia="宋体" w:cs="宋体"/>
                      <w:color w:val="auto"/>
                      <w:kern w:val="0"/>
                      <w:sz w:val="21"/>
                      <w:szCs w:val="21"/>
                      <w:lang w:val="en-US" w:eastAsia="zh-CN" w:bidi="ar-SA"/>
                    </w:rPr>
                    <w:t>平方公里，占项目占地面积的100.00%。</w:t>
                  </w:r>
                </w:p>
              </w:tc>
            </w:tr>
          </w:tbl>
          <w:p w14:paraId="7F1B260F">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eastAsia"/>
                <w:b/>
                <w:bCs/>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14:paraId="1EB96010">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s="Times New Roman"/>
                <w:bCs/>
                <w:color w:val="auto"/>
                <w:szCs w:val="21"/>
                <w:highlight w:val="none"/>
                <w:lang w:val="en-US" w:eastAsia="zh-CN"/>
              </w:rPr>
            </w:pPr>
            <w:r>
              <w:rPr>
                <w:rFonts w:hint="eastAsia"/>
                <w:color w:val="auto"/>
                <w:kern w:val="0"/>
                <w:szCs w:val="21"/>
                <w:highlight w:val="none"/>
              </w:rPr>
              <w:t>项目</w:t>
            </w:r>
            <w:r>
              <w:rPr>
                <w:rFonts w:hint="default"/>
                <w:color w:val="auto"/>
                <w:kern w:val="0"/>
                <w:szCs w:val="21"/>
                <w:highlight w:val="none"/>
              </w:rPr>
              <w:t>位于</w:t>
            </w:r>
            <w:r>
              <w:rPr>
                <w:rFonts w:hint="eastAsia"/>
                <w:color w:val="auto"/>
                <w:highlight w:val="none"/>
                <w:lang w:val="en-US" w:eastAsia="zh-CN"/>
              </w:rPr>
              <w:t>黑龙江省鸡西市鸡东县向阳镇向阳村</w:t>
            </w:r>
            <w:r>
              <w:rPr>
                <w:rFonts w:hint="default"/>
                <w:color w:val="auto"/>
                <w:kern w:val="0"/>
                <w:szCs w:val="21"/>
                <w:highlight w:val="none"/>
              </w:rPr>
              <w:t>，</w:t>
            </w:r>
            <w:r>
              <w:rPr>
                <w:rFonts w:hint="eastAsia"/>
                <w:color w:val="auto"/>
                <w:kern w:val="0"/>
                <w:szCs w:val="21"/>
                <w:highlight w:val="none"/>
                <w:lang w:val="en-US" w:eastAsia="zh-CN"/>
              </w:rPr>
              <w:t>用地性质为工业仓储用地，</w:t>
            </w:r>
            <w:r>
              <w:rPr>
                <w:rFonts w:hint="eastAsia"/>
                <w:snapToGrid w:val="0"/>
                <w:color w:val="auto"/>
                <w:highlight w:val="none"/>
              </w:rPr>
              <w:t>符合土地利用规划</w:t>
            </w:r>
            <w:r>
              <w:rPr>
                <w:rFonts w:hint="eastAsia"/>
                <w:snapToGrid w:val="0"/>
                <w:color w:val="auto"/>
                <w:highlight w:val="none"/>
                <w:lang w:eastAsia="zh-CN"/>
              </w:rPr>
              <w:t>，</w:t>
            </w:r>
            <w:r>
              <w:rPr>
                <w:rFonts w:hint="eastAsia"/>
                <w:color w:val="auto"/>
                <w:kern w:val="0"/>
                <w:szCs w:val="21"/>
                <w:highlight w:val="none"/>
                <w:lang w:val="en-US" w:eastAsia="zh-CN"/>
              </w:rPr>
              <w:t>厂区北侧为农田，西侧及南侧为向阳村，东侧为道路及农田，本项目在已确定的仓储用地范围内建设（土地证见附件），符合其用地性质。</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本项目500米范围内大气环境保护目标</w:t>
            </w:r>
            <w:r>
              <w:rPr>
                <w:rFonts w:hint="eastAsia" w:cs="Times New Roman" w:eastAsiaTheme="minorEastAsia"/>
                <w:color w:val="auto"/>
                <w:szCs w:val="21"/>
                <w:highlight w:val="none"/>
                <w:u w:val="none"/>
                <w:lang w:val="en-US" w:eastAsia="zh-CN"/>
              </w:rPr>
              <w:t>为向阳村和向阳镇，向阳村分布于厂区西侧南侧19米，向阳镇位于厂区西南侧443米</w:t>
            </w:r>
            <w:r>
              <w:rPr>
                <w:rFonts w:hint="eastAsia" w:cs="Times New Roman"/>
                <w:bCs/>
                <w:color w:val="auto"/>
                <w:szCs w:val="21"/>
                <w:highlight w:val="none"/>
                <w:lang w:val="en-US" w:eastAsia="zh-CN"/>
              </w:rPr>
              <w:t>。50米范围内声环境保护目标为厂区南侧23米向阳村居民、西侧19米向阳村居民。</w:t>
            </w:r>
          </w:p>
          <w:p w14:paraId="4F70712F">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olor w:val="auto"/>
                <w:highlight w:val="none"/>
                <w:lang w:val="en-US"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bCs/>
                <w:color w:val="auto"/>
                <w:szCs w:val="21"/>
              </w:rPr>
              <w:t>。</w:t>
            </w:r>
            <w:r>
              <w:rPr>
                <w:rFonts w:hint="eastAsia" w:ascii="Times New Roman" w:cs="Times New Roman" w:hAnsiTheme="minorEastAsia" w:eastAsiaTheme="minorEastAsia"/>
                <w:color w:val="auto"/>
                <w:kern w:val="0"/>
                <w:sz w:val="21"/>
                <w:szCs w:val="21"/>
                <w:highlight w:val="none"/>
                <w:lang w:val="en-US" w:eastAsia="zh-CN" w:bidi="ar-SA"/>
              </w:rPr>
              <w:t>对地表水环境影响较小。通过厂内设置相应的大气污染防治措施及噪声污染防治措施，可使大气污染物及噪声达标排放，不会对周围居民生活</w:t>
            </w:r>
            <w:r>
              <w:rPr>
                <w:rFonts w:hint="eastAsia" w:cs="Times New Roman" w:hAnsiTheme="minorEastAsia" w:eastAsiaTheme="minorEastAsia"/>
                <w:color w:val="auto"/>
                <w:kern w:val="0"/>
                <w:sz w:val="21"/>
                <w:szCs w:val="21"/>
                <w:highlight w:val="none"/>
                <w:lang w:val="en-US" w:eastAsia="zh-CN" w:bidi="ar-SA"/>
              </w:rPr>
              <w:t>及最近水源地</w:t>
            </w:r>
            <w:r>
              <w:rPr>
                <w:rFonts w:hint="eastAsia" w:ascii="Times New Roman" w:cs="Times New Roman" w:hAnsiTheme="minorEastAsia" w:eastAsiaTheme="minorEastAsia"/>
                <w:color w:val="auto"/>
                <w:kern w:val="0"/>
                <w:sz w:val="21"/>
                <w:szCs w:val="21"/>
                <w:highlight w:val="none"/>
                <w:lang w:val="en-US" w:eastAsia="zh-CN" w:bidi="ar-SA"/>
              </w:rPr>
              <w:t>造成明显影响。</w:t>
            </w:r>
            <w:r>
              <w:rPr>
                <w:rFonts w:hint="eastAsia" w:cs="Times New Roman" w:eastAsiaTheme="minorEastAsia"/>
                <w:color w:val="auto"/>
                <w:sz w:val="21"/>
                <w:szCs w:val="21"/>
                <w:highlight w:val="none"/>
                <w:u w:val="none"/>
                <w:lang w:val="en-US" w:eastAsia="zh-CN"/>
              </w:rPr>
              <w:t>固体废物合理处置。</w:t>
            </w:r>
          </w:p>
          <w:p w14:paraId="37054CF0">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20" w:firstLineChars="200"/>
              <w:textAlignment w:val="auto"/>
              <w:rPr>
                <w:rFonts w:hint="default"/>
                <w:color w:val="auto"/>
                <w:lang w:val="en-US" w:eastAsia="zh-CN"/>
              </w:rPr>
            </w:pPr>
            <w:r>
              <w:rPr>
                <w:rFonts w:hint="eastAsia"/>
                <w:color w:val="auto"/>
                <w:kern w:val="0"/>
                <w:szCs w:val="21"/>
                <w:highlight w:val="none"/>
                <w:lang w:val="en-US" w:eastAsia="zh-CN"/>
              </w:rPr>
              <w:t>本项目</w:t>
            </w:r>
            <w:r>
              <w:rPr>
                <w:rFonts w:hint="eastAsia"/>
                <w:color w:val="auto"/>
                <w:kern w:val="0"/>
                <w:szCs w:val="21"/>
                <w:highlight w:val="none"/>
              </w:rPr>
              <w:t>厂区地理位置交通便利，基础设施齐全，与周边环境协调。项目不在风景名胜区、自然保护区、水源保护区及其他需要特别保护的区域内，没有明显的环境制约因素，项目选址合理。</w:t>
            </w:r>
          </w:p>
          <w:p w14:paraId="62494ECA">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14:paraId="7AD2118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textAlignment w:val="auto"/>
              <w:rPr>
                <w:rFonts w:hint="eastAsia" w:eastAsia="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根据</w:t>
            </w:r>
            <w:r>
              <w:rPr>
                <w:rFonts w:hint="eastAsia" w:ascii="宋体" w:hAnsi="宋体" w:eastAsia="宋体" w:cs="宋体"/>
                <w:color w:val="auto"/>
                <w:kern w:val="0"/>
                <w:sz w:val="21"/>
                <w:szCs w:val="21"/>
                <w:highlight w:val="none"/>
              </w:rPr>
              <w:t>《产业结构调整指导目录（</w:t>
            </w:r>
            <w:r>
              <w:rPr>
                <w:rFonts w:hint="default" w:ascii="Times New Roman" w:hAnsi="Times New Roman" w:eastAsia="宋体" w:cs="Times New Roman"/>
                <w:color w:val="auto"/>
                <w:kern w:val="0"/>
                <w:sz w:val="21"/>
                <w:szCs w:val="21"/>
                <w:highlight w:val="none"/>
                <w:lang w:val="en-US" w:eastAsia="zh-CN"/>
              </w:rPr>
              <w:t>2024</w:t>
            </w:r>
            <w:r>
              <w:rPr>
                <w:rFonts w:hint="eastAsia" w:ascii="宋体" w:hAnsi="宋体" w:eastAsia="宋体" w:cs="宋体"/>
                <w:color w:val="auto"/>
                <w:kern w:val="0"/>
                <w:sz w:val="21"/>
                <w:szCs w:val="21"/>
                <w:highlight w:val="none"/>
                <w:lang w:val="en-US" w:eastAsia="zh-CN"/>
              </w:rPr>
              <w:t>年本</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属于鼓励类中第一大类农林业第</w:t>
            </w:r>
            <w:r>
              <w:rPr>
                <w:rFonts w:hint="eastAsia"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lang w:val="en-US" w:eastAsia="zh-CN"/>
              </w:rPr>
              <w:t>条“农林牧渔产品储运、保鲜、加工与综合利用”</w:t>
            </w:r>
            <w:r>
              <w:rPr>
                <w:rFonts w:hint="eastAsia" w:cs="Times New Roman"/>
                <w:color w:val="auto"/>
                <w:sz w:val="21"/>
                <w:szCs w:val="21"/>
                <w:highlight w:val="none"/>
                <w:lang w:val="en-US" w:eastAsia="zh-CN"/>
              </w:rPr>
              <w:t>，本项目玉米烘干采用生物质热风炉，不属于淘汰类中（七）机械-67.燃煤热风炉，不属于限制类“</w:t>
            </w:r>
            <w:r>
              <w:rPr>
                <w:rFonts w:hint="default" w:ascii="Times New Roman" w:hAnsi="Times New Roman" w:eastAsia="宋体" w:cs="Times New Roman"/>
                <w:b w:val="0"/>
                <w:bCs w:val="0"/>
                <w:color w:val="auto"/>
                <w:kern w:val="0"/>
                <w:sz w:val="21"/>
                <w:szCs w:val="21"/>
                <w:lang w:val="en-US" w:eastAsia="zh-CN" w:bidi="ar"/>
              </w:rPr>
              <w:t>每小时35蒸吨及以下固定炉排式生物质锅炉</w:t>
            </w:r>
            <w:r>
              <w:rPr>
                <w:rFonts w:hint="eastAsia" w:cs="Times New Roman"/>
                <w:b w:val="0"/>
                <w:bCs w:val="0"/>
                <w:color w:val="auto"/>
                <w:kern w:val="0"/>
                <w:sz w:val="21"/>
                <w:szCs w:val="21"/>
                <w:lang w:val="en-US" w:eastAsia="zh-CN" w:bidi="ar"/>
              </w:rPr>
              <w:t>”</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因此</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eastAsia="宋体" w:cs="Times New Roman"/>
                <w:color w:val="auto"/>
                <w:sz w:val="21"/>
                <w:szCs w:val="21"/>
                <w:highlight w:val="none"/>
              </w:rPr>
              <w:t>符合国家产业政策。</w:t>
            </w:r>
          </w:p>
          <w:p w14:paraId="646FD328">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contextualSpacing/>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rPr>
              <w:t>4、</w:t>
            </w:r>
            <w:r>
              <w:rPr>
                <w:rFonts w:hint="default" w:ascii="Times New Roman" w:hAnsi="Times New Roman" w:eastAsia="宋体" w:cs="Times New Roman"/>
                <w:b/>
                <w:color w:val="auto"/>
                <w:kern w:val="0"/>
                <w:sz w:val="21"/>
                <w:szCs w:val="21"/>
                <w:highlight w:val="none"/>
              </w:rPr>
              <w:t>与《黑龙江省工业炉窑大气污染综合治理方案》（黑环发[2019]144号）符合性分析</w:t>
            </w:r>
          </w:p>
          <w:p w14:paraId="04207A5A">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contextualSpacing/>
              <w:textAlignment w:val="auto"/>
              <w:rPr>
                <w:rFonts w:hint="eastAsia"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rPr>
              <w:t>根据《黑龙江省工业炉窑大气污染综合治理方案》（黑环发[2019]144号），</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推进工业炉窑全面达标排放。已有行业排放标准的工业炉窑，严格执行行业排放标准相关规定，配套建设高效脱硫脱硝除尘设施，确保稳定达标排放。已核发排污许可证的，应严格按照许可要求执行</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eastAsia="宋体" w:cs="Times New Roman"/>
                <w:bCs/>
                <w:color w:val="auto"/>
                <w:kern w:val="0"/>
                <w:sz w:val="21"/>
                <w:szCs w:val="21"/>
                <w:highlight w:val="none"/>
                <w:lang w:eastAsia="zh-CN"/>
              </w:rPr>
              <w:t>”</w:t>
            </w:r>
          </w:p>
          <w:p w14:paraId="0BFD98DD">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w:t>
            </w:r>
            <w:r>
              <w:rPr>
                <w:rFonts w:hint="eastAsia" w:cs="Times New Roman"/>
                <w:bCs/>
                <w:color w:val="auto"/>
                <w:kern w:val="0"/>
                <w:sz w:val="21"/>
                <w:szCs w:val="21"/>
                <w:highlight w:val="none"/>
                <w:lang w:val="en-US" w:eastAsia="zh-CN"/>
              </w:rPr>
              <w:t>720万Kcal/h</w:t>
            </w:r>
            <w:r>
              <w:rPr>
                <w:rFonts w:hint="eastAsia" w:ascii="Times New Roman" w:hAnsi="Times New Roman" w:eastAsia="宋体" w:cs="Times New Roman"/>
                <w:bCs/>
                <w:color w:val="auto"/>
                <w:kern w:val="0"/>
                <w:sz w:val="21"/>
                <w:szCs w:val="21"/>
                <w:highlight w:val="none"/>
                <w:lang w:val="en-US" w:eastAsia="zh-CN"/>
              </w:rPr>
              <w:t>燃生物质热风炉，热风炉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Cs/>
                <w:color w:val="auto"/>
                <w:kern w:val="0"/>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ascii="Times New Roman" w:hAnsi="Times New Roman" w:eastAsia="宋体" w:cs="Times New Roman"/>
                <w:bCs/>
                <w:color w:val="auto"/>
                <w:kern w:val="0"/>
                <w:sz w:val="21"/>
                <w:szCs w:val="21"/>
                <w:highlight w:val="none"/>
                <w:lang w:val="en-US" w:eastAsia="zh-CN"/>
              </w:rPr>
              <w:t>15</w:t>
            </w:r>
            <w:r>
              <w:rPr>
                <w:rFonts w:hint="default" w:ascii="Times New Roman" w:hAnsi="Times New Roman" w:eastAsia="宋体" w:cs="Times New Roman"/>
                <w:bCs/>
                <w:color w:val="auto"/>
                <w:kern w:val="0"/>
                <w:sz w:val="21"/>
                <w:szCs w:val="21"/>
                <w:highlight w:val="none"/>
              </w:rPr>
              <w:t>m高</w:t>
            </w:r>
            <w:r>
              <w:rPr>
                <w:rFonts w:hint="eastAsia" w:ascii="Times New Roman" w:hAnsi="Times New Roman" w:eastAsia="宋体" w:cs="Times New Roman"/>
                <w:bCs/>
                <w:color w:val="auto"/>
                <w:kern w:val="0"/>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s="Times New Roman"/>
                <w:bCs/>
                <w:color w:val="auto"/>
                <w:kern w:val="0"/>
                <w:sz w:val="21"/>
                <w:szCs w:val="21"/>
                <w:highlight w:val="none"/>
                <w:lang w:eastAsia="zh-CN"/>
              </w:rPr>
              <w:t>颗粒物</w:t>
            </w:r>
            <w:r>
              <w:rPr>
                <w:rFonts w:hint="default" w:ascii="Times New Roman" w:hAnsi="Times New Roman" w:eastAsia="宋体" w:cs="Times New Roman"/>
                <w:bCs/>
                <w:color w:val="auto"/>
                <w:kern w:val="0"/>
                <w:sz w:val="21"/>
                <w:szCs w:val="21"/>
                <w:highlight w:val="none"/>
              </w:rPr>
              <w:t>排放浓度、烟气黑度满足《工业炉窑大气污染物排放标准》（GB9078-1996）表2</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二级标准，SO</w:t>
            </w:r>
            <w:r>
              <w:rPr>
                <w:rFonts w:hint="default" w:ascii="Times New Roman" w:hAnsi="Times New Roman" w:eastAsia="宋体" w:cs="Times New Roman"/>
                <w:bCs/>
                <w:color w:val="auto"/>
                <w:kern w:val="0"/>
                <w:sz w:val="21"/>
                <w:szCs w:val="21"/>
                <w:highlight w:val="none"/>
                <w:vertAlign w:val="subscript"/>
              </w:rPr>
              <w:t>2</w:t>
            </w:r>
            <w:r>
              <w:rPr>
                <w:rFonts w:hint="default" w:ascii="Times New Roman" w:hAnsi="Times New Roman" w:eastAsia="宋体" w:cs="Times New Roman"/>
                <w:bCs/>
                <w:color w:val="auto"/>
                <w:kern w:val="0"/>
                <w:sz w:val="21"/>
                <w:szCs w:val="21"/>
                <w:highlight w:val="none"/>
              </w:rPr>
              <w:t>排放浓度满足《工业炉窑大气污染物排放标准》（GB9078-1996）表4</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w:t>
            </w:r>
          </w:p>
          <w:p w14:paraId="1918673F">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本项目不属于《产业结构调整指导目录》淘汰类工业炉窑，热风炉布置于封闭的</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内，燃料</w:t>
            </w:r>
            <w:r>
              <w:rPr>
                <w:rFonts w:hint="eastAsia" w:cs="Times New Roman"/>
                <w:bCs/>
                <w:color w:val="auto"/>
                <w:kern w:val="0"/>
                <w:sz w:val="21"/>
                <w:szCs w:val="21"/>
                <w:highlight w:val="none"/>
                <w:lang w:val="en-US" w:eastAsia="zh-CN"/>
              </w:rPr>
              <w:t>及</w:t>
            </w:r>
            <w:r>
              <w:rPr>
                <w:rFonts w:hint="default" w:ascii="Times New Roman" w:hAnsi="Times New Roman" w:eastAsia="宋体" w:cs="Times New Roman"/>
                <w:bCs/>
                <w:color w:val="auto"/>
                <w:kern w:val="0"/>
                <w:sz w:val="21"/>
                <w:szCs w:val="21"/>
                <w:highlight w:val="none"/>
              </w:rPr>
              <w:t>灰渣储存于</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内，控制物料储存及输送的无组织排放。本项目</w:t>
            </w:r>
            <w:r>
              <w:rPr>
                <w:rFonts w:hint="default" w:ascii="Times New Roman" w:hAnsi="Times New Roman" w:eastAsia="宋体" w:cs="Times New Roman"/>
                <w:bCs/>
                <w:color w:val="auto"/>
                <w:kern w:val="0"/>
                <w:sz w:val="21"/>
                <w:szCs w:val="21"/>
                <w:highlight w:val="none"/>
                <w:lang w:eastAsia="zh-CN"/>
              </w:rPr>
              <w:t>生物质</w:t>
            </w:r>
            <w:r>
              <w:rPr>
                <w:rFonts w:hint="default" w:ascii="Times New Roman" w:hAnsi="Times New Roman" w:eastAsia="宋体" w:cs="Times New Roman"/>
                <w:bCs/>
                <w:color w:val="auto"/>
                <w:kern w:val="0"/>
                <w:sz w:val="21"/>
                <w:szCs w:val="21"/>
                <w:highlight w:val="none"/>
              </w:rPr>
              <w:t>热风炉产生的烟气，经过环保治理设施污染物达标排放，对周围环境及敏感目标影响较小。</w:t>
            </w:r>
            <w:r>
              <w:rPr>
                <w:rFonts w:hint="default" w:ascii="Times New Roman" w:hAnsi="Times New Roman" w:eastAsia="宋体" w:cs="Times New Roman"/>
                <w:color w:val="auto"/>
                <w:sz w:val="21"/>
                <w:szCs w:val="21"/>
                <w:highlight w:val="none"/>
              </w:rPr>
              <w:t>本项目作为农村特有的为粮食安全提供的烘干服务企业，结合黑龙江省现有粮食烘干企业的情况，目前均未要求粮食烘干企业进驻工业园区的要求。</w:t>
            </w:r>
          </w:p>
          <w:p w14:paraId="173EDA82">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本项目建设符合《黑龙江省工业炉窑大气污染综合治理方案》（黑环发[2019]144号）相关要求。</w:t>
            </w:r>
          </w:p>
          <w:p w14:paraId="41A7D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color w:val="auto"/>
                <w:szCs w:val="21"/>
                <w:highlight w:val="none"/>
              </w:rPr>
            </w:pPr>
            <w:r>
              <w:rPr>
                <w:rFonts w:hint="default" w:ascii="Times New Roman" w:hAnsi="Times New Roman" w:eastAsia="宋体" w:cs="Times New Roman"/>
                <w:b/>
                <w:bCs/>
                <w:color w:val="auto"/>
                <w:kern w:val="0"/>
                <w:sz w:val="21"/>
                <w:szCs w:val="21"/>
                <w:highlight w:val="none"/>
                <w:lang w:val="en-US" w:eastAsia="zh-CN"/>
              </w:rPr>
              <w:t>5、</w:t>
            </w:r>
            <w:r>
              <w:rPr>
                <w:rFonts w:hint="default" w:ascii="Times New Roman" w:hAnsi="Times New Roman" w:eastAsia="宋体" w:cs="Times New Roman"/>
                <w:b/>
                <w:color w:val="auto"/>
                <w:kern w:val="0"/>
                <w:sz w:val="21"/>
                <w:szCs w:val="21"/>
                <w:highlight w:val="none"/>
              </w:rPr>
              <w:t>与</w:t>
            </w:r>
            <w:r>
              <w:rPr>
                <w:rFonts w:hint="default"/>
                <w:b/>
                <w:bCs/>
                <w:color w:val="auto"/>
                <w:szCs w:val="21"/>
                <w:highlight w:val="none"/>
              </w:rPr>
              <w:t>《黑龙江省大气污染防治条例》（2018年修订）符合性分析</w:t>
            </w:r>
          </w:p>
          <w:p w14:paraId="6732DC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根据黑龙江省人民代表大会常务委员会发布的《黑龙江省大气污染防治条例》（2017年1月20日），第三章大气污染防治措施、第一节、燃生物质污染防治措施，第二十九条各级人民政府应当调整能源结构，推广清洁能源的生产和使用，制定并组织实施煤炭消费总量控制规划，减少煤炭生产、使用、转化过程中的大气污染物排放。第三十三条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设区的市级人民政府可以制定高于前款规定的标准。县级以上人民政府应当向社会公布燃煤锅炉计划淘汰名单和时限，并合理控制城市建成区外规划区内额定蒸发量每小时十吨以下或者额定功率七兆瓦以下燃煤锅炉的建设和使用。工业和信息化、供热行政主管、生态环境主管部门分别负责工业锅炉、供热锅炉、商业经营锅炉淘汰的具体工作。第三十六条各级人民政府应当加强民用散煤管理，设区的市级人民政府可以制定具体的奖励或者补贴政策，推广供应和使用优质煤炭、洁净型煤和节能环保型炉灶。</w:t>
            </w:r>
          </w:p>
          <w:p w14:paraId="503B3B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w:t>
            </w:r>
            <w:r>
              <w:rPr>
                <w:rFonts w:hint="eastAsia" w:cs="Times New Roman"/>
                <w:bCs/>
                <w:color w:val="auto"/>
                <w:kern w:val="0"/>
                <w:sz w:val="21"/>
                <w:szCs w:val="21"/>
                <w:highlight w:val="none"/>
                <w:lang w:val="en-US" w:eastAsia="zh-CN"/>
              </w:rPr>
              <w:t>720万Kcal/h</w:t>
            </w:r>
            <w:r>
              <w:rPr>
                <w:rFonts w:hint="eastAsia" w:ascii="Times New Roman" w:hAnsi="Times New Roman" w:eastAsia="宋体" w:cs="Times New Roman"/>
                <w:bCs/>
                <w:color w:val="auto"/>
                <w:kern w:val="0"/>
                <w:sz w:val="21"/>
                <w:szCs w:val="21"/>
                <w:highlight w:val="none"/>
                <w:lang w:val="en-US" w:eastAsia="zh-CN"/>
              </w:rPr>
              <w:t>燃生物质热风炉</w:t>
            </w:r>
            <w:r>
              <w:rPr>
                <w:rFonts w:hint="eastAsia" w:cs="Times New Roman"/>
                <w:color w:val="auto"/>
                <w:sz w:val="21"/>
                <w:szCs w:val="21"/>
                <w:highlight w:val="none"/>
                <w:lang w:val="en-US" w:eastAsia="zh-CN"/>
              </w:rPr>
              <w:t>，为粮食烘干提供热源，配套设置布袋除尘器，燃料为生物质成型燃料</w:t>
            </w:r>
            <w:r>
              <w:rPr>
                <w:rFonts w:hint="eastAsia" w:ascii="宋体" w:hAnsi="宋体" w:cs="宋体"/>
                <w:color w:val="auto"/>
                <w:szCs w:val="21"/>
                <w:highlight w:val="none"/>
                <w:lang w:eastAsia="zh-CN"/>
              </w:rPr>
              <w:t>，符合文件中减少煤炭生产、使用、转化过程中的大气污染物排放的意见；因此，</w:t>
            </w:r>
            <w:r>
              <w:rPr>
                <w:rFonts w:hint="default"/>
                <w:color w:val="auto"/>
                <w:szCs w:val="21"/>
                <w:highlight w:val="none"/>
              </w:rPr>
              <w:t>本项目建设符合《黑龙江省大气污染防治条例》（2018年修订）的环境管理要求。</w:t>
            </w:r>
          </w:p>
          <w:p w14:paraId="1D6412BE">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color w:val="auto"/>
                <w:kern w:val="0"/>
                <w:sz w:val="21"/>
                <w:szCs w:val="21"/>
                <w:highlight w:val="none"/>
              </w:rPr>
              <w:t>与</w:t>
            </w:r>
            <w:r>
              <w:rPr>
                <w:rFonts w:hint="default" w:ascii="Times New Roman" w:hAnsi="Times New Roman" w:eastAsia="宋体" w:cs="Times New Roman"/>
                <w:b/>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color w:val="auto"/>
                <w:kern w:val="0"/>
                <w:sz w:val="21"/>
                <w:szCs w:val="21"/>
                <w:highlight w:val="none"/>
              </w:rPr>
              <w:t>符合性分析</w:t>
            </w:r>
          </w:p>
          <w:p w14:paraId="22FB58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根据《环境空气细颗粒物污染综合防治技术政策》，</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细颗粒物污染防治技术简要说明中，一、工业污染防治技术，（一）有组织排放颗粒物（烟、粉尘）污染防治技术，包括袋式除尘、湿式电除尘技术、电袋复合除尘技术。（二）前体污染物（NO、SO</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、VOCs、NH</w:t>
            </w:r>
            <w:r>
              <w:rPr>
                <w:rFonts w:hint="default" w:ascii="Times New Roman" w:hAnsi="Times New Roman" w:eastAsia="宋体" w:cs="Times New Roman"/>
                <w:color w:val="auto"/>
                <w:kern w:val="0"/>
                <w:sz w:val="21"/>
                <w:szCs w:val="21"/>
                <w:highlight w:val="none"/>
                <w:vertAlign w:val="sub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w:t>
            </w:r>
          </w:p>
          <w:p w14:paraId="489C75B2">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cs="Times New Roman"/>
                <w:color w:val="auto"/>
                <w:sz w:val="21"/>
                <w:szCs w:val="21"/>
                <w:highlight w:val="none"/>
                <w:lang w:eastAsia="zh-CN"/>
              </w:rPr>
              <w:t>烟囱</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color w:val="auto"/>
                <w:kern w:val="0"/>
                <w:sz w:val="21"/>
                <w:szCs w:val="21"/>
                <w:lang w:val="en-US" w:eastAsia="zh-CN" w:bidi="ar"/>
              </w:rPr>
              <w:t>氮氧化物</w:t>
            </w:r>
            <w:r>
              <w:rPr>
                <w:rFonts w:hint="default" w:ascii="Times New Roman" w:hAnsi="Times New Roman" w:eastAsia="宋体" w:cs="Times New Roman"/>
                <w:color w:val="auto"/>
                <w:kern w:val="0"/>
                <w:sz w:val="21"/>
                <w:szCs w:val="21"/>
                <w:highlight w:val="none"/>
              </w:rPr>
              <w:t>排放执</w:t>
            </w:r>
            <w:r>
              <w:rPr>
                <w:rFonts w:hint="default" w:ascii="Times New Roman" w:hAnsi="Times New Roman" w:eastAsia="宋体" w:cs="Times New Roman"/>
                <w:color w:val="auto"/>
                <w:kern w:val="0"/>
                <w:sz w:val="21"/>
                <w:szCs w:val="21"/>
                <w:lang w:val="en-US" w:eastAsia="zh-CN" w:bidi="ar"/>
              </w:rPr>
              <w:t>行《大气污染物综合排放标准》（GB16297-1996）中二级标准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筛分及成品输送装卸</w:t>
            </w:r>
            <w:r>
              <w:rPr>
                <w:rFonts w:hint="default" w:ascii="Times New Roman" w:hAnsi="Times New Roman" w:cs="Times New Roman"/>
                <w:color w:val="auto"/>
                <w:sz w:val="21"/>
                <w:szCs w:val="21"/>
                <w:highlight w:val="none"/>
              </w:rPr>
              <w:t>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w:t>
            </w:r>
            <w:r>
              <w:rPr>
                <w:rFonts w:hint="eastAsia" w:ascii="宋体" w:hAnsi="宋体" w:eastAsia="宋体" w:cs="宋体"/>
                <w:color w:val="auto"/>
                <w:spacing w:val="0"/>
                <w:kern w:val="0"/>
                <w:sz w:val="21"/>
                <w:szCs w:val="21"/>
                <w:highlight w:val="none"/>
                <w:lang w:val="en-US" w:eastAsia="zh-CN" w:bidi="ar"/>
              </w:rPr>
              <w:t>原粮入仓及成品入库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w:t>
            </w:r>
            <w:r>
              <w:rPr>
                <w:rFonts w:hint="eastAsia" w:ascii="Times New Roman" w:hAnsi="Times New Roman" w:cs="Times New Roman"/>
                <w:color w:val="auto"/>
                <w:sz w:val="21"/>
                <w:szCs w:val="21"/>
                <w:highlight w:val="none"/>
                <w:lang w:val="en-US" w:eastAsia="zh-CN"/>
              </w:rPr>
              <w:t>清选</w:t>
            </w:r>
            <w:r>
              <w:rPr>
                <w:rFonts w:hint="eastAsia" w:ascii="Times New Roman" w:hAnsi="Times New Roman" w:cs="Times New Roman"/>
                <w:color w:val="auto"/>
                <w:sz w:val="21"/>
                <w:szCs w:val="21"/>
                <w:highlight w:val="none"/>
                <w:lang w:eastAsia="zh-CN"/>
              </w:rPr>
              <w:t>筛，产生的粉尘经设备自带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eastAsia" w:ascii="Times New Roman" w:hAnsi="Times New Roman" w:eastAsia="宋体" w:cs="Times New Roman"/>
                <w:b w:val="0"/>
                <w:bCs w:val="0"/>
                <w:color w:val="auto"/>
                <w:sz w:val="21"/>
                <w:szCs w:val="21"/>
                <w:highlight w:val="none"/>
                <w:lang w:val="en-US" w:eastAsia="zh-CN"/>
              </w:rPr>
              <w:t>。燃料库</w:t>
            </w:r>
            <w:r>
              <w:rPr>
                <w:rFonts w:hint="eastAsia" w:cs="Times New Roman"/>
                <w:b w:val="0"/>
                <w:bCs w:val="0"/>
                <w:color w:val="auto"/>
                <w:sz w:val="21"/>
                <w:szCs w:val="21"/>
                <w:highlight w:val="none"/>
                <w:lang w:val="en-US" w:eastAsia="zh-CN"/>
              </w:rPr>
              <w:t>、</w:t>
            </w:r>
            <w:r>
              <w:rPr>
                <w:rFonts w:hint="eastAsia" w:cs="Times New Roman"/>
                <w:bCs/>
                <w:color w:val="auto"/>
                <w:kern w:val="0"/>
                <w:sz w:val="21"/>
                <w:szCs w:val="21"/>
                <w:highlight w:val="none"/>
                <w:lang w:val="en-US" w:eastAsia="zh-CN"/>
              </w:rPr>
              <w:t>热风炉房</w:t>
            </w:r>
            <w:r>
              <w:rPr>
                <w:rFonts w:hint="eastAsia" w:ascii="Times New Roman" w:hAnsi="Times New Roman" w:eastAsia="宋体" w:cs="Times New Roman"/>
                <w:b w:val="0"/>
                <w:bCs w:val="0"/>
                <w:color w:val="auto"/>
                <w:sz w:val="21"/>
                <w:szCs w:val="21"/>
                <w:highlight w:val="none"/>
                <w:lang w:val="en-US" w:eastAsia="zh-CN"/>
              </w:rPr>
              <w:t>密闭并定期洒水抑尘，减少粉尘扩散</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厂界颗粒物排放浓度符合《大气污染物综合排放标准》（GB16297-1996）表2无组织排放浓度限值要求。</w:t>
            </w:r>
            <w:r>
              <w:rPr>
                <w:rFonts w:hint="eastAsia" w:cs="Times New Roman"/>
                <w:color w:val="auto"/>
                <w:kern w:val="0"/>
                <w:sz w:val="21"/>
                <w:szCs w:val="21"/>
                <w:highlight w:val="none"/>
                <w:lang w:val="en-US" w:eastAsia="zh-CN"/>
              </w:rPr>
              <w:t>热风炉周边无组织排放颗粒物浓度执行</w:t>
            </w:r>
            <w:r>
              <w:rPr>
                <w:rFonts w:hint="default" w:ascii="Times New Roman" w:hAnsi="Times New Roman" w:eastAsia="宋体" w:cs="Times New Roman"/>
                <w:color w:val="auto"/>
                <w:kern w:val="0"/>
                <w:sz w:val="21"/>
                <w:szCs w:val="21"/>
                <w:highlight w:val="none"/>
              </w:rPr>
              <w:t>《工业炉窑大气污染物排放标准》（GB9078-1996）中的表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sz w:val="21"/>
                <w:szCs w:val="21"/>
                <w:highlight w:val="none"/>
              </w:rPr>
              <w:t>因此本项目符合《</w:t>
            </w:r>
            <w:r>
              <w:rPr>
                <w:rFonts w:hint="default" w:ascii="Times New Roman" w:hAnsi="Times New Roman" w:eastAsia="宋体" w:cs="Times New Roman"/>
                <w:b w:val="0"/>
                <w:bCs/>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val="0"/>
                <w:bCs/>
                <w:color w:val="auto"/>
                <w:sz w:val="21"/>
                <w:szCs w:val="21"/>
                <w:highlight w:val="none"/>
              </w:rPr>
              <w:t>》</w:t>
            </w:r>
            <w:r>
              <w:rPr>
                <w:rFonts w:hint="eastAsia" w:ascii="Times New Roman" w:hAnsi="Times New Roman" w:eastAsia="宋体" w:cs="Times New Roman"/>
                <w:b w:val="0"/>
                <w:bCs/>
                <w:color w:val="auto"/>
                <w:sz w:val="21"/>
                <w:szCs w:val="21"/>
                <w:highlight w:val="none"/>
                <w:lang w:eastAsia="zh-CN"/>
              </w:rPr>
              <w:t>。</w:t>
            </w:r>
          </w:p>
          <w:p w14:paraId="0DC93F44">
            <w:pPr>
              <w:pStyle w:val="146"/>
              <w:keepNext w:val="0"/>
              <w:keepLines w:val="0"/>
              <w:pageBreakBefore w:val="0"/>
              <w:widowControl w:val="0"/>
              <w:suppressLineNumbers w:val="0"/>
              <w:kinsoku/>
              <w:wordWrap/>
              <w:overflowPunct/>
              <w:topLinePunct w:val="0"/>
              <w:bidi w:val="0"/>
              <w:spacing w:before="0" w:beforeAutospacing="0" w:after="0" w:afterAutospacing="0"/>
              <w:ind w:left="0" w:right="0" w:firstLine="422" w:firstLineChars="200"/>
              <w:textAlignment w:val="auto"/>
              <w:rPr>
                <w:rFonts w:hint="default"/>
                <w:b/>
                <w:bCs/>
                <w:color w:val="auto"/>
                <w:sz w:val="21"/>
                <w:szCs w:val="21"/>
                <w:highlight w:val="none"/>
              </w:rPr>
            </w:pPr>
            <w:r>
              <w:rPr>
                <w:rFonts w:hint="eastAsia"/>
                <w:b/>
                <w:bCs/>
                <w:color w:val="auto"/>
                <w:sz w:val="21"/>
                <w:szCs w:val="21"/>
                <w:highlight w:val="none"/>
                <w:lang w:val="en-US" w:eastAsia="zh-CN"/>
              </w:rPr>
              <w:t>7</w:t>
            </w:r>
            <w:r>
              <w:rPr>
                <w:rFonts w:hint="eastAsia"/>
                <w:b/>
                <w:bCs/>
                <w:color w:val="auto"/>
                <w:sz w:val="21"/>
                <w:szCs w:val="21"/>
                <w:highlight w:val="none"/>
              </w:rPr>
              <w:t>、与《黑龙江省“十四五”生态环境保护规划》符合</w:t>
            </w:r>
            <w:r>
              <w:rPr>
                <w:rFonts w:hint="eastAsia"/>
                <w:b/>
                <w:bCs/>
                <w:color w:val="auto"/>
                <w:sz w:val="21"/>
                <w:szCs w:val="21"/>
                <w:highlight w:val="none"/>
                <w:lang w:eastAsia="zh-CN"/>
              </w:rPr>
              <w:t>性</w:t>
            </w:r>
            <w:r>
              <w:rPr>
                <w:rFonts w:hint="eastAsia"/>
                <w:b/>
                <w:bCs/>
                <w:color w:val="auto"/>
                <w:sz w:val="21"/>
                <w:szCs w:val="21"/>
                <w:highlight w:val="none"/>
              </w:rPr>
              <w:t>分析</w:t>
            </w:r>
          </w:p>
          <w:p w14:paraId="1FD579CD">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w:t>
            </w:r>
            <w:r>
              <w:rPr>
                <w:rFonts w:hint="eastAsia" w:cs="Times New Roman"/>
                <w:bCs/>
                <w:color w:val="auto"/>
                <w:kern w:val="0"/>
                <w:sz w:val="21"/>
                <w:szCs w:val="21"/>
                <w:highlight w:val="none"/>
                <w:lang w:val="en-US" w:eastAsia="zh-CN"/>
              </w:rPr>
              <w:t>720万Kcal/h</w:t>
            </w:r>
            <w:r>
              <w:rPr>
                <w:rFonts w:hint="eastAsia" w:ascii="Times New Roman" w:hAnsi="Times New Roman" w:eastAsia="宋体" w:cs="Times New Roman"/>
                <w:bCs/>
                <w:color w:val="auto"/>
                <w:kern w:val="0"/>
                <w:sz w:val="21"/>
                <w:szCs w:val="21"/>
                <w:highlight w:val="none"/>
                <w:lang w:val="en-US" w:eastAsia="zh-CN"/>
              </w:rPr>
              <w:t>燃生物质热风炉，热风炉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Cs/>
                <w:color w:val="auto"/>
                <w:kern w:val="0"/>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ascii="Times New Roman" w:hAnsi="Times New Roman" w:eastAsia="宋体" w:cs="Times New Roman"/>
                <w:bCs/>
                <w:color w:val="auto"/>
                <w:kern w:val="0"/>
                <w:sz w:val="21"/>
                <w:szCs w:val="21"/>
                <w:highlight w:val="none"/>
                <w:lang w:val="en-US" w:eastAsia="zh-CN"/>
              </w:rPr>
              <w:t>15</w:t>
            </w:r>
            <w:r>
              <w:rPr>
                <w:rFonts w:hint="default" w:ascii="Times New Roman" w:hAnsi="Times New Roman" w:eastAsia="宋体" w:cs="Times New Roman"/>
                <w:bCs/>
                <w:color w:val="auto"/>
                <w:kern w:val="0"/>
                <w:sz w:val="21"/>
                <w:szCs w:val="21"/>
                <w:highlight w:val="none"/>
              </w:rPr>
              <w:t>m高</w:t>
            </w:r>
            <w:r>
              <w:rPr>
                <w:rFonts w:hint="eastAsia" w:ascii="Times New Roman" w:hAnsi="Times New Roman" w:eastAsia="宋体" w:cs="Times New Roman"/>
                <w:bCs/>
                <w:color w:val="auto"/>
                <w:kern w:val="0"/>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olor w:val="auto"/>
                <w:sz w:val="21"/>
                <w:szCs w:val="21"/>
                <w:highlight w:val="none"/>
              </w:rPr>
              <w:t>，采用生物质成型燃料，不涉及燃煤燃料使用，可以达标排放，属于可行技术，确保污染物稳定达标排放；运营期</w:t>
            </w:r>
            <w:r>
              <w:rPr>
                <w:rFonts w:hint="default" w:ascii="Times New Roman" w:hAnsi="Times New Roman" w:eastAsia="宋体" w:cs="Times New Roman"/>
                <w:bCs/>
                <w:color w:val="auto"/>
                <w:sz w:val="21"/>
                <w:szCs w:val="21"/>
                <w:highlight w:val="none"/>
                <w:lang w:val="en-US" w:eastAsia="zh-CN"/>
              </w:rPr>
              <w:t>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r>
              <w:rPr>
                <w:rFonts w:hint="eastAsia"/>
                <w:color w:val="auto"/>
                <w:sz w:val="21"/>
                <w:szCs w:val="21"/>
                <w:highlight w:val="none"/>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5FD14450">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bCs w:val="0"/>
                <w:color w:val="auto"/>
                <w:sz w:val="21"/>
                <w:szCs w:val="21"/>
                <w:highlight w:val="none"/>
                <w:lang w:val="en-US" w:eastAsia="zh-CN"/>
              </w:rPr>
              <w:t>8</w:t>
            </w:r>
            <w:r>
              <w:rPr>
                <w:rFonts w:hint="eastAsia" w:ascii="Times New Roman" w:hAnsi="Times New Roman" w:eastAsia="宋体" w:cs="Times New Roman"/>
                <w:b/>
                <w:bCs w:val="0"/>
                <w:color w:val="auto"/>
                <w:sz w:val="21"/>
                <w:szCs w:val="21"/>
                <w:highlight w:val="none"/>
                <w:lang w:eastAsia="zh-CN"/>
              </w:rPr>
              <w:t>、与《工业炉窑大气污染综合治理方案》（环大气[2019]56号）符合性分析</w:t>
            </w:r>
          </w:p>
          <w:p w14:paraId="3BC5A240">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《工业炉窑大气污染综合治理方案》（环大气[2019]56号）</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r>
              <w:rPr>
                <w:rFonts w:hint="eastAsia" w:cs="Times New Roman"/>
                <w:b w:val="0"/>
                <w:bCs/>
                <w:color w:val="auto"/>
                <w:sz w:val="21"/>
                <w:szCs w:val="21"/>
                <w:highlight w:val="none"/>
                <w:lang w:eastAsia="zh-CN"/>
              </w:rPr>
              <w:t>”</w:t>
            </w:r>
          </w:p>
          <w:p w14:paraId="75219537">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r>
              <w:rPr>
                <w:rFonts w:hint="eastAsia" w:cs="Times New Roman"/>
                <w:b w:val="0"/>
                <w:bCs/>
                <w:color w:val="auto"/>
                <w:sz w:val="21"/>
                <w:szCs w:val="21"/>
                <w:highlight w:val="none"/>
                <w:lang w:eastAsia="zh-CN"/>
              </w:rPr>
              <w:t>”</w:t>
            </w:r>
          </w:p>
          <w:p w14:paraId="711FFF97">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w:t>
            </w:r>
            <w:r>
              <w:rPr>
                <w:rFonts w:hint="eastAsia" w:cs="Times New Roman"/>
                <w:bCs/>
                <w:color w:val="auto"/>
                <w:kern w:val="0"/>
                <w:sz w:val="21"/>
                <w:szCs w:val="21"/>
                <w:highlight w:val="none"/>
                <w:lang w:val="en-US" w:eastAsia="zh-CN"/>
              </w:rPr>
              <w:t>720万Kcal/h</w:t>
            </w:r>
            <w:r>
              <w:rPr>
                <w:rFonts w:hint="eastAsia" w:ascii="Times New Roman" w:hAnsi="Times New Roman" w:eastAsia="宋体" w:cs="Times New Roman"/>
                <w:bCs/>
                <w:color w:val="auto"/>
                <w:kern w:val="0"/>
                <w:sz w:val="21"/>
                <w:szCs w:val="21"/>
                <w:highlight w:val="none"/>
                <w:lang w:val="en-US" w:eastAsia="zh-CN"/>
              </w:rPr>
              <w:t>燃生物质热风炉</w:t>
            </w:r>
            <w:r>
              <w:rPr>
                <w:rFonts w:hint="eastAsia" w:ascii="Times New Roman" w:hAnsi="Times New Roman" w:eastAsia="宋体" w:cs="Times New Roman"/>
                <w:b w:val="0"/>
                <w:bCs/>
                <w:color w:val="auto"/>
                <w:sz w:val="21"/>
                <w:szCs w:val="21"/>
                <w:highlight w:val="none"/>
                <w:lang w:eastAsia="zh-CN"/>
              </w:rPr>
              <w:t>，用于粮食烘干，本项目厂址位于</w:t>
            </w:r>
            <w:r>
              <w:rPr>
                <w:rFonts w:hint="eastAsia"/>
                <w:color w:val="auto"/>
                <w:highlight w:val="none"/>
                <w:lang w:val="en-US" w:eastAsia="zh-CN"/>
              </w:rPr>
              <w:t>黑龙江省鸡西市鸡东县向阳镇向阳村</w:t>
            </w:r>
            <w:r>
              <w:rPr>
                <w:rFonts w:hint="eastAsia" w:ascii="Times New Roman" w:hAnsi="Times New Roman" w:eastAsia="宋体" w:cs="Times New Roman"/>
                <w:b w:val="0"/>
                <w:bCs/>
                <w:color w:val="auto"/>
                <w:sz w:val="21"/>
                <w:szCs w:val="21"/>
                <w:highlight w:val="none"/>
                <w:lang w:eastAsia="zh-CN"/>
              </w:rPr>
              <w:t>，不属于《工业炉窑大气污染综合治理方案》重点区域，也不属于其附件4中的重点行业工业炉窑。</w:t>
            </w:r>
          </w:p>
          <w:p w14:paraId="593B3041">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本项目生物质热风炉烟气经布袋除尘器处理后经</w:t>
            </w:r>
            <w:r>
              <w:rPr>
                <w:rFonts w:hint="eastAsia" w:cs="Times New Roman"/>
                <w:b w:val="0"/>
                <w:bCs/>
                <w:color w:val="auto"/>
                <w:sz w:val="21"/>
                <w:szCs w:val="21"/>
                <w:highlight w:val="none"/>
                <w:lang w:val="en-US" w:eastAsia="zh-CN"/>
              </w:rPr>
              <w:t>15</w:t>
            </w:r>
            <w:r>
              <w:rPr>
                <w:rFonts w:hint="eastAsia" w:ascii="Times New Roman" w:hAnsi="Times New Roman" w:eastAsia="宋体" w:cs="Times New Roman"/>
                <w:b w:val="0"/>
                <w:bCs/>
                <w:color w:val="auto"/>
                <w:sz w:val="21"/>
                <w:szCs w:val="21"/>
                <w:highlight w:val="none"/>
                <w:lang w:eastAsia="zh-CN"/>
              </w:rPr>
              <w:t>m高烟囱排放，</w:t>
            </w:r>
            <w:r>
              <w:rPr>
                <w:rFonts w:hint="eastAsia" w:cs="Times New Roman"/>
                <w:b w:val="0"/>
                <w:bCs/>
                <w:color w:val="auto"/>
                <w:sz w:val="21"/>
                <w:szCs w:val="21"/>
                <w:highlight w:val="none"/>
                <w:lang w:eastAsia="zh-CN"/>
              </w:rPr>
              <w:t>颗粒物</w:t>
            </w:r>
            <w:r>
              <w:rPr>
                <w:rFonts w:hint="eastAsia" w:ascii="Times New Roman" w:hAnsi="Times New Roman" w:eastAsia="宋体" w:cs="Times New Roman"/>
                <w:b w:val="0"/>
                <w:bCs/>
                <w:color w:val="auto"/>
                <w:sz w:val="21"/>
                <w:szCs w:val="21"/>
                <w:highlight w:val="none"/>
                <w:lang w:eastAsia="zh-CN"/>
              </w:rPr>
              <w:t>、烟气黑度排放浓度满足《工业炉窑大气污染物排放标准》（GB9078-1996）表2二级标准，SO</w:t>
            </w:r>
            <w:r>
              <w:rPr>
                <w:rFonts w:hint="eastAsia" w:ascii="Times New Roman" w:hAnsi="Times New Roman" w:eastAsia="宋体" w:cs="Times New Roman"/>
                <w:b w:val="0"/>
                <w:bCs/>
                <w:color w:val="auto"/>
                <w:sz w:val="21"/>
                <w:szCs w:val="21"/>
                <w:highlight w:val="none"/>
                <w:vertAlign w:val="subscript"/>
                <w:lang w:eastAsia="zh-CN"/>
              </w:rPr>
              <w:t>2</w:t>
            </w:r>
            <w:r>
              <w:rPr>
                <w:rFonts w:hint="eastAsia" w:ascii="Times New Roman" w:hAnsi="Times New Roman" w:eastAsia="宋体" w:cs="Times New Roman"/>
                <w:b w:val="0"/>
                <w:bCs/>
                <w:color w:val="auto"/>
                <w:sz w:val="21"/>
                <w:szCs w:val="21"/>
                <w:highlight w:val="none"/>
                <w:lang w:eastAsia="zh-CN"/>
              </w:rPr>
              <w:t>排放浓度满足《工业炉窑大气污染物排放标准》（GB9078-1996）表4二级标准。厂界颗粒物排放满足《大气污染物综合排放标准》（GB16297-1996）标准的要求。因此本项目建设符合《工业炉窑大气污染综合治理方案》（环大气[2019]56号）相关要求。</w:t>
            </w:r>
          </w:p>
          <w:p w14:paraId="08BB440C">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bCs w:val="0"/>
                <w:color w:val="auto"/>
                <w:sz w:val="21"/>
                <w:szCs w:val="21"/>
                <w:highlight w:val="none"/>
                <w:lang w:val="en-US" w:eastAsia="zh-CN"/>
              </w:rPr>
              <w:t>9、与</w:t>
            </w:r>
            <w:r>
              <w:rPr>
                <w:rFonts w:hint="eastAsia" w:ascii="Times New Roman" w:hAnsi="Times New Roman" w:eastAsia="宋体" w:cs="Times New Roman"/>
                <w:b/>
                <w:bCs w:val="0"/>
                <w:color w:val="auto"/>
                <w:sz w:val="21"/>
                <w:szCs w:val="21"/>
                <w:highlight w:val="none"/>
                <w:lang w:eastAsia="zh-CN"/>
              </w:rPr>
              <w:t>《黑龙江省大气污染防治行动计划实施细则》</w:t>
            </w:r>
            <w:r>
              <w:rPr>
                <w:rFonts w:hint="eastAsia" w:cs="Times New Roman"/>
                <w:b/>
                <w:bCs w:val="0"/>
                <w:color w:val="auto"/>
                <w:sz w:val="21"/>
                <w:szCs w:val="21"/>
                <w:highlight w:val="none"/>
                <w:lang w:val="en-US" w:eastAsia="zh-CN"/>
              </w:rPr>
              <w:t>符合性分析</w:t>
            </w:r>
          </w:p>
          <w:p w14:paraId="2BFA9A13">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《黑龙江省大气污染防治行动计划实施细则》</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强对燃煤锅炉及窑炉等治理。规模在20蒸吨及以上的燃煤锅炉要实施烟气脱硫，确保达标排放。循环硫化床锅炉要全部安装静电、布袋等高效除尘设施，实现达标排放，抛煤机和往复炉排等层燃锅炉要使用含硫量低于</w:t>
            </w:r>
            <w:r>
              <w:rPr>
                <w:rFonts w:hint="eastAsia" w:cs="Times New Roman"/>
                <w:b w:val="0"/>
                <w:bCs/>
                <w:color w:val="auto"/>
                <w:sz w:val="21"/>
                <w:szCs w:val="21"/>
                <w:highlight w:val="none"/>
                <w:lang w:val="en-US" w:eastAsia="zh-CN"/>
              </w:rPr>
              <w:t>0.</w:t>
            </w:r>
            <w:r>
              <w:rPr>
                <w:rFonts w:hint="eastAsia" w:ascii="Times New Roman" w:hAnsi="Times New Roman" w:eastAsia="宋体" w:cs="Times New Roman"/>
                <w:b w:val="0"/>
                <w:bCs/>
                <w:color w:val="auto"/>
                <w:sz w:val="21"/>
                <w:szCs w:val="21"/>
                <w:highlight w:val="none"/>
                <w:lang w:eastAsia="zh-CN"/>
              </w:rPr>
              <w:t>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r>
              <w:rPr>
                <w:rFonts w:hint="eastAsia" w:cs="Times New Roman"/>
                <w:b w:val="0"/>
                <w:bCs/>
                <w:color w:val="auto"/>
                <w:sz w:val="21"/>
                <w:szCs w:val="21"/>
                <w:highlight w:val="none"/>
                <w:lang w:eastAsia="zh-CN"/>
              </w:rPr>
              <w:t>”</w:t>
            </w:r>
          </w:p>
          <w:p w14:paraId="4DF56535">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扩大高污染燃料禁燃区范围。到2014年年底，各地要完成高污染燃料禁燃区划定和调整工作，并向社会公布。禁燃区面积不低于建成区面积的80%，并根据城市建成区的发展不断调整划定范围。禁燃区内禁止散烧原煤以及煤焦油、重油、渣油等燃料，禁止燃烧各种可燃废物，禁止燃用生物质燃料及污染物含量超过国家规定限值的柴油、煤油等高污染燃料。已建成的使用高污染燃料的各类设施要限期拆除或改造成使用管道天然气、液化石油气、电等清洁能源。</w:t>
            </w:r>
            <w:r>
              <w:rPr>
                <w:rFonts w:hint="eastAsia" w:cs="Times New Roman"/>
                <w:b w:val="0"/>
                <w:bCs/>
                <w:color w:val="auto"/>
                <w:sz w:val="21"/>
                <w:szCs w:val="21"/>
                <w:highlight w:val="none"/>
                <w:lang w:eastAsia="zh-CN"/>
              </w:rPr>
              <w:t>”</w:t>
            </w:r>
          </w:p>
          <w:p w14:paraId="04FA282B">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w:t>
            </w:r>
            <w:r>
              <w:rPr>
                <w:rFonts w:hint="eastAsia" w:cs="Times New Roman"/>
                <w:bCs/>
                <w:color w:val="auto"/>
                <w:kern w:val="0"/>
                <w:sz w:val="21"/>
                <w:szCs w:val="21"/>
                <w:highlight w:val="none"/>
                <w:lang w:val="en-US" w:eastAsia="zh-CN"/>
              </w:rPr>
              <w:t>720万Kcal/h</w:t>
            </w:r>
            <w:r>
              <w:rPr>
                <w:rFonts w:hint="eastAsia" w:ascii="Times New Roman" w:hAnsi="Times New Roman" w:eastAsia="宋体" w:cs="Times New Roman"/>
                <w:bCs/>
                <w:color w:val="auto"/>
                <w:kern w:val="0"/>
                <w:sz w:val="21"/>
                <w:szCs w:val="21"/>
                <w:highlight w:val="none"/>
                <w:lang w:val="en-US" w:eastAsia="zh-CN"/>
              </w:rPr>
              <w:t>燃生物质热风炉</w:t>
            </w:r>
            <w:r>
              <w:rPr>
                <w:rFonts w:hint="eastAsia" w:cs="Times New Roman"/>
                <w:b w:val="0"/>
                <w:bCs/>
                <w:color w:val="auto"/>
                <w:sz w:val="21"/>
                <w:szCs w:val="21"/>
                <w:highlight w:val="none"/>
                <w:lang w:val="en-US" w:eastAsia="zh-CN"/>
              </w:rPr>
              <w:t>，燃料为生物质成型燃料，配套设置布袋除尘器，</w:t>
            </w:r>
            <w:r>
              <w:rPr>
                <w:rFonts w:hint="eastAsia" w:cs="Times New Roman"/>
                <w:color w:val="auto"/>
                <w:sz w:val="21"/>
                <w:szCs w:val="21"/>
                <w:highlight w:val="none"/>
                <w:lang w:val="en-US" w:eastAsia="zh-CN"/>
              </w:rPr>
              <w:t>不属于高污染燃料。</w:t>
            </w:r>
          </w:p>
          <w:p w14:paraId="7E4FB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10、</w:t>
            </w:r>
            <w:r>
              <w:rPr>
                <w:rFonts w:hint="default" w:ascii="Times New Roman" w:hAnsi="Times New Roman" w:eastAsia="宋体" w:cs="Times New Roman"/>
                <w:b/>
                <w:bCs/>
                <w:color w:val="auto"/>
                <w:sz w:val="21"/>
                <w:szCs w:val="21"/>
                <w:highlight w:val="none"/>
                <w:lang w:val="en-US" w:eastAsia="zh-CN"/>
              </w:rPr>
              <w:t>与《黑龙江省空气质量持续改善行动计划实施方案》</w:t>
            </w:r>
            <w:r>
              <w:rPr>
                <w:rFonts w:hint="default" w:ascii="Times New Roman" w:hAnsi="Times New Roman" w:eastAsia="宋体" w:cs="Times New Roman"/>
                <w:b/>
                <w:bCs/>
                <w:color w:val="auto"/>
                <w:kern w:val="2"/>
                <w:sz w:val="21"/>
                <w:szCs w:val="21"/>
                <w:highlight w:val="none"/>
                <w:lang w:val="en-US" w:eastAsia="zh-CN" w:bidi="ar-SA"/>
              </w:rPr>
              <w:t>（黑政发【2023】19号）</w:t>
            </w:r>
            <w:r>
              <w:rPr>
                <w:rFonts w:hint="default" w:ascii="Times New Roman" w:hAnsi="Times New Roman" w:eastAsia="宋体" w:cs="Times New Roman"/>
                <w:b/>
                <w:bCs/>
                <w:color w:val="auto"/>
                <w:kern w:val="0"/>
                <w:sz w:val="21"/>
                <w:szCs w:val="21"/>
                <w:highlight w:val="none"/>
                <w:u w:val="none"/>
              </w:rPr>
              <w:t>符合性分析</w:t>
            </w:r>
          </w:p>
          <w:p w14:paraId="351F9280">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（黑政发【2023】19号）</w:t>
            </w:r>
            <w:r>
              <w:rPr>
                <w:rFonts w:hint="default" w:ascii="Times New Roman" w:hAnsi="Times New Roman" w:eastAsia="宋体" w:cs="Times New Roman"/>
                <w:b w:val="0"/>
                <w:bCs w:val="0"/>
                <w:color w:val="auto"/>
                <w:sz w:val="21"/>
                <w:szCs w:val="21"/>
                <w:highlight w:val="none"/>
                <w:lang w:val="en-US" w:eastAsia="zh-CN"/>
              </w:rPr>
              <w:t>中</w:t>
            </w:r>
            <w:r>
              <w:rPr>
                <w:rFonts w:hint="eastAsia" w:ascii="Times New Roman" w:hAnsi="Times New Roman" w:eastAsia="宋体" w:cs="Times New Roman"/>
                <w:b w:val="0"/>
                <w:bCs w:val="0"/>
                <w:color w:val="auto"/>
                <w:sz w:val="21"/>
                <w:szCs w:val="21"/>
                <w:highlight w:val="none"/>
                <w:lang w:val="en-US" w:eastAsia="zh-CN"/>
              </w:rPr>
              <w:t>指出</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eastAsia"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在持续加强面源污染治理方面，深化扬尘污染综合治理，推进矿山生态环境综合整治，加强秸秆综合利用和禁烧管控，加强秸秆综合利用和禁烧管控。</w:t>
            </w:r>
            <w:r>
              <w:rPr>
                <w:rFonts w:hint="eastAsia" w:ascii="Times New Roman" w:hAnsi="Times New Roman" w:eastAsia="宋体" w:cs="Times New Roman"/>
                <w:b w:val="0"/>
                <w:bCs w:val="0"/>
                <w:i w:val="0"/>
                <w:iCs w:val="0"/>
                <w:caps w:val="0"/>
                <w:color w:val="auto"/>
                <w:spacing w:val="0"/>
                <w:sz w:val="21"/>
                <w:szCs w:val="21"/>
                <w:highlight w:val="none"/>
                <w:lang w:eastAsia="zh-CN"/>
              </w:rPr>
              <w:t>”</w:t>
            </w:r>
          </w:p>
          <w:p w14:paraId="5A3D9C1C">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Cs/>
                <w:color w:val="auto"/>
                <w:kern w:val="0"/>
                <w:sz w:val="21"/>
                <w:szCs w:val="21"/>
                <w:highlight w:val="none"/>
              </w:rPr>
              <w:t>本项目</w:t>
            </w:r>
            <w:r>
              <w:rPr>
                <w:rFonts w:hint="eastAsia" w:ascii="Times New Roman" w:hAnsi="Times New Roman" w:eastAsia="宋体" w:cs="Times New Roman"/>
                <w:bCs/>
                <w:color w:val="auto"/>
                <w:kern w:val="0"/>
                <w:sz w:val="21"/>
                <w:szCs w:val="21"/>
                <w:highlight w:val="none"/>
                <w:lang w:val="en-US" w:eastAsia="zh-CN"/>
              </w:rPr>
              <w:t>新建1座500t/d烘干塔，1台720万Kcal/h燃生物质热风炉，热风炉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Cs/>
                <w:color w:val="auto"/>
                <w:kern w:val="0"/>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ascii="Times New Roman" w:hAnsi="Times New Roman" w:eastAsia="宋体" w:cs="Times New Roman"/>
                <w:bCs/>
                <w:color w:val="auto"/>
                <w:kern w:val="0"/>
                <w:sz w:val="21"/>
                <w:szCs w:val="21"/>
                <w:highlight w:val="none"/>
                <w:lang w:val="en-US" w:eastAsia="zh-CN"/>
              </w:rPr>
              <w:t>15</w:t>
            </w:r>
            <w:r>
              <w:rPr>
                <w:rFonts w:hint="default" w:ascii="Times New Roman" w:hAnsi="Times New Roman" w:eastAsia="宋体" w:cs="Times New Roman"/>
                <w:bCs/>
                <w:color w:val="auto"/>
                <w:kern w:val="0"/>
                <w:sz w:val="21"/>
                <w:szCs w:val="21"/>
                <w:highlight w:val="none"/>
              </w:rPr>
              <w:t>m高</w:t>
            </w:r>
            <w:r>
              <w:rPr>
                <w:rFonts w:hint="eastAsia" w:ascii="Times New Roman" w:hAnsi="Times New Roman" w:eastAsia="宋体" w:cs="Times New Roman"/>
                <w:bCs/>
                <w:color w:val="auto"/>
                <w:kern w:val="0"/>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default"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颗粒物</w:t>
            </w:r>
            <w:r>
              <w:rPr>
                <w:rFonts w:hint="default" w:ascii="Times New Roman" w:hAnsi="Times New Roman" w:eastAsia="宋体" w:cs="Times New Roman"/>
                <w:b w:val="0"/>
                <w:bCs/>
                <w:color w:val="auto"/>
                <w:sz w:val="21"/>
                <w:szCs w:val="21"/>
                <w:highlight w:val="none"/>
                <w:lang w:eastAsia="zh-CN"/>
              </w:rPr>
              <w:t>、烟气黑度排放浓度满足《工业炉窑大气污染物排放标准》（GB9078-1996）表2二级标准，SO</w:t>
            </w:r>
            <w:r>
              <w:rPr>
                <w:rFonts w:hint="default" w:ascii="Times New Roman" w:hAnsi="Times New Roman" w:eastAsia="宋体" w:cs="Times New Roman"/>
                <w:b w:val="0"/>
                <w:bCs/>
                <w:color w:val="auto"/>
                <w:sz w:val="21"/>
                <w:szCs w:val="21"/>
                <w:highlight w:val="none"/>
                <w:vertAlign w:val="subscript"/>
                <w:lang w:eastAsia="zh-CN"/>
              </w:rPr>
              <w:t>2</w:t>
            </w:r>
            <w:r>
              <w:rPr>
                <w:rFonts w:hint="default" w:ascii="Times New Roman" w:hAnsi="Times New Roman" w:eastAsia="宋体" w:cs="Times New Roman"/>
                <w:b w:val="0"/>
                <w:bCs/>
                <w:color w:val="auto"/>
                <w:sz w:val="21"/>
                <w:szCs w:val="21"/>
                <w:highlight w:val="none"/>
                <w:lang w:eastAsia="zh-CN"/>
              </w:rPr>
              <w:t>排放浓度满足《工业炉窑大气污</w:t>
            </w:r>
            <w:r>
              <w:rPr>
                <w:rFonts w:hint="eastAsia" w:ascii="Times New Roman" w:hAnsi="Times New Roman" w:eastAsia="宋体" w:cs="Times New Roman"/>
                <w:b w:val="0"/>
                <w:bCs/>
                <w:color w:val="auto"/>
                <w:sz w:val="21"/>
                <w:szCs w:val="21"/>
                <w:highlight w:val="none"/>
                <w:lang w:eastAsia="zh-CN"/>
              </w:rPr>
              <w:t>染物排放标准》（GB9078-1996）表4二级标准。</w:t>
            </w:r>
          </w:p>
          <w:p w14:paraId="19F44908">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宋体" w:hAnsi="宋体" w:eastAsia="宋体" w:cs="宋体"/>
                <w:color w:val="auto"/>
                <w:sz w:val="21"/>
                <w:szCs w:val="21"/>
                <w:highlight w:val="none"/>
              </w:rPr>
              <w:t>原料烘干</w:t>
            </w:r>
            <w:r>
              <w:rPr>
                <w:rFonts w:hint="eastAsia" w:ascii="宋体" w:hAnsi="宋体" w:eastAsia="宋体" w:cs="宋体"/>
                <w:color w:val="auto"/>
                <w:sz w:val="21"/>
                <w:szCs w:val="21"/>
                <w:highlight w:val="none"/>
                <w:lang w:eastAsia="zh-CN"/>
              </w:rPr>
              <w:t>、运输、</w:t>
            </w:r>
            <w:r>
              <w:rPr>
                <w:rFonts w:hint="eastAsia" w:ascii="宋体" w:hAnsi="宋体" w:eastAsia="宋体" w:cs="宋体"/>
                <w:color w:val="auto"/>
                <w:sz w:val="21"/>
                <w:szCs w:val="21"/>
                <w:highlight w:val="none"/>
                <w:lang w:val="en-US" w:eastAsia="zh-CN"/>
              </w:rPr>
              <w:t>筛分及成品输送装卸</w:t>
            </w:r>
            <w:r>
              <w:rPr>
                <w:rFonts w:hint="default" w:ascii="Times New Roman" w:hAnsi="Times New Roman" w:eastAsia="宋体" w:cs="Times New Roman"/>
                <w:color w:val="auto"/>
                <w:sz w:val="21"/>
                <w:szCs w:val="21"/>
                <w:highlight w:val="none"/>
              </w:rPr>
              <w:t>会有</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产生，此部分</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以无组织的形式排放。装卸工段</w:t>
            </w:r>
            <w:r>
              <w:rPr>
                <w:rFonts w:hint="default" w:ascii="Times New Roman" w:hAnsi="Times New Roman" w:eastAsia="宋体" w:cs="Times New Roman"/>
                <w:color w:val="auto"/>
                <w:spacing w:val="0"/>
                <w:kern w:val="0"/>
                <w:sz w:val="21"/>
                <w:szCs w:val="21"/>
                <w:highlight w:val="none"/>
                <w:lang w:val="en-US" w:eastAsia="zh-CN" w:bidi="ar"/>
              </w:rPr>
              <w:t>采用密闭性良好的设备，全封闭输送机、</w:t>
            </w:r>
            <w:r>
              <w:rPr>
                <w:rFonts w:hint="eastAsia" w:ascii="宋体" w:hAnsi="宋体" w:eastAsia="宋体" w:cs="宋体"/>
                <w:color w:val="auto"/>
                <w:spacing w:val="0"/>
                <w:kern w:val="0"/>
                <w:sz w:val="21"/>
                <w:szCs w:val="21"/>
                <w:highlight w:val="none"/>
                <w:lang w:val="en-US" w:eastAsia="zh-CN" w:bidi="ar"/>
              </w:rPr>
              <w:t>原粮入仓及成品入库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eastAsia="宋体" w:cs="Times New Roman"/>
                <w:color w:val="auto"/>
                <w:sz w:val="21"/>
                <w:szCs w:val="21"/>
                <w:highlight w:val="none"/>
              </w:rPr>
              <w:t>等降尘措施，运输过程中采用封闭输送</w:t>
            </w:r>
            <w:r>
              <w:rPr>
                <w:rFonts w:hint="default" w:ascii="Times New Roman" w:hAnsi="Times New Roman" w:eastAsia="宋体" w:cs="Times New Roman"/>
                <w:color w:val="auto"/>
                <w:sz w:val="21"/>
                <w:szCs w:val="21"/>
                <w:highlight w:val="none"/>
                <w:lang w:eastAsia="zh-CN"/>
              </w:rPr>
              <w:t>；清粮采用全密闭</w:t>
            </w:r>
            <w:r>
              <w:rPr>
                <w:rFonts w:hint="default" w:ascii="Times New Roman" w:hAnsi="Times New Roman" w:eastAsia="宋体" w:cs="Times New Roman"/>
                <w:color w:val="auto"/>
                <w:sz w:val="21"/>
                <w:szCs w:val="21"/>
                <w:highlight w:val="none"/>
                <w:lang w:val="en-US" w:eastAsia="zh-CN"/>
              </w:rPr>
              <w:t>清选</w:t>
            </w:r>
            <w:r>
              <w:rPr>
                <w:rFonts w:hint="default" w:ascii="Times New Roman" w:hAnsi="Times New Roman" w:eastAsia="宋体" w:cs="Times New Roman"/>
                <w:color w:val="auto"/>
                <w:sz w:val="21"/>
                <w:szCs w:val="21"/>
                <w:highlight w:val="none"/>
                <w:lang w:eastAsia="zh-CN"/>
              </w:rPr>
              <w:t>筛，产生的粉尘经设备自带</w:t>
            </w:r>
            <w:r>
              <w:rPr>
                <w:rFonts w:hint="default" w:ascii="Times New Roman" w:hAnsi="Times New Roman" w:eastAsia="宋体" w:cs="Times New Roman"/>
                <w:color w:val="auto"/>
                <w:sz w:val="21"/>
                <w:szCs w:val="21"/>
                <w:highlight w:val="none"/>
                <w:lang w:val="en-US" w:eastAsia="zh-CN"/>
              </w:rPr>
              <w:t>袋式除尘器</w:t>
            </w:r>
            <w:r>
              <w:rPr>
                <w:rFonts w:hint="default" w:ascii="Times New Roman" w:hAnsi="Times New Roman" w:eastAsia="宋体" w:cs="Times New Roman"/>
                <w:color w:val="auto"/>
                <w:sz w:val="21"/>
                <w:szCs w:val="21"/>
                <w:highlight w:val="none"/>
                <w:lang w:eastAsia="zh-CN"/>
              </w:rPr>
              <w:t>处理后排放；烘干塔内部自带重力沉降室，烘干塔底部四周设置防尘挡板，粉尘受挡板</w:t>
            </w:r>
            <w:r>
              <w:rPr>
                <w:rFonts w:hint="eastAsia" w:ascii="Times New Roman" w:hAnsi="Times New Roman" w:eastAsia="宋体" w:cs="Times New Roman"/>
                <w:color w:val="auto"/>
                <w:sz w:val="21"/>
                <w:szCs w:val="21"/>
                <w:highlight w:val="none"/>
                <w:lang w:eastAsia="zh-CN"/>
              </w:rPr>
              <w:t>隔</w:t>
            </w:r>
            <w:r>
              <w:rPr>
                <w:rFonts w:hint="default" w:ascii="Times New Roman" w:hAnsi="Times New Roman" w:eastAsia="宋体" w:cs="Times New Roman"/>
                <w:color w:val="auto"/>
                <w:sz w:val="21"/>
                <w:szCs w:val="21"/>
                <w:highlight w:val="none"/>
                <w:lang w:eastAsia="zh-CN"/>
              </w:rPr>
              <w:t>挡后受重力作用回落到烘干塔底部收尘设施中</w:t>
            </w:r>
            <w:r>
              <w:rPr>
                <w:rFonts w:hint="default" w:ascii="Times New Roman" w:hAnsi="Times New Roman" w:eastAsia="宋体" w:cs="Times New Roman"/>
                <w:b w:val="0"/>
                <w:bCs w:val="0"/>
                <w:color w:val="auto"/>
                <w:sz w:val="21"/>
                <w:szCs w:val="21"/>
                <w:highlight w:val="none"/>
                <w:lang w:val="en-US" w:eastAsia="zh-CN"/>
              </w:rPr>
              <w:t>。燃料库、</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b w:val="0"/>
                <w:bCs w:val="0"/>
                <w:color w:val="auto"/>
                <w:sz w:val="21"/>
                <w:szCs w:val="21"/>
                <w:highlight w:val="none"/>
                <w:lang w:val="en-US" w:eastAsia="zh-CN"/>
              </w:rPr>
              <w:t>密闭并</w:t>
            </w:r>
            <w:r>
              <w:rPr>
                <w:rFonts w:hint="eastAsia" w:ascii="Times New Roman" w:hAnsi="Times New Roman" w:eastAsia="宋体" w:cs="Times New Roman"/>
                <w:b w:val="0"/>
                <w:bCs w:val="0"/>
                <w:color w:val="auto"/>
                <w:sz w:val="21"/>
                <w:szCs w:val="21"/>
                <w:highlight w:val="none"/>
                <w:lang w:val="en-US" w:eastAsia="zh-CN"/>
              </w:rPr>
              <w:t>定期洒水抑尘，减少粉尘扩散；</w:t>
            </w:r>
            <w:r>
              <w:rPr>
                <w:rFonts w:hint="default" w:ascii="Times New Roman" w:hAnsi="Times New Roman" w:eastAsia="宋体" w:cs="Times New Roman"/>
                <w:b w:val="0"/>
                <w:bCs w:val="0"/>
                <w:color w:val="auto"/>
                <w:spacing w:val="0"/>
                <w:position w:val="0"/>
                <w:sz w:val="21"/>
                <w:szCs w:val="21"/>
                <w:highlight w:val="none"/>
                <w:lang w:val="en-US" w:eastAsia="zh-CN"/>
              </w:rPr>
              <w:t>生物质</w:t>
            </w:r>
            <w:r>
              <w:rPr>
                <w:rFonts w:hint="eastAsia" w:ascii="Times New Roman" w:hAnsi="Times New Roman" w:eastAsia="宋体" w:cs="Times New Roman"/>
                <w:b w:val="0"/>
                <w:bCs w:val="0"/>
                <w:color w:val="auto"/>
                <w:spacing w:val="0"/>
                <w:position w:val="0"/>
                <w:sz w:val="21"/>
                <w:szCs w:val="21"/>
                <w:highlight w:val="none"/>
                <w:lang w:val="en-US" w:eastAsia="zh-CN"/>
              </w:rPr>
              <w:t>热风炉</w:t>
            </w:r>
            <w:r>
              <w:rPr>
                <w:rFonts w:hint="default" w:ascii="Times New Roman" w:hAnsi="Times New Roman" w:eastAsia="宋体" w:cs="Times New Roman"/>
                <w:b w:val="0"/>
                <w:bCs w:val="0"/>
                <w:color w:val="auto"/>
                <w:spacing w:val="0"/>
                <w:position w:val="0"/>
                <w:sz w:val="21"/>
                <w:szCs w:val="21"/>
                <w:highlight w:val="none"/>
                <w:lang w:val="en-US" w:eastAsia="zh-CN"/>
              </w:rPr>
              <w:t>所用燃料生物质颗粒</w:t>
            </w:r>
            <w:r>
              <w:rPr>
                <w:rFonts w:hint="default" w:ascii="Times New Roman" w:hAnsi="Times New Roman" w:eastAsia="宋体" w:cs="Times New Roman"/>
                <w:color w:val="auto"/>
                <w:sz w:val="21"/>
                <w:szCs w:val="21"/>
                <w:highlight w:val="none"/>
              </w:rPr>
              <w:t>随用随存，不长时间</w:t>
            </w:r>
            <w:r>
              <w:rPr>
                <w:rFonts w:hint="default" w:ascii="Times New Roman" w:hAnsi="Times New Roman" w:eastAsia="宋体" w:cs="Times New Roman"/>
                <w:color w:val="auto"/>
                <w:sz w:val="21"/>
                <w:szCs w:val="21"/>
                <w:highlight w:val="none"/>
                <w:lang w:val="en-US" w:eastAsia="zh-CN"/>
              </w:rPr>
              <w:t>储存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pacing w:val="0"/>
                <w:position w:val="0"/>
                <w:sz w:val="21"/>
                <w:szCs w:val="21"/>
                <w:highlight w:val="none"/>
                <w:lang w:val="en-US" w:eastAsia="zh-CN"/>
              </w:rPr>
              <w:t>生物质颗粒、</w:t>
            </w:r>
            <w:r>
              <w:rPr>
                <w:rFonts w:hint="eastAsia" w:ascii="Times New Roman" w:hAnsi="Times New Roman" w:eastAsia="宋体" w:cs="Times New Roman"/>
                <w:b w:val="0"/>
                <w:bCs w:val="0"/>
                <w:color w:val="auto"/>
                <w:spacing w:val="0"/>
                <w:position w:val="0"/>
                <w:sz w:val="21"/>
                <w:szCs w:val="21"/>
                <w:highlight w:val="none"/>
                <w:lang w:val="en-US" w:eastAsia="zh-CN"/>
              </w:rPr>
              <w:t>热风炉</w:t>
            </w:r>
            <w:r>
              <w:rPr>
                <w:rFonts w:hint="default" w:ascii="Times New Roman" w:hAnsi="Times New Roman" w:eastAsia="宋体" w:cs="Times New Roman"/>
                <w:color w:val="auto"/>
                <w:sz w:val="21"/>
                <w:szCs w:val="21"/>
                <w:highlight w:val="none"/>
              </w:rPr>
              <w:t>灰渣储存于</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color w:val="auto"/>
                <w:sz w:val="21"/>
                <w:szCs w:val="21"/>
                <w:highlight w:val="none"/>
              </w:rPr>
              <w:t>灰渣间内，灰渣间地面做防渗处理，灰渣间密闭</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杜绝露天堆放，并配合表面洒水降尘不会形成动力起尘的粉尘影响。</w:t>
            </w:r>
          </w:p>
          <w:p w14:paraId="229C7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i w:val="0"/>
                <w:iCs w:val="0"/>
                <w:cap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lang w:val="en-US" w:eastAsia="zh-CN"/>
              </w:rPr>
              <w:t>项目施工期</w:t>
            </w:r>
            <w:r>
              <w:rPr>
                <w:rFonts w:hint="default" w:ascii="Times New Roman" w:hAnsi="Times New Roman" w:eastAsia="宋体" w:cs="Times New Roman"/>
                <w:color w:val="auto"/>
                <w:sz w:val="21"/>
                <w:szCs w:val="21"/>
                <w:highlight w:val="none"/>
              </w:rPr>
              <w:t>施工车辆采取篷布加盖措施，施工车辆运输弃土、垃圾的车辆装载高度应低于车辆上沿，不得超高超载。实行封闭运输，以免车辆颠簸撒漏。坚持文明装卸，运输车辆装卸完货后应清洗车厢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在施工场地上设置专人负责弃土、建筑垃圾、建筑材料的处置、清运和堆放，堆放场地加盖蓬布或洒水，防止二次扬尘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对建筑垃圾及弃土应及时处理、清运、以减少占地，防止扬尘污染，在施工现场周围，连续设置不低于1.5m高的围挡，在施工场地安排员工定期对施工场地洒水</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施工结束后</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对场区内的裸露地面进行绿化、硬化工作</w:t>
            </w:r>
            <w:r>
              <w:rPr>
                <w:rFonts w:hint="default" w:ascii="Times New Roman" w:hAnsi="Times New Roman" w:eastAsia="宋体" w:cs="Times New Roman"/>
                <w:color w:val="auto"/>
                <w:sz w:val="21"/>
                <w:szCs w:val="21"/>
                <w:highlight w:val="none"/>
                <w:lang w:val="en-US" w:eastAsia="zh-CN"/>
              </w:rPr>
              <w:t>等措施，施工期</w:t>
            </w:r>
            <w:r>
              <w:rPr>
                <w:rFonts w:hint="default" w:ascii="Times New Roman" w:hAnsi="Times New Roman" w:eastAsia="宋体" w:cs="Times New Roman"/>
                <w:color w:val="auto"/>
                <w:sz w:val="21"/>
                <w:szCs w:val="21"/>
                <w:highlight w:val="none"/>
              </w:rPr>
              <w:t>减少扬尘的产生量</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b w:val="0"/>
                <w:bCs w:val="0"/>
                <w:i w:val="0"/>
                <w:iCs w:val="0"/>
                <w:caps w:val="0"/>
                <w:color w:val="auto"/>
                <w:spacing w:val="0"/>
                <w:sz w:val="21"/>
                <w:szCs w:val="21"/>
                <w:highlight w:val="none"/>
              </w:rPr>
              <w:t>秸秆</w:t>
            </w:r>
            <w:r>
              <w:rPr>
                <w:rFonts w:hint="eastAsia" w:cs="Times New Roman"/>
                <w:b w:val="0"/>
                <w:bCs w:val="0"/>
                <w:i w:val="0"/>
                <w:iCs w:val="0"/>
                <w:caps w:val="0"/>
                <w:color w:val="auto"/>
                <w:spacing w:val="0"/>
                <w:sz w:val="21"/>
                <w:szCs w:val="21"/>
                <w:highlight w:val="none"/>
                <w:lang w:val="en-US" w:eastAsia="zh-CN"/>
              </w:rPr>
              <w:t>利用及燃烧。</w:t>
            </w:r>
          </w:p>
          <w:p w14:paraId="2B265789">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cs="Times New Roman"/>
                <w:b w:val="0"/>
                <w:bCs w:val="0"/>
                <w:i w:val="0"/>
                <w:iCs w:val="0"/>
                <w:caps w:val="0"/>
                <w:color w:val="auto"/>
                <w:spacing w:val="0"/>
                <w:sz w:val="21"/>
                <w:szCs w:val="21"/>
                <w:highlight w:val="none"/>
                <w:lang w:val="en-US" w:eastAsia="zh-CN"/>
              </w:rPr>
              <w:t>综上所述，本项目</w:t>
            </w:r>
            <w:r>
              <w:rPr>
                <w:rFonts w:hint="eastAsia" w:cs="Times New Roman"/>
                <w:b w:val="0"/>
                <w:bCs w:val="0"/>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（黑政发【2023】19号）</w:t>
            </w:r>
            <w:r>
              <w:rPr>
                <w:rFonts w:hint="eastAsia" w:ascii="宋体" w:hAnsi="宋体" w:eastAsia="宋体" w:cs="宋体"/>
                <w:b w:val="0"/>
                <w:bCs w:val="0"/>
                <w:color w:val="auto"/>
                <w:sz w:val="21"/>
                <w:szCs w:val="21"/>
                <w:highlight w:val="none"/>
                <w:lang w:val="en-US" w:eastAsia="zh-CN"/>
              </w:rPr>
              <w:t>中要求。</w:t>
            </w:r>
          </w:p>
          <w:p w14:paraId="2E95599A">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11、与《黑龙江省工业炉窑大气污染综合治理方案》（黑环发[2019]144号）符合性分析</w:t>
            </w:r>
          </w:p>
          <w:p w14:paraId="39867582">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根据《黑龙江省工业炉窑大气污染综合治理方案》（黑环发〔2019〕144号）文件中</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优化调整产业结构。严格项目环境准入。新建涉工业炉窑的建设项目，原则上要入园区，配套建设高效环保治理设施。加大落后产能和不达标工业炉窑淘汰力度。分行业清理《产业结构调整指导目录</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2019年本</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》（2021年修改版）淘汰类工业炉窑。对热效率低下、敞开未封闭，装备简易落后、自动化程度低，无组织排放突出，以及无治理设施或治理设施工作落后等严重污染环境的工业炉窑，依法责令停业关闭。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cs="Times New Roman"/>
                <w:b w:val="0"/>
                <w:bCs w:val="0"/>
                <w:color w:val="auto"/>
                <w:sz w:val="21"/>
                <w:szCs w:val="21"/>
                <w:highlight w:val="none"/>
                <w:lang w:val="en-US" w:eastAsia="zh-CN"/>
              </w:rPr>
              <w:t>”</w:t>
            </w:r>
          </w:p>
          <w:p w14:paraId="682FFB47">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本项目为农产品初加工项目，位于</w:t>
            </w:r>
            <w:r>
              <w:rPr>
                <w:rFonts w:hint="eastAsia" w:ascii="Times New Roman" w:hAnsi="Times New Roman" w:eastAsia="宋体" w:cs="Times New Roman"/>
                <w:b w:val="0"/>
                <w:bCs w:val="0"/>
                <w:color w:val="auto"/>
                <w:sz w:val="21"/>
                <w:szCs w:val="21"/>
                <w:highlight w:val="none"/>
                <w:lang w:eastAsia="zh-CN"/>
              </w:rPr>
              <w:t>黑龙江省鸡西市</w:t>
            </w:r>
            <w:r>
              <w:rPr>
                <w:rFonts w:hint="eastAsia" w:ascii="Times New Roman" w:hAnsi="Times New Roman" w:cs="Times New Roman"/>
                <w:b w:val="0"/>
                <w:bCs w:val="0"/>
                <w:color w:val="auto"/>
                <w:sz w:val="21"/>
                <w:szCs w:val="21"/>
                <w:highlight w:val="none"/>
                <w:lang w:eastAsia="zh-CN"/>
              </w:rPr>
              <w:t>鸡东县向阳镇向阳村</w:t>
            </w:r>
            <w:r>
              <w:rPr>
                <w:rFonts w:hint="default" w:ascii="Times New Roman" w:hAnsi="Times New Roman" w:cs="Times New Roman"/>
                <w:b w:val="0"/>
                <w:bCs w:val="0"/>
                <w:color w:val="auto"/>
                <w:sz w:val="21"/>
                <w:szCs w:val="21"/>
                <w:highlight w:val="none"/>
                <w:lang w:val="en-US" w:eastAsia="zh-CN"/>
              </w:rPr>
              <w:t>，不涉及相关园区</w:t>
            </w:r>
            <w:r>
              <w:rPr>
                <w:rFonts w:hint="eastAsia" w:ascii="Times New Roman" w:hAnsi="Times New Roman" w:cs="Times New Roman"/>
                <w:b w:val="0"/>
                <w:bCs w:val="0"/>
                <w:color w:val="auto"/>
                <w:sz w:val="21"/>
                <w:szCs w:val="21"/>
                <w:highlight w:val="none"/>
                <w:lang w:val="en-US" w:eastAsia="zh-CN"/>
              </w:rPr>
              <w:t>，根据黑龙江省炉窑实际建设情况，暂无进入园区情况</w:t>
            </w:r>
            <w:r>
              <w:rPr>
                <w:rFonts w:hint="default" w:ascii="Times New Roman" w:hAnsi="Times New Roman" w:cs="Times New Roman"/>
                <w:b w:val="0"/>
                <w:bCs w:val="0"/>
                <w:color w:val="auto"/>
                <w:sz w:val="21"/>
                <w:szCs w:val="21"/>
                <w:highlight w:val="none"/>
                <w:lang w:val="en-US" w:eastAsia="zh-CN"/>
              </w:rPr>
              <w:t>；且本项目使用的生物质热风炉不属于《产业结构调整指导目录</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2024 年本</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》中淘汰类工业炉窑，因此本项目符合优化调整产业结构的要求。</w:t>
            </w:r>
          </w:p>
          <w:p w14:paraId="1C6D6CF6">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加快燃料清洁低碳化替代。对以煤、石油焦、渣油、重油等为燃料 的工业炉窑，加快使用清洁低碳能源以及利用工厂余热、电厂热力等进行替代。</w:t>
            </w:r>
            <w:r>
              <w:rPr>
                <w:rFonts w:hint="eastAsia" w:ascii="Times New Roman" w:hAnsi="Times New Roman" w:cs="Times New Roman"/>
                <w:b w:val="0"/>
                <w:bCs w:val="0"/>
                <w:color w:val="auto"/>
                <w:sz w:val="21"/>
                <w:szCs w:val="21"/>
                <w:highlight w:val="none"/>
                <w:lang w:val="en-US" w:eastAsia="zh-CN"/>
              </w:rPr>
              <w:t>”</w:t>
            </w:r>
          </w:p>
          <w:p w14:paraId="4A241D59">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本项目生物质热风炉燃料采用生物质</w:t>
            </w:r>
            <w:r>
              <w:rPr>
                <w:rFonts w:hint="eastAsia" w:ascii="Times New Roman" w:hAnsi="Times New Roman" w:cs="Times New Roman"/>
                <w:b w:val="0"/>
                <w:bCs w:val="0"/>
                <w:color w:val="auto"/>
                <w:sz w:val="21"/>
                <w:szCs w:val="21"/>
                <w:highlight w:val="none"/>
                <w:lang w:val="en-US" w:eastAsia="zh-CN"/>
              </w:rPr>
              <w:t>燃料</w:t>
            </w:r>
            <w:r>
              <w:rPr>
                <w:rFonts w:hint="default" w:ascii="Times New Roman" w:hAnsi="Times New Roman" w:cs="Times New Roman"/>
                <w:b w:val="0"/>
                <w:bCs w:val="0"/>
                <w:color w:val="auto"/>
                <w:sz w:val="21"/>
                <w:szCs w:val="21"/>
                <w:highlight w:val="none"/>
                <w:lang w:val="en-US" w:eastAsia="zh-CN"/>
              </w:rPr>
              <w:t>，不涉及燃煤及煤气发生炉设备，因此本项目符合加快燃料清洁低碳化替代的要求。</w:t>
            </w:r>
          </w:p>
          <w:p w14:paraId="77163714">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实施污染深度治理。推进工业炉窑全面达标排放。已有行业排放标准的工业炉窑，严格执行行业排放标准相关规定，配套建设高效脱硫脱</w:t>
            </w:r>
            <w:r>
              <w:rPr>
                <w:rFonts w:hint="eastAsia" w:ascii="Times New Roman" w:hAnsi="Times New Roman" w:cs="Times New Roman"/>
                <w:b w:val="0"/>
                <w:bCs w:val="0"/>
                <w:color w:val="auto"/>
                <w:sz w:val="21"/>
                <w:szCs w:val="21"/>
                <w:highlight w:val="none"/>
                <w:lang w:val="en-US" w:eastAsia="zh-CN"/>
              </w:rPr>
              <w:t>硝</w:t>
            </w:r>
            <w:r>
              <w:rPr>
                <w:rFonts w:hint="default" w:ascii="Times New Roman" w:hAnsi="Times New Roman" w:cs="Times New Roman"/>
                <w:b w:val="0"/>
                <w:bCs w:val="0"/>
                <w:color w:val="auto"/>
                <w:sz w:val="21"/>
                <w:szCs w:val="21"/>
                <w:highlight w:val="none"/>
                <w:lang w:val="en-US" w:eastAsia="zh-CN"/>
              </w:rPr>
              <w:t>设施，确保稳定达标排放。</w:t>
            </w:r>
            <w:r>
              <w:rPr>
                <w:rFonts w:hint="eastAsia" w:ascii="Times New Roman" w:hAnsi="Times New Roman" w:cs="Times New Roman"/>
                <w:b w:val="0"/>
                <w:bCs w:val="0"/>
                <w:color w:val="auto"/>
                <w:sz w:val="21"/>
                <w:szCs w:val="21"/>
                <w:highlight w:val="none"/>
                <w:lang w:val="en-US" w:eastAsia="zh-CN"/>
              </w:rPr>
              <w:t>”</w:t>
            </w:r>
          </w:p>
          <w:p w14:paraId="5326BAF2">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本项目生物质热风炉配设布袋除尘器及</w:t>
            </w:r>
            <w:r>
              <w:rPr>
                <w:rFonts w:hint="eastAsia" w:ascii="Times New Roman" w:hAnsi="Times New Roman" w:cs="Times New Roman"/>
                <w:b w:val="0"/>
                <w:bCs w:val="0"/>
                <w:color w:val="auto"/>
                <w:sz w:val="21"/>
                <w:szCs w:val="21"/>
                <w:highlight w:val="none"/>
                <w:lang w:val="en-US" w:eastAsia="zh-CN"/>
              </w:rPr>
              <w:t>15</w:t>
            </w:r>
            <w:r>
              <w:rPr>
                <w:rFonts w:hint="default" w:ascii="Times New Roman" w:hAnsi="Times New Roman" w:cs="Times New Roman"/>
                <w:b w:val="0"/>
                <w:bCs w:val="0"/>
                <w:color w:val="auto"/>
                <w:sz w:val="21"/>
                <w:szCs w:val="21"/>
                <w:highlight w:val="none"/>
                <w:lang w:val="en-US" w:eastAsia="zh-CN"/>
              </w:rPr>
              <w:t>m高烟囱，处理后的热风炉烟气中</w:t>
            </w:r>
            <w:r>
              <w:rPr>
                <w:rFonts w:hint="eastAsia" w:ascii="Times New Roman" w:hAnsi="Times New Roman" w:cs="Times New Roman"/>
                <w:b w:val="0"/>
                <w:bCs w:val="0"/>
                <w:color w:val="auto"/>
                <w:sz w:val="21"/>
                <w:szCs w:val="21"/>
                <w:highlight w:val="none"/>
                <w:lang w:val="en-US" w:eastAsia="zh-CN"/>
              </w:rPr>
              <w:t>颗粒物</w:t>
            </w:r>
            <w:r>
              <w:rPr>
                <w:rFonts w:hint="default" w:ascii="Times New Roman" w:hAnsi="Times New Roman" w:cs="Times New Roman"/>
                <w:b w:val="0"/>
                <w:bCs w:val="0"/>
                <w:color w:val="auto"/>
                <w:sz w:val="21"/>
                <w:szCs w:val="21"/>
                <w:highlight w:val="none"/>
                <w:lang w:val="en-US" w:eastAsia="zh-CN"/>
              </w:rPr>
              <w:t>排放浓度、烟气黑度满足《工业炉窑大气污染物排放标准》（GB9078-1996）表2中二级标准，SO2排放浓度满足《工业炉窑大气污染物排放标准》（GB9078-1996）表4中二级标准，热风炉周边无组织排放</w:t>
            </w:r>
            <w:r>
              <w:rPr>
                <w:rFonts w:hint="eastAsia" w:ascii="Times New Roman" w:hAnsi="Times New Roman" w:cs="Times New Roman"/>
                <w:b w:val="0"/>
                <w:bCs w:val="0"/>
                <w:color w:val="auto"/>
                <w:sz w:val="21"/>
                <w:szCs w:val="21"/>
                <w:highlight w:val="none"/>
                <w:lang w:val="en-US" w:eastAsia="zh-CN"/>
              </w:rPr>
              <w:t>颗粒物</w:t>
            </w:r>
            <w:r>
              <w:rPr>
                <w:rFonts w:hint="default" w:ascii="Times New Roman" w:hAnsi="Times New Roman" w:cs="Times New Roman"/>
                <w:b w:val="0"/>
                <w:bCs w:val="0"/>
                <w:color w:val="auto"/>
                <w:sz w:val="21"/>
                <w:szCs w:val="21"/>
                <w:highlight w:val="none"/>
                <w:lang w:val="en-US" w:eastAsia="zh-CN"/>
              </w:rPr>
              <w:t>浓度执行《工业炉窑大气污染物排放标准》（GB9078-1996）中的表3中标准限值，因此本项目符合实施污染深度治理的要求。</w:t>
            </w:r>
          </w:p>
          <w:p w14:paraId="4E3941B1">
            <w:pPr>
              <w:pStyle w:val="4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综上所述，本项目符合《黑龙江省工业炉窑大气污染综合治理方案》要求。</w:t>
            </w:r>
          </w:p>
          <w:p w14:paraId="7A564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11、与《鸡西市空气质量持续改善行动计划贯彻落实方案》符合性分析</w:t>
            </w:r>
          </w:p>
          <w:p w14:paraId="098A7C4D">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《鸡西市空气质量持续改善行动计划贯彻落实方案》</w:t>
            </w:r>
            <w:r>
              <w:rPr>
                <w:rFonts w:hint="eastAsia" w:cs="Times New Roman"/>
                <w:b w:val="0"/>
                <w:bCs w:val="0"/>
                <w:color w:val="auto"/>
                <w:sz w:val="21"/>
                <w:szCs w:val="21"/>
                <w:highlight w:val="none"/>
                <w:lang w:val="en-US" w:eastAsia="zh-CN"/>
              </w:rPr>
              <w:t>（鸡政发[2024]6号）中提出：</w:t>
            </w:r>
            <w:r>
              <w:rPr>
                <w:rFonts w:hint="default" w:ascii="Times New Roman" w:hAnsi="Times New Roman" w:eastAsia="宋体" w:cs="Times New Roman"/>
                <w:b w:val="0"/>
                <w:bCs w:val="0"/>
                <w:color w:val="auto"/>
                <w:sz w:val="21"/>
                <w:szCs w:val="21"/>
                <w:highlight w:val="none"/>
                <w:lang w:val="en-US" w:eastAsia="zh-CN"/>
              </w:rPr>
              <w:t>保持定力，稳中求进。坚持推进环境空气质量持续改善，通过发展方式转型，进一步推动产业结构、能源结构、运输结构调整和大气环境污染治理</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系统谋划，突出重点。以2035年美丽中国和“十四五”大气污染防治阶段性目标任务为中心，以细颗粒物（PM2.5）、臭氧（O3）等主要污染物协同控制为重点，改善重点时段、重点区域大气环境质量。</w:t>
            </w:r>
            <w:r>
              <w:rPr>
                <w:rFonts w:hint="eastAsia" w:ascii="Times New Roman" w:hAnsi="Times New Roman" w:eastAsia="宋体" w:cs="Times New Roman"/>
                <w:b w:val="0"/>
                <w:bCs w:val="0"/>
                <w:color w:val="auto"/>
                <w:sz w:val="21"/>
                <w:szCs w:val="21"/>
                <w:highlight w:val="none"/>
                <w:lang w:val="en-US" w:eastAsia="zh-CN"/>
              </w:rPr>
              <w:t>持续推进产业结构调整加快退出重点行业落后产能。</w:t>
            </w:r>
            <w:r>
              <w:rPr>
                <w:rFonts w:hint="default" w:ascii="Times New Roman" w:hAnsi="Times New Roman" w:eastAsia="宋体" w:cs="Times New Roman"/>
                <w:b w:val="0"/>
                <w:bCs w:val="0"/>
                <w:color w:val="auto"/>
                <w:sz w:val="21"/>
                <w:szCs w:val="21"/>
                <w:highlight w:val="none"/>
                <w:lang w:val="en-US" w:eastAsia="zh-CN"/>
              </w:rPr>
              <w:t>严格执行《产业结构调整指导目录》</w:t>
            </w:r>
            <w:r>
              <w:rPr>
                <w:rFonts w:hint="default" w:cs="Times New Roman"/>
                <w:b w:val="0"/>
                <w:bCs w:val="0"/>
                <w:color w:val="auto"/>
                <w:sz w:val="21"/>
                <w:szCs w:val="21"/>
                <w:highlight w:val="none"/>
                <w:lang w:val="en-US" w:eastAsia="zh-CN"/>
              </w:rPr>
              <w:t>要求，加快退出淘汰类产能、工艺、装备，提高限制类产能、工艺、装备淘汰改造引导力度。</w:t>
            </w:r>
            <w:r>
              <w:rPr>
                <w:rFonts w:hint="eastAsia" w:cs="Times New Roman"/>
                <w:b w:val="0"/>
                <w:bCs w:val="0"/>
                <w:color w:val="auto"/>
                <w:sz w:val="21"/>
                <w:szCs w:val="21"/>
                <w:highlight w:val="none"/>
                <w:lang w:val="en-US" w:eastAsia="zh-CN"/>
              </w:rPr>
              <w:t>持续优化改善能源结构，实施工业炉窑清洁能源替代。</w:t>
            </w:r>
          </w:p>
          <w:p w14:paraId="4411CC17">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本项目新建1台720万Kcar/h燃生物质热风炉，热风炉烟气通过</w:t>
            </w:r>
            <w:r>
              <w:rPr>
                <w:rFonts w:hint="default" w:ascii="Times New Roman" w:hAnsi="Times New Roman" w:eastAsia="宋体" w:cs="Times New Roman"/>
                <w:b w:val="0"/>
                <w:bCs w:val="0"/>
                <w:color w:val="auto"/>
                <w:kern w:val="2"/>
                <w:sz w:val="21"/>
                <w:szCs w:val="21"/>
                <w:highlight w:val="none"/>
                <w:lang w:val="en-US" w:eastAsia="zh-CN" w:bidi="ar-SA"/>
              </w:rPr>
              <w:t>布袋除尘器处理后经</w:t>
            </w:r>
            <w:r>
              <w:rPr>
                <w:rFonts w:hint="eastAsia" w:ascii="Times New Roman" w:hAnsi="Times New Roman" w:eastAsia="宋体" w:cs="Times New Roman"/>
                <w:b w:val="0"/>
                <w:bCs w:val="0"/>
                <w:color w:val="auto"/>
                <w:kern w:val="2"/>
                <w:sz w:val="21"/>
                <w:szCs w:val="21"/>
                <w:highlight w:val="none"/>
                <w:lang w:val="en-US" w:eastAsia="zh-CN" w:bidi="ar-SA"/>
              </w:rPr>
              <w:t>15m</w:t>
            </w:r>
            <w:r>
              <w:rPr>
                <w:rFonts w:hint="default" w:ascii="Times New Roman" w:hAnsi="Times New Roman" w:eastAsia="宋体" w:cs="Times New Roman"/>
                <w:b w:val="0"/>
                <w:bCs w:val="0"/>
                <w:color w:val="auto"/>
                <w:kern w:val="2"/>
                <w:sz w:val="21"/>
                <w:szCs w:val="21"/>
                <w:highlight w:val="none"/>
                <w:lang w:val="en-US" w:eastAsia="zh-CN" w:bidi="ar-SA"/>
              </w:rPr>
              <w:t>高烟囱排放，</w:t>
            </w:r>
            <w:r>
              <w:rPr>
                <w:rFonts w:hint="eastAsia" w:ascii="Times New Roman" w:hAnsi="Times New Roman" w:eastAsia="宋体" w:cs="Times New Roman"/>
                <w:b w:val="0"/>
                <w:bCs w:val="0"/>
                <w:color w:val="auto"/>
                <w:kern w:val="2"/>
                <w:sz w:val="21"/>
                <w:szCs w:val="21"/>
                <w:highlight w:val="none"/>
                <w:lang w:val="en-US" w:eastAsia="zh-CN" w:bidi="ar-SA"/>
              </w:rPr>
              <w:t>颗粒物</w:t>
            </w:r>
            <w:r>
              <w:rPr>
                <w:rFonts w:hint="default" w:ascii="Times New Roman" w:hAnsi="Times New Roman" w:eastAsia="宋体" w:cs="Times New Roman"/>
                <w:b w:val="0"/>
                <w:bCs w:val="0"/>
                <w:color w:val="auto"/>
                <w:kern w:val="2"/>
                <w:sz w:val="21"/>
                <w:szCs w:val="21"/>
                <w:highlight w:val="none"/>
                <w:lang w:val="en-US" w:eastAsia="zh-CN" w:bidi="ar-SA"/>
              </w:rPr>
              <w:t>、烟气黑度排放浓度满足《工业炉窑大气污染物排放标准》（GB9078-1996）表2二级标准，SO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排放浓度满足《工业炉窑大气污</w:t>
            </w:r>
            <w:r>
              <w:rPr>
                <w:rFonts w:hint="eastAsia" w:ascii="Times New Roman" w:hAnsi="Times New Roman" w:eastAsia="宋体" w:cs="Times New Roman"/>
                <w:b w:val="0"/>
                <w:bCs w:val="0"/>
                <w:color w:val="auto"/>
                <w:kern w:val="2"/>
                <w:sz w:val="21"/>
                <w:szCs w:val="21"/>
                <w:highlight w:val="none"/>
                <w:lang w:val="en-US" w:eastAsia="zh-CN" w:bidi="ar-SA"/>
              </w:rPr>
              <w:t>染物排放标准》（GB9078-1996）表4二级标准。使用生物质成型燃料，不燃烧煤炭，生物质成型燃料是一种洁净低碳的可再生能源。符合《鸡西市</w:t>
            </w:r>
            <w:r>
              <w:rPr>
                <w:rFonts w:hint="eastAsia" w:ascii="Times New Roman" w:hAnsi="Times New Roman" w:eastAsia="宋体" w:cs="Times New Roman"/>
                <w:b w:val="0"/>
                <w:bCs w:val="0"/>
                <w:color w:val="auto"/>
                <w:sz w:val="21"/>
                <w:szCs w:val="21"/>
                <w:highlight w:val="none"/>
                <w:lang w:val="en-US" w:eastAsia="zh-CN"/>
              </w:rPr>
              <w:t>空气质量持续改善行动计划贯彻落实方案》中提出的“</w:t>
            </w:r>
            <w:r>
              <w:rPr>
                <w:rFonts w:hint="default" w:ascii="Times New Roman" w:hAnsi="Times New Roman" w:eastAsia="宋体" w:cs="Times New Roman"/>
                <w:b w:val="0"/>
                <w:bCs w:val="0"/>
                <w:color w:val="auto"/>
                <w:sz w:val="21"/>
                <w:szCs w:val="21"/>
                <w:highlight w:val="none"/>
                <w:lang w:val="en-US" w:eastAsia="zh-CN"/>
              </w:rPr>
              <w:t>严格执行《产业结构调整指</w:t>
            </w:r>
            <w:r>
              <w:rPr>
                <w:rFonts w:hint="default" w:ascii="Times New Roman" w:hAnsi="Times New Roman" w:eastAsia="宋体" w:cs="Times New Roman"/>
                <w:b w:val="0"/>
                <w:bCs w:val="0"/>
                <w:color w:val="auto"/>
                <w:kern w:val="2"/>
                <w:sz w:val="21"/>
                <w:szCs w:val="21"/>
                <w:highlight w:val="none"/>
                <w:lang w:val="en-US" w:eastAsia="zh-CN" w:bidi="ar-SA"/>
              </w:rPr>
              <w:t>导目录》要求，加快退出淘汰类产能、工艺、装备，提高限制类产能、工艺、装备淘汰改造引导力度。</w:t>
            </w:r>
            <w:r>
              <w:rPr>
                <w:rFonts w:hint="eastAsia" w:ascii="Times New Roman" w:hAnsi="Times New Roman" w:eastAsia="宋体" w:cs="Times New Roman"/>
                <w:b w:val="0"/>
                <w:bCs w:val="0"/>
                <w:color w:val="auto"/>
                <w:kern w:val="2"/>
                <w:sz w:val="21"/>
                <w:szCs w:val="21"/>
                <w:highlight w:val="none"/>
                <w:lang w:val="en-US" w:eastAsia="zh-CN" w:bidi="ar-SA"/>
              </w:rPr>
              <w:t>持续优化改善能源结构，实施工业炉窑清洁能源替代”。</w:t>
            </w:r>
          </w:p>
          <w:p w14:paraId="026DBA76">
            <w:pPr>
              <w:pStyle w:val="16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12、与《鸡西市人民政府印发鸡西市“十四五”生态环境保护规划的通知》，（鸡政规〔2022〕7号）符合性分析</w:t>
            </w:r>
          </w:p>
          <w:p w14:paraId="7D716384">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鸡西市“十四五”生态环境保护规划》中提出：“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探索开展绿色能源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加快推进煤城新能源项目建设。到2025年，全市清洁取暖率提高到40%以上。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27BD87DF">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本项目使用生物质成型燃料，不燃烧煤炭，生物质成型燃料是一种洁净低碳的可再生能源，符合《鸡西市“十四五”生态环境保护规划》中提出：优化能源供给结构。建设清洁低碳、安全高效的能源体系。</w:t>
            </w:r>
          </w:p>
        </w:tc>
      </w:tr>
      <w:bookmarkEnd w:id="3"/>
    </w:tbl>
    <w:p w14:paraId="60DB1BB5">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2579AD2E">
      <w:pPr>
        <w:pStyle w:val="29"/>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5"/>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8275"/>
      </w:tblGrid>
      <w:tr w14:paraId="065A4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822" w:type="dxa"/>
            <w:vAlign w:val="center"/>
          </w:tcPr>
          <w:p w14:paraId="7A102DC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220" w:type="dxa"/>
            <w:vAlign w:val="center"/>
          </w:tcPr>
          <w:p w14:paraId="49489AEE">
            <w:pPr>
              <w:pStyle w:val="2"/>
              <w:keepNext w:val="0"/>
              <w:keepLines w:val="0"/>
              <w:widowControl w:val="0"/>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14:paraId="270F9E7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eastAsia"/>
                <w:color w:val="auto"/>
                <w:sz w:val="21"/>
                <w:szCs w:val="21"/>
                <w:highlight w:val="none"/>
                <w:lang w:val="en-US" w:eastAsia="zh-CN"/>
              </w:rPr>
              <w:t>鸡东县新向阳粮库有限责任公司</w:t>
            </w:r>
            <w:r>
              <w:rPr>
                <w:rFonts w:hint="eastAsia" w:eastAsia="宋体"/>
                <w:color w:val="auto"/>
                <w:sz w:val="21"/>
                <w:szCs w:val="21"/>
                <w:highlight w:val="none"/>
                <w:lang w:val="en-US" w:eastAsia="zh-CN"/>
              </w:rPr>
              <w:t>现有工程占地面积</w:t>
            </w:r>
            <w:r>
              <w:rPr>
                <w:rFonts w:hint="eastAsia" w:eastAsia="宋体" w:cs="Times New Roman"/>
                <w:b w:val="0"/>
                <w:bCs w:val="0"/>
                <w:color w:val="auto"/>
                <w:kern w:val="21"/>
                <w:sz w:val="21"/>
                <w:szCs w:val="21"/>
                <w:highlight w:val="none"/>
                <w:lang w:val="en-US" w:eastAsia="zh-CN"/>
              </w:rPr>
              <w:t>79259.2</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，项目原有1座</w:t>
            </w:r>
            <w:r>
              <w:rPr>
                <w:rFonts w:hint="eastAsia" w:cs="Times New Roman" w:eastAsiaTheme="minorEastAsia"/>
                <w:color w:val="auto"/>
                <w:sz w:val="21"/>
                <w:szCs w:val="21"/>
                <w:highlight w:val="none"/>
                <w:vertAlign w:val="baseline"/>
                <w:lang w:val="en-US" w:eastAsia="zh-CN"/>
              </w:rPr>
              <w:t>500t/d烘干塔配套1台6/h燃煤热风炉，</w:t>
            </w:r>
            <w:r>
              <w:rPr>
                <w:rFonts w:hint="eastAsia" w:cs="Times New Roman"/>
                <w:color w:val="auto"/>
                <w:kern w:val="21"/>
                <w:sz w:val="21"/>
                <w:szCs w:val="21"/>
                <w:highlight w:val="none"/>
                <w:vertAlign w:val="baseline"/>
                <w:lang w:val="en-US" w:eastAsia="zh-CN"/>
              </w:rPr>
              <w:t>因设备老化不能使用已拆除，现有工程主要为粮食仓储。根据国家下达文件按指标要求储存粮食，收购的成品粮食直接入库储存，收购的原粮均为脱粒后的玉米，不涉及玉米须等固废，不涉及药剂熏蒸、原粮晾晒等工序，</w:t>
            </w:r>
            <w:r>
              <w:rPr>
                <w:rFonts w:hint="default"/>
                <w:bCs/>
                <w:color w:val="auto"/>
                <w:sz w:val="21"/>
                <w:szCs w:val="21"/>
                <w:highlight w:val="none"/>
              </w:rPr>
              <w:t>本</w:t>
            </w:r>
            <w:r>
              <w:rPr>
                <w:rFonts w:hint="eastAsia"/>
                <w:bCs/>
                <w:color w:val="auto"/>
                <w:sz w:val="21"/>
                <w:szCs w:val="21"/>
                <w:highlight w:val="none"/>
                <w:lang w:eastAsia="zh-CN"/>
              </w:rPr>
              <w:t>次在现有厂区内进行建设</w:t>
            </w:r>
            <w:r>
              <w:rPr>
                <w:rFonts w:hint="eastAsia"/>
                <w:bCs/>
                <w:color w:val="auto"/>
                <w:sz w:val="21"/>
                <w:szCs w:val="21"/>
                <w:highlight w:val="none"/>
              </w:rPr>
              <w:t>，不新增</w:t>
            </w:r>
            <w:r>
              <w:rPr>
                <w:rFonts w:hint="default"/>
                <w:bCs/>
                <w:color w:val="auto"/>
                <w:sz w:val="21"/>
                <w:szCs w:val="21"/>
                <w:highlight w:val="none"/>
              </w:rPr>
              <w:t>占地面积</w:t>
            </w:r>
            <w:r>
              <w:rPr>
                <w:rFonts w:hint="eastAsia"/>
                <w:bCs/>
                <w:color w:val="auto"/>
                <w:sz w:val="21"/>
                <w:szCs w:val="21"/>
                <w:highlight w:val="none"/>
                <w:lang w:eastAsia="zh-CN"/>
              </w:rPr>
              <w:t>，</w:t>
            </w:r>
            <w:r>
              <w:rPr>
                <w:rFonts w:hint="eastAsia" w:cs="Times New Roman"/>
                <w:bCs/>
                <w:color w:val="auto"/>
                <w:kern w:val="0"/>
                <w:sz w:val="21"/>
                <w:szCs w:val="21"/>
                <w:highlight w:val="none"/>
                <w:lang w:val="en-US" w:eastAsia="zh-CN"/>
              </w:rPr>
              <w:t>新建1座日烘干能力500t/d烘干塔配套1台720万Kcal/h生物质热风炉，年运行4320h，本次扩建后年烘干水稻60000t、玉米30000t。</w:t>
            </w:r>
            <w:r>
              <w:rPr>
                <w:rFonts w:hint="default" w:ascii="Times New Roman" w:hAnsi="Times New Roman" w:cs="Times New Roman"/>
                <w:color w:val="auto"/>
                <w:kern w:val="21"/>
                <w:sz w:val="21"/>
                <w:szCs w:val="21"/>
                <w:highlight w:val="none"/>
              </w:rPr>
              <w:t>主要建设内容见表2-1。</w:t>
            </w:r>
          </w:p>
          <w:p w14:paraId="21AB2E51">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表2-1主要建设内容及规模一览表</w:t>
            </w:r>
          </w:p>
          <w:tbl>
            <w:tblPr>
              <w:tblStyle w:val="3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1154"/>
              <w:gridCol w:w="5357"/>
              <w:gridCol w:w="883"/>
            </w:tblGrid>
            <w:tr w14:paraId="439657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noWrap w:val="0"/>
                  <w:vAlign w:val="center"/>
                </w:tcPr>
                <w:p w14:paraId="06E49D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ascii="Times New Roman" w:hAnsi="Times New Roman" w:cs="Times New Roman"/>
                      <w:color w:val="auto"/>
                      <w:sz w:val="18"/>
                      <w:szCs w:val="18"/>
                      <w:highlight w:val="none"/>
                    </w:rPr>
                    <w:t>工程组成</w:t>
                  </w:r>
                </w:p>
              </w:tc>
              <w:tc>
                <w:tcPr>
                  <w:tcW w:w="716" w:type="pct"/>
                  <w:noWrap w:val="0"/>
                  <w:vAlign w:val="center"/>
                </w:tcPr>
                <w:p w14:paraId="45FA47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建设内容</w:t>
                  </w:r>
                </w:p>
              </w:tc>
              <w:tc>
                <w:tcPr>
                  <w:tcW w:w="3324" w:type="pct"/>
                  <w:noWrap w:val="0"/>
                  <w:vAlign w:val="center"/>
                </w:tcPr>
                <w:p w14:paraId="0DA888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建设规模及内容</w:t>
                  </w:r>
                </w:p>
              </w:tc>
              <w:tc>
                <w:tcPr>
                  <w:tcW w:w="548" w:type="pct"/>
                  <w:noWrap w:val="0"/>
                  <w:vAlign w:val="center"/>
                </w:tcPr>
                <w:p w14:paraId="318052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备注</w:t>
                  </w:r>
                </w:p>
              </w:tc>
            </w:tr>
            <w:tr w14:paraId="2C64AD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noWrap w:val="0"/>
                  <w:vAlign w:val="center"/>
                </w:tcPr>
                <w:p w14:paraId="37B93F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主体工程</w:t>
                  </w:r>
                </w:p>
              </w:tc>
              <w:tc>
                <w:tcPr>
                  <w:tcW w:w="716" w:type="pct"/>
                  <w:noWrap w:val="0"/>
                  <w:vAlign w:val="center"/>
                </w:tcPr>
                <w:p w14:paraId="35AAD45A">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z w:val="18"/>
                      <w:szCs w:val="18"/>
                      <w:highlight w:val="none"/>
                    </w:rPr>
                    <w:t>烘干塔</w:t>
                  </w:r>
                </w:p>
              </w:tc>
              <w:tc>
                <w:tcPr>
                  <w:tcW w:w="3324" w:type="pct"/>
                  <w:noWrap w:val="0"/>
                  <w:vAlign w:val="center"/>
                </w:tcPr>
                <w:p w14:paraId="26BD9750">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eastAsia="宋体"/>
                      <w:color w:val="auto"/>
                      <w:sz w:val="18"/>
                      <w:szCs w:val="18"/>
                      <w:highlight w:val="none"/>
                      <w:lang w:val="en-US" w:eastAsia="zh-CN"/>
                    </w:rPr>
                  </w:pPr>
                  <w:r>
                    <w:rPr>
                      <w:rFonts w:hint="eastAsia" w:ascii="宋体" w:hAnsi="宋体" w:eastAsia="宋体" w:cs="宋体"/>
                      <w:color w:val="auto"/>
                      <w:kern w:val="21"/>
                      <w:sz w:val="18"/>
                      <w:szCs w:val="18"/>
                      <w:highlight w:val="none"/>
                      <w:lang w:val="en-US" w:eastAsia="zh-CN"/>
                    </w:rPr>
                    <w:t>新建1座</w:t>
                  </w:r>
                  <w:r>
                    <w:rPr>
                      <w:rFonts w:hint="eastAsia" w:ascii="宋体" w:hAnsi="宋体" w:cs="宋体"/>
                      <w:color w:val="auto"/>
                      <w:kern w:val="21"/>
                      <w:sz w:val="18"/>
                      <w:szCs w:val="18"/>
                      <w:highlight w:val="none"/>
                      <w:lang w:val="en-US" w:eastAsia="zh-CN"/>
                    </w:rPr>
                    <w:t>5</w:t>
                  </w:r>
                  <w:r>
                    <w:rPr>
                      <w:rFonts w:hint="eastAsia" w:ascii="宋体" w:hAnsi="宋体" w:eastAsia="宋体" w:cs="宋体"/>
                      <w:color w:val="auto"/>
                      <w:kern w:val="21"/>
                      <w:sz w:val="18"/>
                      <w:szCs w:val="18"/>
                      <w:highlight w:val="none"/>
                      <w:lang w:val="en-US" w:eastAsia="zh-CN"/>
                    </w:rPr>
                    <w:t>00t/</w:t>
                  </w:r>
                  <w:r>
                    <w:rPr>
                      <w:rFonts w:hint="eastAsia" w:ascii="宋体" w:hAnsi="宋体" w:cs="宋体"/>
                      <w:color w:val="auto"/>
                      <w:kern w:val="21"/>
                      <w:sz w:val="18"/>
                      <w:szCs w:val="18"/>
                      <w:highlight w:val="none"/>
                      <w:lang w:val="en-US" w:eastAsia="zh-CN"/>
                    </w:rPr>
                    <w:t>d</w:t>
                  </w:r>
                  <w:r>
                    <w:rPr>
                      <w:rFonts w:hint="eastAsia" w:ascii="宋体" w:hAnsi="宋体" w:eastAsia="宋体" w:cs="宋体"/>
                      <w:color w:val="auto"/>
                      <w:kern w:val="21"/>
                      <w:sz w:val="18"/>
                      <w:szCs w:val="18"/>
                      <w:highlight w:val="none"/>
                      <w:lang w:val="en-US" w:eastAsia="zh-CN"/>
                    </w:rPr>
                    <w:t>烘干塔，</w:t>
                  </w:r>
                  <w:r>
                    <w:rPr>
                      <w:rFonts w:hint="eastAsia" w:ascii="宋体" w:hAnsi="宋体" w:cs="宋体"/>
                      <w:color w:val="auto"/>
                      <w:kern w:val="21"/>
                      <w:sz w:val="18"/>
                      <w:szCs w:val="18"/>
                      <w:highlight w:val="none"/>
                      <w:lang w:val="en-US" w:eastAsia="zh-CN"/>
                    </w:rPr>
                    <w:t>高25米。新增</w:t>
                  </w:r>
                  <w:r>
                    <w:rPr>
                      <w:rFonts w:hint="eastAsia" w:ascii="宋体" w:hAnsi="宋体" w:eastAsia="宋体" w:cs="宋体"/>
                      <w:color w:val="auto"/>
                      <w:kern w:val="21"/>
                      <w:sz w:val="18"/>
                      <w:szCs w:val="18"/>
                      <w:highlight w:val="none"/>
                      <w:lang w:val="en-US" w:eastAsia="zh-CN"/>
                    </w:rPr>
                    <w:t>年烘干</w:t>
                  </w:r>
                  <w:r>
                    <w:rPr>
                      <w:rFonts w:hint="eastAsia" w:ascii="宋体" w:hAnsi="宋体" w:cs="宋体"/>
                      <w:color w:val="auto"/>
                      <w:kern w:val="21"/>
                      <w:sz w:val="18"/>
                      <w:szCs w:val="18"/>
                      <w:highlight w:val="none"/>
                      <w:lang w:val="en-US" w:eastAsia="zh-CN"/>
                    </w:rPr>
                    <w:t>水稻60000</w:t>
                  </w:r>
                  <w:r>
                    <w:rPr>
                      <w:rFonts w:hint="eastAsia" w:ascii="宋体" w:hAnsi="宋体" w:eastAsia="宋体" w:cs="宋体"/>
                      <w:color w:val="auto"/>
                      <w:kern w:val="21"/>
                      <w:sz w:val="18"/>
                      <w:szCs w:val="18"/>
                      <w:highlight w:val="none"/>
                      <w:lang w:val="en-US" w:eastAsia="zh-CN"/>
                    </w:rPr>
                    <w:t>t</w:t>
                  </w:r>
                  <w:r>
                    <w:rPr>
                      <w:rFonts w:hint="eastAsia" w:ascii="宋体" w:hAnsi="宋体" w:cs="宋体"/>
                      <w:color w:val="auto"/>
                      <w:kern w:val="21"/>
                      <w:sz w:val="18"/>
                      <w:szCs w:val="18"/>
                      <w:highlight w:val="none"/>
                      <w:lang w:val="en-US" w:eastAsia="zh-CN"/>
                    </w:rPr>
                    <w:t>、玉米30000t。</w:t>
                  </w:r>
                </w:p>
              </w:tc>
              <w:tc>
                <w:tcPr>
                  <w:tcW w:w="548" w:type="pct"/>
                  <w:noWrap w:val="0"/>
                  <w:vAlign w:val="center"/>
                </w:tcPr>
                <w:p w14:paraId="648DF3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r>
                    <w:rPr>
                      <w:rFonts w:hint="eastAsia"/>
                      <w:color w:val="auto"/>
                      <w:sz w:val="18"/>
                      <w:szCs w:val="18"/>
                      <w:highlight w:val="none"/>
                      <w:lang w:val="en-US" w:eastAsia="zh-CN"/>
                    </w:rPr>
                    <w:t>新建</w:t>
                  </w:r>
                </w:p>
              </w:tc>
            </w:tr>
            <w:tr w14:paraId="330F56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6ACE31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4388E0A6">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ascii="宋体" w:hAnsi="宋体" w:eastAsia="宋体" w:cs="宋体"/>
                      <w:bCs/>
                      <w:color w:val="auto"/>
                      <w:kern w:val="0"/>
                      <w:sz w:val="18"/>
                      <w:szCs w:val="18"/>
                      <w:highlight w:val="none"/>
                      <w:lang w:val="en-US" w:eastAsia="zh-CN"/>
                    </w:rPr>
                    <w:t>热风炉房</w:t>
                  </w:r>
                </w:p>
              </w:tc>
              <w:tc>
                <w:tcPr>
                  <w:tcW w:w="3324" w:type="pct"/>
                  <w:noWrap w:val="0"/>
                  <w:vAlign w:val="center"/>
                </w:tcPr>
                <w:p w14:paraId="1115ADFB">
                  <w:pPr>
                    <w:pStyle w:val="14"/>
                    <w:keepNext w:val="0"/>
                    <w:keepLines w:val="0"/>
                    <w:suppressLineNumbers w:val="0"/>
                    <w:bidi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hAnsi="宋体" w:cs="宋体"/>
                      <w:color w:val="auto"/>
                      <w:kern w:val="21"/>
                      <w:sz w:val="18"/>
                      <w:szCs w:val="18"/>
                      <w:highlight w:val="none"/>
                      <w:lang w:val="en-US" w:eastAsia="zh-CN" w:bidi="ar-SA"/>
                    </w:rPr>
                    <w:t>新增</w:t>
                  </w:r>
                  <w:r>
                    <w:rPr>
                      <w:rFonts w:hint="eastAsia" w:ascii="宋体" w:hAnsi="宋体" w:eastAsia="宋体" w:cs="宋体"/>
                      <w:color w:val="auto"/>
                      <w:kern w:val="21"/>
                      <w:sz w:val="18"/>
                      <w:szCs w:val="18"/>
                      <w:highlight w:val="none"/>
                      <w:lang w:val="en-US" w:eastAsia="zh-CN" w:bidi="ar-SA"/>
                    </w:rPr>
                    <w:t>1座单层砖混结构热风炉房，占地面积282.02</w:t>
                  </w:r>
                  <w:r>
                    <w:rPr>
                      <w:rFonts w:hint="eastAsia" w:ascii="Times New Roman" w:hAnsi="Times New Roman" w:eastAsia="宋体" w:cs="Times New Roman"/>
                      <w:color w:val="auto"/>
                      <w:kern w:val="2"/>
                      <w:sz w:val="18"/>
                      <w:szCs w:val="18"/>
                      <w:highlight w:val="none"/>
                      <w:lang w:val="en-US" w:eastAsia="zh-CN" w:bidi="ar-SA"/>
                    </w:rPr>
                    <w:t>m</w:t>
                  </w:r>
                  <w:r>
                    <w:rPr>
                      <w:rFonts w:hint="eastAsia" w:ascii="Times New Roman" w:hAnsi="Times New Roman" w:eastAsia="宋体" w:cs="Times New Roman"/>
                      <w:color w:val="auto"/>
                      <w:kern w:val="2"/>
                      <w:sz w:val="18"/>
                      <w:szCs w:val="18"/>
                      <w:highlight w:val="none"/>
                      <w:vertAlign w:val="superscript"/>
                      <w:lang w:val="en-US" w:eastAsia="zh-CN" w:bidi="ar-SA"/>
                    </w:rPr>
                    <w:t>2</w:t>
                  </w:r>
                  <w:r>
                    <w:rPr>
                      <w:rFonts w:hint="eastAsia" w:ascii="宋体" w:hAnsi="宋体" w:eastAsia="宋体" w:cs="宋体"/>
                      <w:color w:val="auto"/>
                      <w:kern w:val="21"/>
                      <w:sz w:val="18"/>
                      <w:szCs w:val="18"/>
                      <w:highlight w:val="none"/>
                      <w:lang w:val="en-US" w:eastAsia="zh-CN" w:bidi="ar-SA"/>
                    </w:rPr>
                    <w:t>，高</w:t>
                  </w:r>
                  <w:r>
                    <w:rPr>
                      <w:rFonts w:hint="eastAsia" w:hAnsi="宋体" w:cs="宋体"/>
                      <w:color w:val="auto"/>
                      <w:kern w:val="21"/>
                      <w:sz w:val="18"/>
                      <w:szCs w:val="18"/>
                      <w:highlight w:val="none"/>
                      <w:lang w:val="en-US" w:eastAsia="zh-CN" w:bidi="ar-SA"/>
                    </w:rPr>
                    <w:t>6</w:t>
                  </w:r>
                  <w:r>
                    <w:rPr>
                      <w:rFonts w:hint="eastAsia" w:ascii="宋体" w:hAnsi="宋体" w:eastAsia="宋体" w:cs="宋体"/>
                      <w:color w:val="auto"/>
                      <w:kern w:val="21"/>
                      <w:sz w:val="18"/>
                      <w:szCs w:val="18"/>
                      <w:highlight w:val="none"/>
                      <w:lang w:val="en-US" w:eastAsia="zh-CN" w:bidi="ar-SA"/>
                    </w:rPr>
                    <w:t>米，内置1台</w:t>
                  </w:r>
                  <w:r>
                    <w:rPr>
                      <w:rFonts w:hint="eastAsia" w:hAnsi="宋体" w:cs="宋体"/>
                      <w:color w:val="auto"/>
                      <w:kern w:val="21"/>
                      <w:sz w:val="18"/>
                      <w:szCs w:val="18"/>
                      <w:highlight w:val="none"/>
                      <w:lang w:val="en-US" w:eastAsia="zh-CN" w:bidi="ar-SA"/>
                    </w:rPr>
                    <w:t>720万Kcal/h</w:t>
                  </w:r>
                  <w:r>
                    <w:rPr>
                      <w:rFonts w:hint="eastAsia" w:ascii="宋体" w:hAnsi="宋体" w:eastAsia="宋体" w:cs="宋体"/>
                      <w:color w:val="auto"/>
                      <w:kern w:val="21"/>
                      <w:sz w:val="18"/>
                      <w:szCs w:val="18"/>
                      <w:highlight w:val="none"/>
                      <w:lang w:val="en-US" w:eastAsia="zh-CN" w:bidi="ar-SA"/>
                    </w:rPr>
                    <w:t>生物质热风炉</w:t>
                  </w:r>
                  <w:r>
                    <w:rPr>
                      <w:rFonts w:hint="eastAsia" w:hAnsi="宋体" w:cs="宋体"/>
                      <w:color w:val="auto"/>
                      <w:kern w:val="21"/>
                      <w:sz w:val="18"/>
                      <w:szCs w:val="18"/>
                      <w:highlight w:val="none"/>
                      <w:lang w:val="en-US" w:eastAsia="zh-CN" w:bidi="ar-SA"/>
                    </w:rPr>
                    <w:t>。</w:t>
                  </w:r>
                </w:p>
              </w:tc>
              <w:tc>
                <w:tcPr>
                  <w:tcW w:w="548" w:type="pct"/>
                  <w:noWrap w:val="0"/>
                  <w:vAlign w:val="center"/>
                </w:tcPr>
                <w:p w14:paraId="1F46B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新建</w:t>
                  </w:r>
                </w:p>
              </w:tc>
            </w:tr>
            <w:tr w14:paraId="567D02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noWrap w:val="0"/>
                  <w:vAlign w:val="center"/>
                </w:tcPr>
                <w:p w14:paraId="49513F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辅助工程</w:t>
                  </w:r>
                </w:p>
              </w:tc>
              <w:tc>
                <w:tcPr>
                  <w:tcW w:w="716" w:type="pct"/>
                  <w:noWrap w:val="0"/>
                  <w:vAlign w:val="center"/>
                </w:tcPr>
                <w:p w14:paraId="4CAA173F">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s="Times New Roman"/>
                      <w:color w:val="auto"/>
                      <w:sz w:val="18"/>
                      <w:szCs w:val="18"/>
                      <w:highlight w:val="none"/>
                      <w:lang w:val="en-US" w:eastAsia="zh-CN"/>
                    </w:rPr>
                    <w:t>办公楼</w:t>
                  </w:r>
                </w:p>
              </w:tc>
              <w:tc>
                <w:tcPr>
                  <w:tcW w:w="3324" w:type="pct"/>
                  <w:noWrap w:val="0"/>
                  <w:vAlign w:val="center"/>
                </w:tcPr>
                <w:p w14:paraId="59E5FFCD">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eastAsia="宋体"/>
                      <w:color w:val="auto"/>
                      <w:sz w:val="18"/>
                      <w:szCs w:val="18"/>
                      <w:highlight w:val="none"/>
                      <w:vertAlign w:val="baseline"/>
                      <w:lang w:val="en-US" w:eastAsia="zh-CN"/>
                    </w:rPr>
                  </w:pPr>
                  <w:r>
                    <w:rPr>
                      <w:rFonts w:hint="eastAsia" w:cs="Times New Roman"/>
                      <w:color w:val="auto"/>
                      <w:sz w:val="18"/>
                      <w:szCs w:val="18"/>
                      <w:highlight w:val="none"/>
                      <w:lang w:val="en-US" w:eastAsia="zh-CN"/>
                    </w:rPr>
                    <w:t>1座2层砖混结构办公室，</w:t>
                  </w:r>
                  <w:r>
                    <w:rPr>
                      <w:rFonts w:hint="eastAsia" w:cs="Times New Roman"/>
                      <w:color w:val="auto"/>
                      <w:sz w:val="18"/>
                      <w:szCs w:val="18"/>
                      <w:highlight w:val="none"/>
                      <w:lang w:eastAsia="zh-CN"/>
                    </w:rPr>
                    <w:t>占地</w:t>
                  </w:r>
                  <w:r>
                    <w:rPr>
                      <w:rFonts w:hint="default" w:ascii="Times New Roman" w:hAnsi="Times New Roman" w:cs="Times New Roman"/>
                      <w:color w:val="auto"/>
                      <w:sz w:val="18"/>
                      <w:szCs w:val="18"/>
                      <w:highlight w:val="none"/>
                    </w:rPr>
                    <w:t>面积</w:t>
                  </w:r>
                  <w:r>
                    <w:rPr>
                      <w:rFonts w:hint="eastAsia" w:cs="Times New Roman"/>
                      <w:color w:val="auto"/>
                      <w:sz w:val="18"/>
                      <w:szCs w:val="18"/>
                      <w:highlight w:val="none"/>
                      <w:lang w:val="en-US" w:eastAsia="zh-CN"/>
                    </w:rPr>
                    <w:t>550m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vertAlign w:val="baseline"/>
                      <w:lang w:eastAsia="zh-CN"/>
                    </w:rPr>
                    <w:t>，</w:t>
                  </w:r>
                  <w:r>
                    <w:rPr>
                      <w:rFonts w:hint="eastAsia" w:cs="Times New Roman"/>
                      <w:color w:val="auto"/>
                      <w:sz w:val="18"/>
                      <w:szCs w:val="18"/>
                      <w:highlight w:val="none"/>
                      <w:vertAlign w:val="baseline"/>
                      <w:lang w:val="en-US" w:eastAsia="zh-CN"/>
                    </w:rPr>
                    <w:t>高6米,用于企业办公。</w:t>
                  </w:r>
                </w:p>
              </w:tc>
              <w:tc>
                <w:tcPr>
                  <w:tcW w:w="548" w:type="pct"/>
                  <w:noWrap w:val="0"/>
                  <w:vAlign w:val="center"/>
                </w:tcPr>
                <w:p w14:paraId="39592B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114609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005E94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6782AC3A">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门卫保管室</w:t>
                  </w:r>
                </w:p>
              </w:tc>
              <w:tc>
                <w:tcPr>
                  <w:tcW w:w="5357" w:type="dxa"/>
                  <w:noWrap w:val="0"/>
                  <w:vAlign w:val="center"/>
                </w:tcPr>
                <w:p w14:paraId="11917CA0">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1座砖混结构，占地面积62m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w:t>
                  </w:r>
                </w:p>
              </w:tc>
              <w:tc>
                <w:tcPr>
                  <w:tcW w:w="548" w:type="pct"/>
                  <w:noWrap w:val="0"/>
                  <w:vAlign w:val="center"/>
                </w:tcPr>
                <w:p w14:paraId="6FA67C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依托</w:t>
                  </w:r>
                </w:p>
              </w:tc>
            </w:tr>
            <w:tr w14:paraId="38D7B7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4D7A6F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55443EC1">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化验室</w:t>
                  </w:r>
                </w:p>
              </w:tc>
              <w:tc>
                <w:tcPr>
                  <w:tcW w:w="5357" w:type="dxa"/>
                  <w:noWrap w:val="0"/>
                  <w:vAlign w:val="center"/>
                </w:tcPr>
                <w:p w14:paraId="585EDC81">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1座砖混结构，占地面积238m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，高3米，用于粮食含水率化验，为物理化验，不涉及化学药剂。</w:t>
                  </w:r>
                </w:p>
              </w:tc>
              <w:tc>
                <w:tcPr>
                  <w:tcW w:w="548" w:type="pct"/>
                  <w:noWrap w:val="0"/>
                  <w:vAlign w:val="center"/>
                </w:tcPr>
                <w:p w14:paraId="28E67E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依托</w:t>
                  </w:r>
                </w:p>
              </w:tc>
            </w:tr>
            <w:tr w14:paraId="112D92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7BDF5D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4DE86F51">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配电室</w:t>
                  </w:r>
                </w:p>
              </w:tc>
              <w:tc>
                <w:tcPr>
                  <w:tcW w:w="5357" w:type="dxa"/>
                  <w:noWrap w:val="0"/>
                  <w:vAlign w:val="center"/>
                </w:tcPr>
                <w:p w14:paraId="0036338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both"/>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2座砖混结构，1号配电室30m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，高3米，2号配电室48m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w:t>
                  </w:r>
                </w:p>
              </w:tc>
              <w:tc>
                <w:tcPr>
                  <w:tcW w:w="548" w:type="pct"/>
                  <w:noWrap w:val="0"/>
                  <w:vAlign w:val="center"/>
                </w:tcPr>
                <w:p w14:paraId="2E02C8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依托</w:t>
                  </w:r>
                </w:p>
              </w:tc>
            </w:tr>
            <w:tr w14:paraId="746879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0F0E5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716" w:type="pct"/>
                  <w:noWrap w:val="0"/>
                  <w:vAlign w:val="center"/>
                </w:tcPr>
                <w:p w14:paraId="0B620038">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库房</w:t>
                  </w:r>
                </w:p>
              </w:tc>
              <w:tc>
                <w:tcPr>
                  <w:tcW w:w="5357" w:type="dxa"/>
                  <w:noWrap w:val="0"/>
                  <w:vAlign w:val="center"/>
                </w:tcPr>
                <w:p w14:paraId="0B2A0F98">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both"/>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1座砖混结构，占地面积452m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，高3米。</w:t>
                  </w:r>
                </w:p>
              </w:tc>
              <w:tc>
                <w:tcPr>
                  <w:tcW w:w="548" w:type="pct"/>
                  <w:noWrap w:val="0"/>
                  <w:vAlign w:val="center"/>
                </w:tcPr>
                <w:p w14:paraId="29F940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依托</w:t>
                  </w:r>
                </w:p>
              </w:tc>
            </w:tr>
            <w:tr w14:paraId="43A1DE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noWrap w:val="0"/>
                  <w:vAlign w:val="center"/>
                </w:tcPr>
                <w:p w14:paraId="0757EC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储运工程</w:t>
                  </w:r>
                </w:p>
              </w:tc>
              <w:tc>
                <w:tcPr>
                  <w:tcW w:w="716" w:type="pct"/>
                  <w:noWrap w:val="0"/>
                  <w:vAlign w:val="center"/>
                </w:tcPr>
                <w:p w14:paraId="64F0F4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潮粮</w:t>
                  </w:r>
                  <w:r>
                    <w:rPr>
                      <w:rFonts w:hint="eastAsia" w:eastAsia="宋体"/>
                      <w:color w:val="auto"/>
                      <w:sz w:val="18"/>
                      <w:szCs w:val="18"/>
                      <w:highlight w:val="none"/>
                      <w:lang w:val="en-US" w:eastAsia="zh-CN"/>
                    </w:rPr>
                    <w:t>仓</w:t>
                  </w:r>
                </w:p>
              </w:tc>
              <w:tc>
                <w:tcPr>
                  <w:tcW w:w="5357" w:type="dxa"/>
                  <w:noWrap w:val="0"/>
                  <w:vAlign w:val="center"/>
                </w:tcPr>
                <w:p w14:paraId="60E7A281">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宋体" w:cs="Times New Roman"/>
                      <w:color w:val="auto"/>
                      <w:sz w:val="18"/>
                      <w:szCs w:val="18"/>
                      <w:highlight w:val="none"/>
                      <w:lang w:val="en-US" w:eastAsia="zh-CN"/>
                    </w:rPr>
                  </w:pPr>
                  <w:r>
                    <w:rPr>
                      <w:rFonts w:hint="eastAsia"/>
                      <w:color w:val="auto"/>
                      <w:sz w:val="18"/>
                      <w:szCs w:val="18"/>
                      <w:highlight w:val="none"/>
                      <w:lang w:val="en-US" w:eastAsia="zh-CN"/>
                    </w:rPr>
                    <w:t>1</w:t>
                  </w:r>
                  <w:r>
                    <w:rPr>
                      <w:rFonts w:hint="eastAsia" w:ascii="Times New Roman" w:hAnsi="Times New Roman" w:eastAsia="宋体"/>
                      <w:color w:val="auto"/>
                      <w:sz w:val="18"/>
                      <w:szCs w:val="18"/>
                      <w:highlight w:val="none"/>
                      <w:lang w:val="en-US" w:eastAsia="zh-CN"/>
                    </w:rPr>
                    <w:t>座，圆形钢结构，</w:t>
                  </w:r>
                  <w:r>
                    <w:rPr>
                      <w:rFonts w:hint="eastAsia"/>
                      <w:color w:val="auto"/>
                      <w:sz w:val="18"/>
                      <w:szCs w:val="18"/>
                      <w:highlight w:val="none"/>
                      <w:lang w:val="en-US" w:eastAsia="zh-CN"/>
                    </w:rPr>
                    <w:t>占地面积63.58</w:t>
                  </w:r>
                  <w:r>
                    <w:rPr>
                      <w:rFonts w:hint="eastAsia" w:cs="Times New Roman"/>
                      <w:color w:val="auto"/>
                      <w:sz w:val="18"/>
                      <w:szCs w:val="18"/>
                      <w:highlight w:val="none"/>
                      <w:lang w:val="en-US" w:eastAsia="zh-CN"/>
                    </w:rPr>
                    <w:t>m</w:t>
                  </w:r>
                  <w:r>
                    <w:rPr>
                      <w:rFonts w:hint="eastAsia" w:cs="Times New Roman"/>
                      <w:color w:val="auto"/>
                      <w:sz w:val="18"/>
                      <w:szCs w:val="18"/>
                      <w:highlight w:val="none"/>
                      <w:vertAlign w:val="superscript"/>
                      <w:lang w:val="en-US" w:eastAsia="zh-CN"/>
                    </w:rPr>
                    <w:t>2</w:t>
                  </w:r>
                  <w:r>
                    <w:rPr>
                      <w:rFonts w:hint="eastAsia"/>
                      <w:color w:val="auto"/>
                      <w:sz w:val="18"/>
                      <w:szCs w:val="18"/>
                      <w:highlight w:val="none"/>
                      <w:lang w:val="en-US" w:eastAsia="zh-CN"/>
                    </w:rPr>
                    <w:t>，高15米，</w:t>
                  </w:r>
                  <w:r>
                    <w:rPr>
                      <w:rFonts w:hint="eastAsia" w:ascii="Times New Roman" w:hAnsi="Times New Roman" w:eastAsia="宋体"/>
                      <w:color w:val="auto"/>
                      <w:sz w:val="18"/>
                      <w:szCs w:val="18"/>
                      <w:highlight w:val="none"/>
                      <w:lang w:val="en-US" w:eastAsia="zh-CN"/>
                    </w:rPr>
                    <w:t>有效容积</w:t>
                  </w:r>
                  <w:r>
                    <w:rPr>
                      <w:rFonts w:hint="eastAsia"/>
                      <w:color w:val="auto"/>
                      <w:sz w:val="18"/>
                      <w:szCs w:val="18"/>
                      <w:highlight w:val="none"/>
                      <w:lang w:val="en-US" w:eastAsia="zh-CN"/>
                    </w:rPr>
                    <w:t>约1000</w:t>
                  </w:r>
                  <w:r>
                    <w:rPr>
                      <w:rFonts w:hint="eastAsia" w:ascii="Times New Roman" w:hAnsi="Times New Roman" w:eastAsia="宋体"/>
                      <w:color w:val="auto"/>
                      <w:sz w:val="18"/>
                      <w:szCs w:val="18"/>
                      <w:highlight w:val="none"/>
                      <w:lang w:val="en-US" w:eastAsia="zh-CN"/>
                    </w:rPr>
                    <w:t>t，主要用于</w:t>
                  </w:r>
                  <w:r>
                    <w:rPr>
                      <w:rFonts w:hint="eastAsia"/>
                      <w:color w:val="auto"/>
                      <w:sz w:val="18"/>
                      <w:szCs w:val="18"/>
                      <w:highlight w:val="none"/>
                      <w:lang w:val="en-US" w:eastAsia="zh-CN"/>
                    </w:rPr>
                    <w:t>存储原料。</w:t>
                  </w:r>
                </w:p>
              </w:tc>
              <w:tc>
                <w:tcPr>
                  <w:tcW w:w="548" w:type="pct"/>
                  <w:noWrap w:val="0"/>
                  <w:vAlign w:val="center"/>
                </w:tcPr>
                <w:p w14:paraId="60782B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69BFC0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53FDF8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0A79E8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干粮仓</w:t>
                  </w:r>
                </w:p>
              </w:tc>
              <w:tc>
                <w:tcPr>
                  <w:tcW w:w="5357" w:type="dxa"/>
                  <w:noWrap w:val="0"/>
                  <w:vAlign w:val="center"/>
                </w:tcPr>
                <w:p w14:paraId="66E900B3">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1</w:t>
                  </w:r>
                  <w:r>
                    <w:rPr>
                      <w:rFonts w:hint="eastAsia" w:ascii="Times New Roman" w:hAnsi="Times New Roman" w:eastAsia="宋体"/>
                      <w:color w:val="auto"/>
                      <w:sz w:val="18"/>
                      <w:szCs w:val="18"/>
                      <w:highlight w:val="none"/>
                      <w:lang w:val="en-US" w:eastAsia="zh-CN"/>
                    </w:rPr>
                    <w:t>座，圆形钢结构，</w:t>
                  </w:r>
                  <w:r>
                    <w:rPr>
                      <w:rFonts w:hint="eastAsia"/>
                      <w:color w:val="auto"/>
                      <w:sz w:val="18"/>
                      <w:szCs w:val="18"/>
                      <w:highlight w:val="none"/>
                      <w:lang w:val="en-US" w:eastAsia="zh-CN"/>
                    </w:rPr>
                    <w:t>占地面积63.58</w:t>
                  </w:r>
                  <w:r>
                    <w:rPr>
                      <w:rFonts w:hint="eastAsia" w:cs="Times New Roman"/>
                      <w:color w:val="auto"/>
                      <w:sz w:val="18"/>
                      <w:szCs w:val="18"/>
                      <w:highlight w:val="none"/>
                      <w:lang w:val="en-US" w:eastAsia="zh-CN"/>
                    </w:rPr>
                    <w:t>m</w:t>
                  </w:r>
                  <w:r>
                    <w:rPr>
                      <w:rFonts w:hint="eastAsia" w:cs="Times New Roman"/>
                      <w:color w:val="auto"/>
                      <w:sz w:val="18"/>
                      <w:szCs w:val="18"/>
                      <w:highlight w:val="none"/>
                      <w:vertAlign w:val="superscript"/>
                      <w:lang w:val="en-US" w:eastAsia="zh-CN"/>
                    </w:rPr>
                    <w:t>2</w:t>
                  </w:r>
                  <w:r>
                    <w:rPr>
                      <w:rFonts w:hint="eastAsia"/>
                      <w:color w:val="auto"/>
                      <w:sz w:val="18"/>
                      <w:szCs w:val="18"/>
                      <w:highlight w:val="none"/>
                      <w:lang w:val="en-US" w:eastAsia="zh-CN"/>
                    </w:rPr>
                    <w:t>，高15米，</w:t>
                  </w:r>
                  <w:r>
                    <w:rPr>
                      <w:rFonts w:hint="eastAsia" w:ascii="Times New Roman" w:hAnsi="Times New Roman" w:eastAsia="宋体"/>
                      <w:color w:val="auto"/>
                      <w:sz w:val="18"/>
                      <w:szCs w:val="18"/>
                      <w:highlight w:val="none"/>
                      <w:lang w:val="en-US" w:eastAsia="zh-CN"/>
                    </w:rPr>
                    <w:t>有效容积</w:t>
                  </w:r>
                  <w:r>
                    <w:rPr>
                      <w:rFonts w:hint="eastAsia"/>
                      <w:color w:val="auto"/>
                      <w:sz w:val="18"/>
                      <w:szCs w:val="18"/>
                      <w:highlight w:val="none"/>
                      <w:lang w:val="en-US" w:eastAsia="zh-CN"/>
                    </w:rPr>
                    <w:t>约1000</w:t>
                  </w:r>
                  <w:r>
                    <w:rPr>
                      <w:rFonts w:hint="eastAsia" w:ascii="Times New Roman" w:hAnsi="Times New Roman" w:eastAsia="宋体"/>
                      <w:color w:val="auto"/>
                      <w:sz w:val="18"/>
                      <w:szCs w:val="18"/>
                      <w:highlight w:val="none"/>
                      <w:lang w:val="en-US" w:eastAsia="zh-CN"/>
                    </w:rPr>
                    <w:t>t，主要用于暂存烘干后的成品</w:t>
                  </w:r>
                  <w:r>
                    <w:rPr>
                      <w:rFonts w:hint="eastAsia"/>
                      <w:color w:val="auto"/>
                      <w:sz w:val="18"/>
                      <w:szCs w:val="18"/>
                      <w:highlight w:val="none"/>
                      <w:lang w:val="en-US" w:eastAsia="zh-CN"/>
                    </w:rPr>
                    <w:t>。</w:t>
                  </w:r>
                </w:p>
              </w:tc>
              <w:tc>
                <w:tcPr>
                  <w:tcW w:w="548" w:type="pct"/>
                  <w:noWrap w:val="0"/>
                  <w:vAlign w:val="center"/>
                </w:tcPr>
                <w:p w14:paraId="02F839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0AA167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17014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62DAB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平房仓</w:t>
                  </w:r>
                </w:p>
              </w:tc>
              <w:tc>
                <w:tcPr>
                  <w:tcW w:w="5357" w:type="dxa"/>
                  <w:noWrap w:val="0"/>
                  <w:vAlign w:val="center"/>
                </w:tcPr>
                <w:p w14:paraId="0FD8A606">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eastAsia="宋体"/>
                      <w:color w:val="auto"/>
                      <w:sz w:val="18"/>
                      <w:szCs w:val="18"/>
                      <w:highlight w:val="none"/>
                      <w:lang w:val="en-US" w:eastAsia="zh-CN"/>
                    </w:rPr>
                  </w:pPr>
                  <w:r>
                    <w:rPr>
                      <w:rFonts w:hint="eastAsia" w:cs="Times New Roman"/>
                      <w:color w:val="auto"/>
                      <w:sz w:val="18"/>
                      <w:szCs w:val="18"/>
                      <w:highlight w:val="none"/>
                      <w:lang w:val="en-US" w:eastAsia="zh-CN"/>
                    </w:rPr>
                    <w:t>共5座平房仓</w:t>
                  </w:r>
                  <w:r>
                    <w:rPr>
                      <w:rFonts w:hint="eastAsia"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全封闭钢结构，1号平房仓占地面积6123m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高10.5米</w:t>
                  </w:r>
                  <w:r>
                    <w:rPr>
                      <w:rFonts w:hint="eastAsia" w:cs="Times New Roman"/>
                      <w:color w:val="auto"/>
                      <w:sz w:val="18"/>
                      <w:szCs w:val="18"/>
                      <w:highlight w:val="none"/>
                      <w:lang w:val="en-US" w:eastAsia="zh-CN"/>
                    </w:rPr>
                    <w:t>，最大储量26000t，2号平房仓占地面积3050m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高10.5米，</w:t>
                  </w:r>
                  <w:r>
                    <w:rPr>
                      <w:rFonts w:hint="eastAsia" w:cs="Times New Roman"/>
                      <w:color w:val="auto"/>
                      <w:sz w:val="18"/>
                      <w:szCs w:val="18"/>
                      <w:highlight w:val="none"/>
                      <w:lang w:val="en-US" w:eastAsia="zh-CN"/>
                    </w:rPr>
                    <w:t>最大储量12000t，3号平房仓占地面积4290m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高10.5米，</w:t>
                  </w:r>
                  <w:r>
                    <w:rPr>
                      <w:rFonts w:hint="eastAsia" w:cs="Times New Roman"/>
                      <w:color w:val="auto"/>
                      <w:sz w:val="18"/>
                      <w:szCs w:val="18"/>
                      <w:highlight w:val="none"/>
                      <w:lang w:val="en-US" w:eastAsia="zh-CN"/>
                    </w:rPr>
                    <w:t>最大储量18000t，4号平房仓9295m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高10.5米，</w:t>
                  </w:r>
                  <w:r>
                    <w:rPr>
                      <w:rFonts w:hint="eastAsia" w:cs="Times New Roman"/>
                      <w:color w:val="auto"/>
                      <w:sz w:val="18"/>
                      <w:szCs w:val="18"/>
                      <w:highlight w:val="none"/>
                      <w:lang w:val="en-US" w:eastAsia="zh-CN"/>
                    </w:rPr>
                    <w:t>最大储量40000t，5号平房仓占地面积18286m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高10.5米，</w:t>
                  </w:r>
                  <w:r>
                    <w:rPr>
                      <w:rFonts w:hint="eastAsia" w:cs="Times New Roman"/>
                      <w:color w:val="auto"/>
                      <w:sz w:val="18"/>
                      <w:szCs w:val="18"/>
                      <w:highlight w:val="none"/>
                      <w:lang w:val="en-US" w:eastAsia="zh-CN"/>
                    </w:rPr>
                    <w:t>最大储量78000t.</w:t>
                  </w:r>
                </w:p>
              </w:tc>
              <w:tc>
                <w:tcPr>
                  <w:tcW w:w="548" w:type="pct"/>
                  <w:noWrap w:val="0"/>
                  <w:vAlign w:val="center"/>
                </w:tcPr>
                <w:p w14:paraId="534777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77DC2B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11" w:type="pct"/>
                  <w:vMerge w:val="continue"/>
                  <w:noWrap w:val="0"/>
                  <w:vAlign w:val="center"/>
                </w:tcPr>
                <w:p w14:paraId="0C6489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vMerge w:val="restart"/>
                  <w:noWrap w:val="0"/>
                  <w:vAlign w:val="center"/>
                </w:tcPr>
                <w:p w14:paraId="7FD197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立筒仓</w:t>
                  </w:r>
                </w:p>
              </w:tc>
              <w:tc>
                <w:tcPr>
                  <w:tcW w:w="5357" w:type="dxa"/>
                  <w:noWrap w:val="0"/>
                  <w:vAlign w:val="center"/>
                </w:tcPr>
                <w:p w14:paraId="4824F043">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9座钢结构立筒仓，其中6座占地面积551m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高18米，单仓</w:t>
                  </w:r>
                  <w:r>
                    <w:rPr>
                      <w:rFonts w:hint="eastAsia" w:cs="Times New Roman"/>
                      <w:color w:val="auto"/>
                      <w:sz w:val="18"/>
                      <w:szCs w:val="18"/>
                      <w:highlight w:val="none"/>
                      <w:lang w:val="en-US" w:eastAsia="zh-CN"/>
                    </w:rPr>
                    <w:t>最大储量5800t，1座314m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高18米，</w:t>
                  </w:r>
                  <w:r>
                    <w:rPr>
                      <w:rFonts w:hint="eastAsia" w:cs="Times New Roman"/>
                      <w:color w:val="auto"/>
                      <w:sz w:val="18"/>
                      <w:szCs w:val="18"/>
                      <w:highlight w:val="none"/>
                      <w:lang w:val="en-US" w:eastAsia="zh-CN"/>
                    </w:rPr>
                    <w:t>最大储量3200t，1座452m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高18米，</w:t>
                  </w:r>
                  <w:r>
                    <w:rPr>
                      <w:rFonts w:hint="eastAsia" w:cs="Times New Roman"/>
                      <w:color w:val="auto"/>
                      <w:sz w:val="18"/>
                      <w:szCs w:val="18"/>
                      <w:highlight w:val="none"/>
                      <w:lang w:val="en-US" w:eastAsia="zh-CN"/>
                    </w:rPr>
                    <w:t>最大储量4600t，1座530m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高18米，</w:t>
                  </w:r>
                  <w:r>
                    <w:rPr>
                      <w:rFonts w:hint="eastAsia" w:cs="Times New Roman"/>
                      <w:color w:val="auto"/>
                      <w:sz w:val="18"/>
                      <w:szCs w:val="18"/>
                      <w:highlight w:val="none"/>
                      <w:lang w:val="en-US" w:eastAsia="zh-CN"/>
                    </w:rPr>
                    <w:t>最大储量5400t。</w:t>
                  </w:r>
                </w:p>
              </w:tc>
              <w:tc>
                <w:tcPr>
                  <w:tcW w:w="548" w:type="pct"/>
                  <w:vMerge w:val="restart"/>
                  <w:noWrap w:val="0"/>
                  <w:vAlign w:val="center"/>
                </w:tcPr>
                <w:p w14:paraId="5C723E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依托</w:t>
                  </w:r>
                </w:p>
              </w:tc>
            </w:tr>
            <w:tr w14:paraId="6DB302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11" w:type="pct"/>
                  <w:vMerge w:val="continue"/>
                  <w:noWrap w:val="0"/>
                  <w:vAlign w:val="center"/>
                </w:tcPr>
                <w:p w14:paraId="56615B08">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auto"/>
                    </w:rPr>
                  </w:pPr>
                </w:p>
              </w:tc>
              <w:tc>
                <w:tcPr>
                  <w:tcW w:w="716" w:type="pct"/>
                  <w:vMerge w:val="continue"/>
                  <w:noWrap w:val="0"/>
                  <w:vAlign w:val="center"/>
                </w:tcPr>
                <w:p w14:paraId="7CF951DC">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auto"/>
                    </w:rPr>
                  </w:pPr>
                </w:p>
              </w:tc>
              <w:tc>
                <w:tcPr>
                  <w:tcW w:w="5357" w:type="dxa"/>
                  <w:noWrap w:val="0"/>
                  <w:vAlign w:val="center"/>
                </w:tcPr>
                <w:p w14:paraId="5AEE587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both"/>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4座砖结构立筒仓，单仓占地面积113m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w:t>
                  </w:r>
                  <w:r>
                    <w:rPr>
                      <w:rFonts w:hint="eastAsia"/>
                      <w:color w:val="auto"/>
                      <w:sz w:val="18"/>
                      <w:szCs w:val="18"/>
                      <w:highlight w:val="none"/>
                      <w:lang w:val="en-US" w:eastAsia="zh-CN"/>
                    </w:rPr>
                    <w:t>高14.2米，</w:t>
                  </w:r>
                  <w:r>
                    <w:rPr>
                      <w:rFonts w:hint="eastAsia" w:cs="Times New Roman"/>
                      <w:color w:val="auto"/>
                      <w:sz w:val="18"/>
                      <w:szCs w:val="18"/>
                      <w:highlight w:val="none"/>
                      <w:lang w:val="en-US" w:eastAsia="zh-CN"/>
                    </w:rPr>
                    <w:t>最大储量690t。</w:t>
                  </w:r>
                </w:p>
              </w:tc>
              <w:tc>
                <w:tcPr>
                  <w:tcW w:w="548" w:type="pct"/>
                  <w:vMerge w:val="continue"/>
                  <w:noWrap w:val="0"/>
                  <w:vAlign w:val="center"/>
                </w:tcPr>
                <w:p w14:paraId="2D9962E9">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r>
            <w:tr w14:paraId="3E6E30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34F2B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4E8DA6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ascii="Times New Roman" w:hAnsi="Times New Roman" w:eastAsia="宋体"/>
                      <w:color w:val="auto"/>
                      <w:sz w:val="18"/>
                      <w:szCs w:val="18"/>
                      <w:highlight w:val="none"/>
                    </w:rPr>
                    <w:t>燃料库</w:t>
                  </w:r>
                </w:p>
              </w:tc>
              <w:tc>
                <w:tcPr>
                  <w:tcW w:w="3324" w:type="pct"/>
                  <w:noWrap w:val="0"/>
                  <w:vAlign w:val="center"/>
                </w:tcPr>
                <w:p w14:paraId="0AD6DEC1">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位于</w:t>
                  </w:r>
                  <w:r>
                    <w:rPr>
                      <w:rFonts w:hint="eastAsia" w:ascii="宋体" w:hAnsi="宋体" w:eastAsia="宋体" w:cs="宋体"/>
                      <w:bCs/>
                      <w:color w:val="auto"/>
                      <w:kern w:val="0"/>
                      <w:sz w:val="18"/>
                      <w:szCs w:val="18"/>
                      <w:highlight w:val="none"/>
                      <w:lang w:val="en-US" w:eastAsia="zh-CN"/>
                    </w:rPr>
                    <w:t>热</w:t>
                  </w:r>
                  <w:r>
                    <w:rPr>
                      <w:rFonts w:hint="eastAsia"/>
                      <w:color w:val="auto"/>
                      <w:sz w:val="18"/>
                      <w:szCs w:val="18"/>
                      <w:highlight w:val="none"/>
                      <w:lang w:val="en-US" w:eastAsia="zh-CN"/>
                    </w:rPr>
                    <w:t>风炉房内，用于贮存生物质燃料，最大存储30t。燃生物质</w:t>
                  </w:r>
                  <w:r>
                    <w:rPr>
                      <w:rFonts w:hint="default"/>
                      <w:color w:val="auto"/>
                      <w:sz w:val="18"/>
                      <w:szCs w:val="18"/>
                      <w:highlight w:val="none"/>
                      <w:lang w:val="en-US" w:eastAsia="zh-CN"/>
                    </w:rPr>
                    <w:t>燃料</w:t>
                  </w:r>
                  <w:r>
                    <w:rPr>
                      <w:rFonts w:hint="eastAsia"/>
                      <w:color w:val="auto"/>
                      <w:sz w:val="18"/>
                      <w:szCs w:val="18"/>
                      <w:highlight w:val="none"/>
                      <w:lang w:val="en-US" w:eastAsia="zh-CN"/>
                    </w:rPr>
                    <w:t>9272.6</w:t>
                  </w:r>
                  <w:r>
                    <w:rPr>
                      <w:rFonts w:hint="default"/>
                      <w:color w:val="auto"/>
                      <w:sz w:val="18"/>
                      <w:szCs w:val="18"/>
                      <w:highlight w:val="none"/>
                      <w:lang w:val="en-US" w:eastAsia="zh-CN"/>
                    </w:rPr>
                    <w:t>t/</w:t>
                  </w:r>
                  <w:r>
                    <w:rPr>
                      <w:rFonts w:hint="eastAsia"/>
                      <w:color w:val="auto"/>
                      <w:sz w:val="18"/>
                      <w:szCs w:val="18"/>
                      <w:highlight w:val="none"/>
                      <w:lang w:val="en-US" w:eastAsia="zh-CN"/>
                    </w:rPr>
                    <w:t>a。</w:t>
                  </w:r>
                </w:p>
              </w:tc>
              <w:tc>
                <w:tcPr>
                  <w:tcW w:w="548" w:type="pct"/>
                  <w:noWrap w:val="0"/>
                  <w:vAlign w:val="center"/>
                </w:tcPr>
                <w:p w14:paraId="2EE334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5A71E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3D5E63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2C0838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sz w:val="18"/>
                      <w:szCs w:val="18"/>
                      <w:highlight w:val="none"/>
                      <w:lang w:val="en-US" w:eastAsia="zh-CN"/>
                    </w:rPr>
                  </w:pPr>
                  <w:r>
                    <w:rPr>
                      <w:rFonts w:hint="eastAsia" w:ascii="Times New Roman" w:hAnsi="Times New Roman" w:eastAsia="宋体"/>
                      <w:snapToGrid w:val="0"/>
                      <w:color w:val="auto"/>
                      <w:kern w:val="0"/>
                      <w:sz w:val="18"/>
                      <w:szCs w:val="18"/>
                      <w:highlight w:val="none"/>
                      <w:lang w:eastAsia="zh-CN"/>
                    </w:rPr>
                    <w:t>灰</w:t>
                  </w:r>
                  <w:r>
                    <w:rPr>
                      <w:rFonts w:hint="eastAsia" w:ascii="Times New Roman" w:hAnsi="Times New Roman" w:eastAsia="宋体"/>
                      <w:snapToGrid w:val="0"/>
                      <w:color w:val="auto"/>
                      <w:kern w:val="0"/>
                      <w:sz w:val="18"/>
                      <w:szCs w:val="18"/>
                      <w:highlight w:val="none"/>
                    </w:rPr>
                    <w:t>渣</w:t>
                  </w:r>
                  <w:r>
                    <w:rPr>
                      <w:rFonts w:hint="eastAsia"/>
                      <w:snapToGrid w:val="0"/>
                      <w:color w:val="auto"/>
                      <w:kern w:val="0"/>
                      <w:sz w:val="18"/>
                      <w:szCs w:val="18"/>
                      <w:highlight w:val="none"/>
                      <w:lang w:val="en-US" w:eastAsia="zh-CN"/>
                    </w:rPr>
                    <w:t>间</w:t>
                  </w:r>
                </w:p>
              </w:tc>
              <w:tc>
                <w:tcPr>
                  <w:tcW w:w="3324" w:type="pct"/>
                  <w:noWrap w:val="0"/>
                  <w:vAlign w:val="center"/>
                </w:tcPr>
                <w:p w14:paraId="71C9E0A6">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宋体" w:hAnsi="宋体" w:eastAsia="宋体" w:cs="宋体"/>
                      <w:bCs/>
                      <w:color w:val="auto"/>
                      <w:kern w:val="0"/>
                      <w:sz w:val="18"/>
                      <w:szCs w:val="18"/>
                      <w:highlight w:val="none"/>
                      <w:lang w:val="en-US" w:eastAsia="zh-CN"/>
                    </w:rPr>
                    <w:t>热风炉房</w:t>
                  </w:r>
                  <w:r>
                    <w:rPr>
                      <w:rFonts w:hint="eastAsia" w:cs="Times New Roman"/>
                      <w:color w:val="auto"/>
                      <w:sz w:val="18"/>
                      <w:szCs w:val="18"/>
                      <w:highlight w:val="none"/>
                      <w:lang w:val="en-US" w:eastAsia="zh-CN"/>
                    </w:rPr>
                    <w:t>内设一个密闭灰渣间，地面采取水泥硬化，</w:t>
                  </w:r>
                  <w:r>
                    <w:rPr>
                      <w:rFonts w:hint="eastAsia" w:ascii="Times New Roman" w:hAnsi="Times New Roman" w:eastAsia="宋体" w:cs="Times New Roman"/>
                      <w:snapToGrid w:val="0"/>
                      <w:color w:val="auto"/>
                      <w:kern w:val="0"/>
                      <w:sz w:val="18"/>
                      <w:szCs w:val="18"/>
                      <w:highlight w:val="none"/>
                      <w:lang w:eastAsia="zh-CN"/>
                    </w:rPr>
                    <w:t>储存能力</w:t>
                  </w:r>
                  <w:r>
                    <w:rPr>
                      <w:rFonts w:hint="eastAsia" w:ascii="Times New Roman" w:hAnsi="Times New Roman" w:eastAsia="宋体" w:cs="Times New Roman"/>
                      <w:snapToGrid w:val="0"/>
                      <w:color w:val="auto"/>
                      <w:kern w:val="0"/>
                      <w:sz w:val="18"/>
                      <w:szCs w:val="18"/>
                      <w:highlight w:val="none"/>
                      <w:lang w:val="en-US" w:eastAsia="zh-CN"/>
                    </w:rPr>
                    <w:t>20t，</w:t>
                  </w:r>
                  <w:r>
                    <w:rPr>
                      <w:rFonts w:hint="eastAsia" w:cs="Times New Roman"/>
                      <w:color w:val="auto"/>
                      <w:sz w:val="18"/>
                      <w:szCs w:val="18"/>
                      <w:highlight w:val="none"/>
                      <w:lang w:val="en-US" w:eastAsia="zh-CN"/>
                    </w:rPr>
                    <w:t>热风炉灰渣及除尘器收尘灰存储于灰渣间，每10天清运1次，不在厂区长期储存，外售综合利用</w:t>
                  </w:r>
                  <w:r>
                    <w:rPr>
                      <w:rFonts w:hint="eastAsia" w:ascii="Times New Roman" w:hAnsi="Times New Roman" w:eastAsia="宋体" w:cs="Times New Roman"/>
                      <w:snapToGrid w:val="0"/>
                      <w:color w:val="auto"/>
                      <w:kern w:val="0"/>
                      <w:sz w:val="18"/>
                      <w:szCs w:val="18"/>
                      <w:highlight w:val="none"/>
                      <w:lang w:val="en-US" w:eastAsia="zh-CN"/>
                    </w:rPr>
                    <w:t>。</w:t>
                  </w:r>
                </w:p>
              </w:tc>
              <w:tc>
                <w:tcPr>
                  <w:tcW w:w="548" w:type="pct"/>
                  <w:noWrap w:val="0"/>
                  <w:vAlign w:val="center"/>
                </w:tcPr>
                <w:p w14:paraId="3A2502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78C81B8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noWrap w:val="0"/>
                  <w:vAlign w:val="center"/>
                </w:tcPr>
                <w:p w14:paraId="65D522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公用工程</w:t>
                  </w:r>
                </w:p>
              </w:tc>
              <w:tc>
                <w:tcPr>
                  <w:tcW w:w="716" w:type="pct"/>
                  <w:noWrap w:val="0"/>
                  <w:vAlign w:val="center"/>
                </w:tcPr>
                <w:p w14:paraId="20351A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default"/>
                      <w:color w:val="auto"/>
                      <w:sz w:val="18"/>
                      <w:szCs w:val="18"/>
                      <w:highlight w:val="none"/>
                    </w:rPr>
                    <w:t>供</w:t>
                  </w:r>
                  <w:r>
                    <w:rPr>
                      <w:rFonts w:hint="eastAsia"/>
                      <w:color w:val="auto"/>
                      <w:sz w:val="18"/>
                      <w:szCs w:val="18"/>
                      <w:highlight w:val="none"/>
                      <w:lang w:val="en-US" w:eastAsia="zh-CN"/>
                    </w:rPr>
                    <w:t>水</w:t>
                  </w:r>
                </w:p>
              </w:tc>
              <w:tc>
                <w:tcPr>
                  <w:tcW w:w="3324" w:type="pct"/>
                  <w:noWrap w:val="0"/>
                  <w:vAlign w:val="center"/>
                </w:tcPr>
                <w:p w14:paraId="5415F5DB">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color w:val="auto"/>
                      <w:sz w:val="18"/>
                      <w:szCs w:val="18"/>
                      <w:highlight w:val="none"/>
                      <w:lang w:val="en-US"/>
                    </w:rPr>
                  </w:pPr>
                  <w:r>
                    <w:rPr>
                      <w:rFonts w:hint="default" w:ascii="Times New Roman" w:hAnsi="Times New Roman" w:cs="Times New Roman"/>
                      <w:color w:val="auto"/>
                      <w:sz w:val="18"/>
                      <w:szCs w:val="18"/>
                      <w:highlight w:val="none"/>
                    </w:rPr>
                    <w:t>本项目用水</w:t>
                  </w:r>
                  <w:r>
                    <w:rPr>
                      <w:rFonts w:hint="default" w:ascii="Times New Roman" w:hAnsi="Times New Roman" w:cs="Times New Roman"/>
                      <w:color w:val="auto"/>
                      <w:sz w:val="18"/>
                      <w:szCs w:val="18"/>
                      <w:highlight w:val="none"/>
                      <w:lang w:eastAsia="zh-CN"/>
                    </w:rPr>
                    <w:t>由</w:t>
                  </w:r>
                  <w:r>
                    <w:rPr>
                      <w:rFonts w:hint="eastAsia" w:cs="Times New Roman"/>
                      <w:color w:val="auto"/>
                      <w:sz w:val="18"/>
                      <w:szCs w:val="18"/>
                      <w:highlight w:val="none"/>
                      <w:lang w:val="en-US" w:eastAsia="zh-CN"/>
                    </w:rPr>
                    <w:t>厂区外购</w:t>
                  </w:r>
                  <w:r>
                    <w:rPr>
                      <w:rFonts w:hint="default" w:ascii="Times New Roman" w:hAnsi="Times New Roman" w:cs="Times New Roman"/>
                      <w:color w:val="auto"/>
                      <w:sz w:val="18"/>
                      <w:szCs w:val="18"/>
                      <w:highlight w:val="none"/>
                      <w:lang w:eastAsia="zh-CN"/>
                    </w:rPr>
                    <w:t>，主要为生活用水</w:t>
                  </w:r>
                  <w:r>
                    <w:rPr>
                      <w:rFonts w:hint="eastAsia" w:cs="Times New Roman"/>
                      <w:color w:val="auto"/>
                      <w:sz w:val="18"/>
                      <w:szCs w:val="18"/>
                      <w:highlight w:val="none"/>
                      <w:lang w:eastAsia="zh-CN"/>
                    </w:rPr>
                    <w:t>。</w:t>
                  </w:r>
                </w:p>
              </w:tc>
              <w:tc>
                <w:tcPr>
                  <w:tcW w:w="548" w:type="pct"/>
                  <w:noWrap w:val="0"/>
                  <w:vAlign w:val="center"/>
                </w:tcPr>
                <w:p w14:paraId="6E69C2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5FD5DD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2C7BA0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807BD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lang w:val="en-US" w:eastAsia="zh-CN"/>
                    </w:rPr>
                    <w:t>排</w:t>
                  </w:r>
                  <w:r>
                    <w:rPr>
                      <w:rFonts w:hint="default"/>
                      <w:color w:val="auto"/>
                      <w:sz w:val="18"/>
                      <w:szCs w:val="18"/>
                      <w:highlight w:val="none"/>
                    </w:rPr>
                    <w:t>水</w:t>
                  </w:r>
                </w:p>
              </w:tc>
              <w:tc>
                <w:tcPr>
                  <w:tcW w:w="3324" w:type="pct"/>
                  <w:noWrap w:val="0"/>
                  <w:vAlign w:val="center"/>
                </w:tcPr>
                <w:p w14:paraId="57F3F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eastAsia="zh-CN"/>
                    </w:rPr>
                    <w:t>生活污水排入</w:t>
                  </w:r>
                  <w:r>
                    <w:rPr>
                      <w:rFonts w:hint="eastAsia" w:cs="Times New Roman"/>
                      <w:color w:val="auto"/>
                      <w:kern w:val="0"/>
                      <w:sz w:val="18"/>
                      <w:szCs w:val="18"/>
                      <w:highlight w:val="none"/>
                      <w:lang w:val="en-US" w:eastAsia="zh-CN"/>
                    </w:rPr>
                    <w:t>防渗旱厕</w:t>
                  </w:r>
                  <w:r>
                    <w:rPr>
                      <w:rFonts w:hint="default" w:ascii="Times New Roman" w:hAnsi="Times New Roman" w:cs="Times New Roman"/>
                      <w:color w:val="auto"/>
                      <w:sz w:val="18"/>
                      <w:szCs w:val="18"/>
                      <w:highlight w:val="none"/>
                      <w:lang w:eastAsia="zh-CN"/>
                    </w:rPr>
                    <w:t>，定期清掏，外运堆肥</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不外排</w:t>
                  </w:r>
                  <w:r>
                    <w:rPr>
                      <w:rFonts w:hint="eastAsia" w:cs="Times New Roman"/>
                      <w:color w:val="auto"/>
                      <w:spacing w:val="0"/>
                      <w:sz w:val="18"/>
                      <w:szCs w:val="18"/>
                      <w:highlight w:val="none"/>
                      <w:lang w:val="en-US" w:eastAsia="zh-CN"/>
                    </w:rPr>
                    <w:t>。</w:t>
                  </w:r>
                </w:p>
              </w:tc>
              <w:tc>
                <w:tcPr>
                  <w:tcW w:w="548" w:type="pct"/>
                  <w:noWrap w:val="0"/>
                  <w:vAlign w:val="center"/>
                </w:tcPr>
                <w:p w14:paraId="382EDF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39FC04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081490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46FCAB93">
                  <w:pPr>
                    <w:pStyle w:val="1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供电</w:t>
                  </w:r>
                </w:p>
              </w:tc>
              <w:tc>
                <w:tcPr>
                  <w:tcW w:w="3324" w:type="pct"/>
                  <w:noWrap w:val="0"/>
                  <w:vAlign w:val="center"/>
                </w:tcPr>
                <w:p w14:paraId="441C29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color w:val="auto"/>
                      <w:sz w:val="18"/>
                      <w:szCs w:val="18"/>
                      <w:highlight w:val="none"/>
                      <w:lang w:val="en-US" w:eastAsia="zh-CN"/>
                    </w:rPr>
                  </w:pPr>
                  <w:r>
                    <w:rPr>
                      <w:rFonts w:hint="default" w:ascii="Times New Roman" w:hAnsi="Times New Roman" w:cs="Times New Roman"/>
                      <w:bCs/>
                      <w:color w:val="auto"/>
                      <w:sz w:val="18"/>
                      <w:szCs w:val="18"/>
                      <w:highlight w:val="none"/>
                    </w:rPr>
                    <w:t>由</w:t>
                  </w:r>
                  <w:r>
                    <w:rPr>
                      <w:rFonts w:hint="default" w:ascii="Times New Roman" w:hAnsi="Times New Roman" w:cs="Times New Roman"/>
                      <w:color w:val="auto"/>
                      <w:sz w:val="18"/>
                      <w:szCs w:val="18"/>
                      <w:highlight w:val="none"/>
                    </w:rPr>
                    <w:t>当地电业局供给</w:t>
                  </w:r>
                </w:p>
              </w:tc>
              <w:tc>
                <w:tcPr>
                  <w:tcW w:w="548" w:type="pct"/>
                  <w:noWrap w:val="0"/>
                  <w:vAlign w:val="center"/>
                </w:tcPr>
                <w:p w14:paraId="38CA0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5041FF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00EBB6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85D3FAD">
                  <w:pPr>
                    <w:pStyle w:val="1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rPr>
                    <w:t>供热</w:t>
                  </w:r>
                  <w:r>
                    <w:rPr>
                      <w:rFonts w:hint="eastAsia"/>
                      <w:color w:val="auto"/>
                      <w:sz w:val="18"/>
                      <w:szCs w:val="18"/>
                      <w:highlight w:val="none"/>
                      <w:lang w:val="en-US" w:eastAsia="zh-CN"/>
                    </w:rPr>
                    <w:t>供暖</w:t>
                  </w:r>
                </w:p>
              </w:tc>
              <w:tc>
                <w:tcPr>
                  <w:tcW w:w="3324" w:type="pct"/>
                  <w:noWrap w:val="0"/>
                  <w:vAlign w:val="center"/>
                </w:tcPr>
                <w:p w14:paraId="4B3588B8">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项目生产用热由热风炉提供，</w:t>
                  </w:r>
                  <w:r>
                    <w:rPr>
                      <w:rFonts w:hint="eastAsia" w:cs="Times New Roman"/>
                      <w:color w:val="auto"/>
                      <w:sz w:val="18"/>
                      <w:szCs w:val="18"/>
                      <w:highlight w:val="none"/>
                      <w:lang w:val="en-US" w:eastAsia="zh-CN"/>
                    </w:rPr>
                    <w:t>供暖</w:t>
                  </w:r>
                  <w:r>
                    <w:rPr>
                      <w:rFonts w:hint="default" w:ascii="Times New Roman" w:hAnsi="Times New Roman" w:eastAsia="宋体" w:cs="Times New Roman"/>
                      <w:color w:val="auto"/>
                      <w:sz w:val="18"/>
                      <w:szCs w:val="18"/>
                      <w:highlight w:val="none"/>
                      <w:lang w:eastAsia="zh-CN"/>
                    </w:rPr>
                    <w:t>使用电</w:t>
                  </w:r>
                  <w:r>
                    <w:rPr>
                      <w:rFonts w:hint="eastAsia" w:cs="Times New Roman"/>
                      <w:color w:val="auto"/>
                      <w:sz w:val="18"/>
                      <w:szCs w:val="18"/>
                      <w:highlight w:val="none"/>
                      <w:lang w:val="en-US" w:eastAsia="zh-CN"/>
                    </w:rPr>
                    <w:t>取暖。</w:t>
                  </w:r>
                </w:p>
              </w:tc>
              <w:tc>
                <w:tcPr>
                  <w:tcW w:w="548" w:type="pct"/>
                  <w:noWrap w:val="0"/>
                  <w:vAlign w:val="center"/>
                </w:tcPr>
                <w:p w14:paraId="518CBB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14:paraId="69FD43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noWrap w:val="0"/>
                  <w:vAlign w:val="center"/>
                </w:tcPr>
                <w:p w14:paraId="344FFA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环保工程</w:t>
                  </w:r>
                </w:p>
              </w:tc>
              <w:tc>
                <w:tcPr>
                  <w:tcW w:w="716" w:type="pct"/>
                  <w:vMerge w:val="restart"/>
                  <w:noWrap w:val="0"/>
                  <w:vAlign w:val="center"/>
                </w:tcPr>
                <w:p w14:paraId="55CB1F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default"/>
                      <w:color w:val="auto"/>
                      <w:sz w:val="18"/>
                      <w:szCs w:val="18"/>
                      <w:highlight w:val="none"/>
                    </w:rPr>
                    <w:t>废</w:t>
                  </w:r>
                  <w:r>
                    <w:rPr>
                      <w:rFonts w:hint="eastAsia"/>
                      <w:color w:val="auto"/>
                      <w:sz w:val="18"/>
                      <w:szCs w:val="18"/>
                      <w:highlight w:val="none"/>
                      <w:lang w:val="en-US" w:eastAsia="zh-CN"/>
                    </w:rPr>
                    <w:t>气</w:t>
                  </w:r>
                </w:p>
              </w:tc>
              <w:tc>
                <w:tcPr>
                  <w:tcW w:w="3324" w:type="pct"/>
                  <w:noWrap w:val="0"/>
                  <w:vAlign w:val="center"/>
                </w:tcPr>
                <w:p w14:paraId="74B457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auto"/>
                      <w:sz w:val="18"/>
                      <w:szCs w:val="18"/>
                      <w:highlight w:val="none"/>
                    </w:rPr>
                  </w:pPr>
                  <w:r>
                    <w:rPr>
                      <w:rFonts w:hint="default" w:ascii="Times New Roman" w:hAnsi="Times New Roman" w:cs="Times New Roman"/>
                      <w:color w:val="auto"/>
                      <w:sz w:val="18"/>
                      <w:szCs w:val="18"/>
                      <w:highlight w:val="none"/>
                      <w:lang w:eastAsia="zh-CN"/>
                    </w:rPr>
                    <w:t>热风炉烟气：本项目</w:t>
                  </w:r>
                  <w:r>
                    <w:rPr>
                      <w:rFonts w:hint="default" w:ascii="Times New Roman" w:hAnsi="Times New Roman" w:cs="Times New Roman"/>
                      <w:color w:val="auto"/>
                      <w:sz w:val="18"/>
                      <w:szCs w:val="18"/>
                      <w:highlight w:val="none"/>
                    </w:rPr>
                    <w:t>热风炉</w:t>
                  </w:r>
                  <w:r>
                    <w:rPr>
                      <w:rFonts w:hint="default" w:ascii="Times New Roman" w:hAnsi="Times New Roman" w:cs="Times New Roman"/>
                      <w:color w:val="auto"/>
                      <w:sz w:val="18"/>
                      <w:szCs w:val="18"/>
                      <w:highlight w:val="none"/>
                      <w:lang w:eastAsia="zh-CN"/>
                    </w:rPr>
                    <w:t>烟</w:t>
                  </w:r>
                  <w:r>
                    <w:rPr>
                      <w:rFonts w:hint="default" w:ascii="Times New Roman" w:hAnsi="Times New Roman" w:cs="Times New Roman"/>
                      <w:color w:val="auto"/>
                      <w:sz w:val="18"/>
                      <w:szCs w:val="18"/>
                      <w:highlight w:val="none"/>
                    </w:rPr>
                    <w:t>气</w:t>
                  </w:r>
                  <w:r>
                    <w:rPr>
                      <w:rFonts w:hint="default" w:ascii="Times New Roman" w:hAnsi="Times New Roman" w:cs="Times New Roman"/>
                      <w:color w:val="auto"/>
                      <w:sz w:val="18"/>
                      <w:szCs w:val="18"/>
                      <w:highlight w:val="none"/>
                      <w:lang w:eastAsia="zh-CN"/>
                    </w:rPr>
                    <w:t>通过</w:t>
                  </w:r>
                  <w:r>
                    <w:rPr>
                      <w:rFonts w:hint="eastAsia" w:ascii="Times New Roman" w:hAnsi="Times New Roman" w:cs="Times New Roman"/>
                      <w:color w:val="auto"/>
                      <w:sz w:val="18"/>
                      <w:szCs w:val="18"/>
                      <w:highlight w:val="none"/>
                      <w:lang w:eastAsia="zh-CN"/>
                    </w:rPr>
                    <w:t>布袋除尘器</w:t>
                  </w:r>
                  <w:r>
                    <w:rPr>
                      <w:rFonts w:hint="default" w:ascii="Times New Roman" w:hAnsi="Times New Roman" w:cs="Times New Roman"/>
                      <w:color w:val="auto"/>
                      <w:sz w:val="18"/>
                      <w:szCs w:val="18"/>
                      <w:highlight w:val="none"/>
                      <w:lang w:val="en-US" w:eastAsia="zh-CN"/>
                    </w:rPr>
                    <w:t>处理</w:t>
                  </w:r>
                  <w:r>
                    <w:rPr>
                      <w:rFonts w:hint="default" w:ascii="Times New Roman" w:hAnsi="Times New Roman" w:cs="Times New Roman"/>
                      <w:color w:val="auto"/>
                      <w:sz w:val="18"/>
                      <w:szCs w:val="18"/>
                      <w:highlight w:val="none"/>
                      <w:lang w:eastAsia="zh-CN"/>
                    </w:rPr>
                    <w:t>后经</w:t>
                  </w:r>
                  <w:r>
                    <w:rPr>
                      <w:rFonts w:hint="eastAsia" w:cs="Times New Roman"/>
                      <w:color w:val="auto"/>
                      <w:sz w:val="18"/>
                      <w:szCs w:val="18"/>
                      <w:highlight w:val="none"/>
                      <w:lang w:val="en-US" w:eastAsia="zh-CN"/>
                    </w:rPr>
                    <w:t>15</w:t>
                  </w:r>
                  <w:r>
                    <w:rPr>
                      <w:rFonts w:hint="default" w:ascii="Times New Roman" w:hAnsi="Times New Roman" w:cs="Times New Roman"/>
                      <w:color w:val="auto"/>
                      <w:sz w:val="18"/>
                      <w:szCs w:val="18"/>
                      <w:highlight w:val="none"/>
                      <w:lang w:val="en-US" w:eastAsia="zh-CN"/>
                    </w:rPr>
                    <w:t>m</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DA001）</w:t>
                  </w:r>
                  <w:r>
                    <w:rPr>
                      <w:rFonts w:hint="default" w:ascii="Times New Roman" w:hAnsi="Times New Roman" w:cs="Times New Roman"/>
                      <w:color w:val="auto"/>
                      <w:sz w:val="18"/>
                      <w:szCs w:val="18"/>
                      <w:highlight w:val="none"/>
                      <w:lang w:eastAsia="zh-CN"/>
                    </w:rPr>
                    <w:t>排放，SO</w:t>
                  </w:r>
                  <w:r>
                    <w:rPr>
                      <w:rFonts w:hint="default" w:ascii="Times New Roman" w:hAnsi="Times New Roman" w:cs="Times New Roman"/>
                      <w:color w:val="auto"/>
                      <w:sz w:val="18"/>
                      <w:szCs w:val="18"/>
                      <w:highlight w:val="none"/>
                      <w:vertAlign w:val="subscript"/>
                      <w:lang w:eastAsia="zh-CN"/>
                    </w:rPr>
                    <w:t>2</w:t>
                  </w:r>
                  <w:r>
                    <w:rPr>
                      <w:rFonts w:hint="default" w:ascii="Times New Roman" w:hAnsi="Times New Roman" w:cs="Times New Roman"/>
                      <w:color w:val="auto"/>
                      <w:sz w:val="18"/>
                      <w:szCs w:val="18"/>
                      <w:highlight w:val="none"/>
                      <w:lang w:eastAsia="zh-CN"/>
                    </w:rPr>
                    <w:t>排放浓度</w:t>
                  </w:r>
                  <w:r>
                    <w:rPr>
                      <w:rFonts w:hint="eastAsia" w:cs="Times New Roman"/>
                      <w:color w:val="auto"/>
                      <w:sz w:val="18"/>
                      <w:szCs w:val="18"/>
                      <w:highlight w:val="none"/>
                      <w:lang w:val="en-US" w:eastAsia="zh-CN"/>
                    </w:rPr>
                    <w:t>符合</w:t>
                  </w:r>
                  <w:r>
                    <w:rPr>
                      <w:rFonts w:hint="default" w:ascii="Times New Roman" w:hAnsi="Times New Roman" w:cs="Times New Roman"/>
                      <w:color w:val="auto"/>
                      <w:sz w:val="18"/>
                      <w:szCs w:val="18"/>
                      <w:highlight w:val="none"/>
                      <w:lang w:eastAsia="zh-CN"/>
                    </w:rPr>
                    <w:t>《工业炉窑大气污染物排放标准》（GB9078-1996）中的表4中的二级标准，</w:t>
                  </w:r>
                  <w:r>
                    <w:rPr>
                      <w:rFonts w:hint="eastAsia" w:cs="Times New Roman"/>
                      <w:color w:val="auto"/>
                      <w:sz w:val="18"/>
                      <w:szCs w:val="18"/>
                      <w:highlight w:val="none"/>
                      <w:lang w:eastAsia="zh-CN"/>
                    </w:rPr>
                    <w:t>颗粒物排放浓度及烟气黑度符合</w:t>
                  </w:r>
                  <w:r>
                    <w:rPr>
                      <w:rFonts w:hint="default" w:ascii="Times New Roman" w:hAnsi="Times New Roman" w:cs="Times New Roman"/>
                      <w:color w:val="auto"/>
                      <w:sz w:val="18"/>
                      <w:szCs w:val="18"/>
                      <w:highlight w:val="none"/>
                      <w:lang w:eastAsia="zh-CN"/>
                    </w:rPr>
                    <w:t>《工业炉窑大气污染物排放标准》（GB9078-1996）中的表2中的二级标准</w:t>
                  </w:r>
                  <w:r>
                    <w:rPr>
                      <w:rFonts w:hint="eastAsia" w:cs="Times New Roman"/>
                      <w:color w:val="auto"/>
                      <w:sz w:val="18"/>
                      <w:szCs w:val="18"/>
                      <w:highlight w:val="none"/>
                      <w:lang w:eastAsia="zh-CN"/>
                    </w:rPr>
                    <w:t>。</w:t>
                  </w:r>
                </w:p>
              </w:tc>
              <w:tc>
                <w:tcPr>
                  <w:tcW w:w="548" w:type="pct"/>
                  <w:noWrap w:val="0"/>
                  <w:vAlign w:val="center"/>
                </w:tcPr>
                <w:p w14:paraId="3144E2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新建</w:t>
                  </w:r>
                </w:p>
              </w:tc>
            </w:tr>
            <w:tr w14:paraId="3C54A6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37E8E3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vMerge w:val="continue"/>
                  <w:noWrap w:val="0"/>
                  <w:vAlign w:val="center"/>
                </w:tcPr>
                <w:p w14:paraId="77C34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p>
              </w:tc>
              <w:tc>
                <w:tcPr>
                  <w:tcW w:w="3324" w:type="pct"/>
                  <w:noWrap w:val="0"/>
                  <w:vAlign w:val="center"/>
                </w:tcPr>
                <w:p w14:paraId="24BEE3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原料烘干</w:t>
                  </w:r>
                  <w:r>
                    <w:rPr>
                      <w:rFonts w:hint="default" w:ascii="Times New Roman" w:hAnsi="Times New Roman" w:cs="Times New Roman"/>
                      <w:color w:val="auto"/>
                      <w:sz w:val="18"/>
                      <w:szCs w:val="18"/>
                      <w:highlight w:val="none"/>
                      <w:lang w:eastAsia="zh-CN"/>
                    </w:rPr>
                    <w:t>、运输</w:t>
                  </w:r>
                  <w:r>
                    <w:rPr>
                      <w:rFonts w:hint="eastAsia" w:cs="Times New Roman"/>
                      <w:color w:val="auto"/>
                      <w:sz w:val="18"/>
                      <w:szCs w:val="18"/>
                      <w:highlight w:val="none"/>
                      <w:lang w:val="en-US" w:eastAsia="zh-CN"/>
                    </w:rPr>
                    <w:t>及筛分</w:t>
                  </w:r>
                  <w:r>
                    <w:rPr>
                      <w:rFonts w:hint="default" w:ascii="Times New Roman" w:hAnsi="Times New Roman" w:cs="Times New Roman"/>
                      <w:color w:val="auto"/>
                      <w:sz w:val="18"/>
                      <w:szCs w:val="18"/>
                      <w:highlight w:val="none"/>
                    </w:rPr>
                    <w:t>过程会有</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产生，此部分</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以无组织的形式排放。装卸工段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r>
                    <w:rPr>
                      <w:rFonts w:hint="default" w:ascii="Times New Roman" w:hAnsi="Times New Roman" w:cs="Times New Roman"/>
                      <w:color w:val="auto"/>
                      <w:sz w:val="18"/>
                      <w:szCs w:val="18"/>
                      <w:highlight w:val="none"/>
                      <w:lang w:eastAsia="zh-CN"/>
                    </w:rPr>
                    <w:t>。燃料库</w:t>
                  </w:r>
                  <w:r>
                    <w:rPr>
                      <w:rFonts w:hint="eastAsia" w:cs="Times New Roman"/>
                      <w:color w:val="auto"/>
                      <w:sz w:val="18"/>
                      <w:szCs w:val="18"/>
                      <w:highlight w:val="none"/>
                      <w:lang w:eastAsia="zh-CN"/>
                    </w:rPr>
                    <w:t>、</w:t>
                  </w:r>
                  <w:r>
                    <w:rPr>
                      <w:rFonts w:hint="eastAsia" w:cs="Times New Roman"/>
                      <w:bCs/>
                      <w:color w:val="auto"/>
                      <w:kern w:val="0"/>
                      <w:sz w:val="18"/>
                      <w:szCs w:val="18"/>
                      <w:highlight w:val="none"/>
                      <w:lang w:val="en-US" w:eastAsia="zh-CN"/>
                    </w:rPr>
                    <w:t>热风炉房</w:t>
                  </w:r>
                  <w:r>
                    <w:rPr>
                      <w:rFonts w:hint="default" w:ascii="Times New Roman" w:hAnsi="Times New Roman" w:cs="Times New Roman"/>
                      <w:color w:val="auto"/>
                      <w:sz w:val="18"/>
                      <w:szCs w:val="18"/>
                      <w:highlight w:val="none"/>
                      <w:lang w:eastAsia="zh-CN"/>
                    </w:rPr>
                    <w:t>密闭并定期洒水抑尘，减少粉尘扩散，</w:t>
                  </w:r>
                  <w:r>
                    <w:rPr>
                      <w:rFonts w:hint="default" w:ascii="Times New Roman" w:hAnsi="Times New Roman" w:cs="Times New Roman"/>
                      <w:color w:val="auto"/>
                      <w:sz w:val="18"/>
                      <w:szCs w:val="18"/>
                      <w:highlight w:val="none"/>
                    </w:rPr>
                    <w:t>厂界颗粒物排放浓度符合《大气污染物综合排放标准》（GB16297-1996）表2无组织排放浓度限值要求</w:t>
                  </w:r>
                  <w:r>
                    <w:rPr>
                      <w:rFonts w:hint="eastAsia" w:cs="Times New Roman"/>
                      <w:color w:val="auto"/>
                      <w:sz w:val="18"/>
                      <w:szCs w:val="18"/>
                      <w:highlight w:val="none"/>
                      <w:lang w:eastAsia="zh-CN"/>
                    </w:rPr>
                    <w:t>。</w:t>
                  </w:r>
                </w:p>
              </w:tc>
              <w:tc>
                <w:tcPr>
                  <w:tcW w:w="548" w:type="pct"/>
                  <w:noWrap w:val="0"/>
                  <w:vAlign w:val="center"/>
                </w:tcPr>
                <w:p w14:paraId="425F0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023CC6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52C718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15E90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废</w:t>
                  </w:r>
                  <w:r>
                    <w:rPr>
                      <w:rFonts w:hint="eastAsia"/>
                      <w:color w:val="auto"/>
                      <w:sz w:val="18"/>
                      <w:szCs w:val="18"/>
                      <w:highlight w:val="none"/>
                      <w:lang w:val="en-US" w:eastAsia="zh-CN"/>
                    </w:rPr>
                    <w:t>水</w:t>
                  </w:r>
                </w:p>
              </w:tc>
              <w:tc>
                <w:tcPr>
                  <w:tcW w:w="3324" w:type="pct"/>
                  <w:noWrap w:val="0"/>
                  <w:vAlign w:val="center"/>
                </w:tcPr>
                <w:p w14:paraId="0B6CE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eastAsia="宋体"/>
                      <w:color w:val="auto"/>
                      <w:sz w:val="18"/>
                      <w:szCs w:val="18"/>
                      <w:highlight w:val="none"/>
                      <w:lang w:val="en-US" w:eastAsia="zh-CN"/>
                    </w:rPr>
                  </w:pPr>
                  <w:r>
                    <w:rPr>
                      <w:rFonts w:hint="eastAsia"/>
                      <w:bCs/>
                      <w:color w:val="auto"/>
                      <w:sz w:val="18"/>
                      <w:szCs w:val="18"/>
                    </w:rPr>
                    <w:t>本项目生产过程中无废水产生，</w:t>
                  </w:r>
                  <w:r>
                    <w:rPr>
                      <w:rFonts w:hint="default" w:ascii="Times New Roman" w:hAnsi="Times New Roman" w:cs="Times New Roman"/>
                      <w:color w:val="auto"/>
                      <w:sz w:val="18"/>
                      <w:szCs w:val="18"/>
                      <w:highlight w:val="none"/>
                      <w:lang w:eastAsia="zh-CN"/>
                    </w:rPr>
                    <w:t>生活污水排入</w:t>
                  </w:r>
                  <w:r>
                    <w:rPr>
                      <w:rFonts w:hint="eastAsia" w:cs="Times New Roman"/>
                      <w:color w:val="auto"/>
                      <w:kern w:val="0"/>
                      <w:sz w:val="18"/>
                      <w:szCs w:val="18"/>
                      <w:highlight w:val="none"/>
                      <w:lang w:val="en-US" w:eastAsia="zh-CN"/>
                    </w:rPr>
                    <w:t>防渗旱厕</w:t>
                  </w:r>
                  <w:r>
                    <w:rPr>
                      <w:rFonts w:hint="default" w:ascii="Times New Roman" w:hAnsi="Times New Roman" w:cs="Times New Roman"/>
                      <w:color w:val="auto"/>
                      <w:sz w:val="18"/>
                      <w:szCs w:val="18"/>
                      <w:highlight w:val="none"/>
                      <w:lang w:eastAsia="zh-CN"/>
                    </w:rPr>
                    <w:t>，定期清掏，外运堆肥</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不外排</w:t>
                  </w:r>
                  <w:r>
                    <w:rPr>
                      <w:rFonts w:hint="eastAsia" w:cs="Times New Roman"/>
                      <w:color w:val="auto"/>
                      <w:spacing w:val="0"/>
                      <w:sz w:val="18"/>
                      <w:szCs w:val="18"/>
                      <w:highlight w:val="none"/>
                      <w:lang w:val="en-US" w:eastAsia="zh-CN"/>
                    </w:rPr>
                    <w:t>。</w:t>
                  </w:r>
                </w:p>
              </w:tc>
              <w:tc>
                <w:tcPr>
                  <w:tcW w:w="548" w:type="pct"/>
                  <w:noWrap w:val="0"/>
                  <w:vAlign w:val="center"/>
                </w:tcPr>
                <w:p w14:paraId="69EF74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14:paraId="6E2EA9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6FBA3E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D2C28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default"/>
                      <w:color w:val="auto"/>
                      <w:sz w:val="18"/>
                      <w:szCs w:val="18"/>
                      <w:highlight w:val="none"/>
                    </w:rPr>
                    <w:t>噪声</w:t>
                  </w:r>
                </w:p>
              </w:tc>
              <w:tc>
                <w:tcPr>
                  <w:tcW w:w="3324" w:type="pct"/>
                  <w:noWrap w:val="0"/>
                  <w:vAlign w:val="center"/>
                </w:tcPr>
                <w:p w14:paraId="4DC2EECA">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both"/>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设备运行</w:t>
                  </w:r>
                  <w:r>
                    <w:rPr>
                      <w:rFonts w:hint="default" w:ascii="Times New Roman" w:hAnsi="Times New Roman" w:cs="Times New Roman"/>
                      <w:color w:val="auto"/>
                      <w:sz w:val="18"/>
                      <w:szCs w:val="18"/>
                      <w:highlight w:val="none"/>
                      <w:lang w:eastAsia="zh-CN"/>
                    </w:rPr>
                    <w:t>产生的噪声</w:t>
                  </w:r>
                  <w:r>
                    <w:rPr>
                      <w:rFonts w:hint="default" w:ascii="Times New Roman" w:hAnsi="Times New Roman" w:cs="Times New Roman"/>
                      <w:color w:val="auto"/>
                      <w:sz w:val="18"/>
                      <w:szCs w:val="18"/>
                      <w:highlight w:val="none"/>
                    </w:rPr>
                    <w:t>经</w:t>
                  </w: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安装消声器</w:t>
                  </w:r>
                  <w:r>
                    <w:rPr>
                      <w:rFonts w:hint="default" w:ascii="Times New Roman" w:hAnsi="Times New Roman" w:cs="Times New Roman"/>
                      <w:color w:val="auto"/>
                      <w:sz w:val="18"/>
                      <w:szCs w:val="18"/>
                      <w:highlight w:val="none"/>
                      <w:lang w:eastAsia="zh-CN"/>
                    </w:rPr>
                    <w:t>等措施处理</w:t>
                  </w:r>
                  <w:r>
                    <w:rPr>
                      <w:rFonts w:hint="default" w:ascii="Times New Roman" w:hAnsi="Times New Roman" w:cs="Times New Roman"/>
                      <w:color w:val="auto"/>
                      <w:sz w:val="18"/>
                      <w:szCs w:val="18"/>
                      <w:highlight w:val="none"/>
                    </w:rPr>
                    <w:t>后</w:t>
                  </w:r>
                  <w:r>
                    <w:rPr>
                      <w:rFonts w:hint="eastAsia" w:ascii="Times New Roman" w:hAnsi="Times New Roman" w:cs="Times New Roman"/>
                      <w:color w:val="auto"/>
                      <w:sz w:val="18"/>
                      <w:szCs w:val="18"/>
                      <w:highlight w:val="none"/>
                      <w:lang w:eastAsia="zh-CN"/>
                    </w:rPr>
                    <w:t>，厂界满足</w:t>
                  </w:r>
                  <w:r>
                    <w:rPr>
                      <w:rFonts w:hint="default" w:ascii="Times New Roman" w:hAnsi="Times New Roman" w:cs="Times New Roman"/>
                      <w:color w:val="auto"/>
                      <w:sz w:val="18"/>
                      <w:szCs w:val="18"/>
                      <w:highlight w:val="none"/>
                    </w:rPr>
                    <w:t>《工业企业厂界环境噪声排放标准》（GB12348-2008）中</w:t>
                  </w:r>
                  <w:r>
                    <w:rPr>
                      <w:rFonts w:hint="eastAsia" w:ascii="Times New Roman" w:hAnsi="Times New Roman" w:cs="Times New Roman"/>
                      <w:color w:val="auto"/>
                      <w:sz w:val="18"/>
                      <w:szCs w:val="18"/>
                      <w:highlight w:val="none"/>
                      <w:lang w:val="en-US" w:eastAsia="zh-CN"/>
                    </w:rPr>
                    <w:t>2</w:t>
                  </w:r>
                  <w:r>
                    <w:rPr>
                      <w:rFonts w:hint="eastAsia" w:cs="Times New Roman"/>
                      <w:color w:val="auto"/>
                      <w:sz w:val="18"/>
                      <w:szCs w:val="18"/>
                      <w:highlight w:val="none"/>
                      <w:lang w:val="en-US" w:eastAsia="zh-CN"/>
                    </w:rPr>
                    <w:t>类</w:t>
                  </w:r>
                  <w:r>
                    <w:rPr>
                      <w:rFonts w:hint="default" w:ascii="Times New Roman" w:hAnsi="Times New Roman" w:cs="Times New Roman"/>
                      <w:color w:val="auto"/>
                      <w:sz w:val="18"/>
                      <w:szCs w:val="18"/>
                      <w:highlight w:val="none"/>
                    </w:rPr>
                    <w:t>标准</w:t>
                  </w:r>
                  <w:r>
                    <w:rPr>
                      <w:rFonts w:hint="eastAsia" w:cs="Times New Roman"/>
                      <w:color w:val="auto"/>
                      <w:sz w:val="18"/>
                      <w:szCs w:val="18"/>
                      <w:highlight w:val="none"/>
                      <w:lang w:eastAsia="zh-CN"/>
                    </w:rPr>
                    <w:t>。</w:t>
                  </w:r>
                </w:p>
              </w:tc>
              <w:tc>
                <w:tcPr>
                  <w:tcW w:w="548" w:type="pct"/>
                  <w:noWrap w:val="0"/>
                  <w:vAlign w:val="center"/>
                </w:tcPr>
                <w:p w14:paraId="785A93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14:paraId="34DD72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noWrap w:val="0"/>
                  <w:vAlign w:val="center"/>
                </w:tcPr>
                <w:p w14:paraId="5E8A2F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701A51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固体废物</w:t>
                  </w:r>
                </w:p>
              </w:tc>
              <w:tc>
                <w:tcPr>
                  <w:tcW w:w="3324" w:type="pct"/>
                  <w:noWrap w:val="0"/>
                  <w:vAlign w:val="center"/>
                </w:tcPr>
                <w:p w14:paraId="08AA967E">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sz w:val="18"/>
                      <w:szCs w:val="18"/>
                      <w:highlight w:val="cyan"/>
                    </w:rPr>
                  </w:pPr>
                  <w:r>
                    <w:rPr>
                      <w:rFonts w:hint="default"/>
                      <w:color w:val="auto"/>
                      <w:sz w:val="18"/>
                      <w:szCs w:val="18"/>
                      <w:highlight w:val="none"/>
                    </w:rPr>
                    <w:t>本项目</w:t>
                  </w:r>
                  <w:r>
                    <w:rPr>
                      <w:rFonts w:hint="eastAsia"/>
                      <w:color w:val="auto"/>
                      <w:sz w:val="18"/>
                      <w:szCs w:val="18"/>
                      <w:highlight w:val="none"/>
                      <w:lang w:val="en-US" w:eastAsia="zh-CN"/>
                    </w:rPr>
                    <w:t>生活垃圾由市政环卫部门统一清运；热风炉</w:t>
                  </w:r>
                  <w:r>
                    <w:rPr>
                      <w:rFonts w:hint="eastAsia"/>
                      <w:color w:val="auto"/>
                      <w:sz w:val="18"/>
                      <w:szCs w:val="18"/>
                      <w:highlight w:val="none"/>
                      <w:lang w:eastAsia="zh-CN"/>
                    </w:rPr>
                    <w:t>灰渣</w:t>
                  </w:r>
                  <w:r>
                    <w:rPr>
                      <w:rFonts w:hint="eastAsia"/>
                      <w:color w:val="auto"/>
                      <w:sz w:val="18"/>
                      <w:szCs w:val="18"/>
                      <w:highlight w:val="none"/>
                      <w:lang w:val="en-US" w:eastAsia="zh-CN"/>
                    </w:rPr>
                    <w:t>及除尘器收尘灰</w:t>
                  </w: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存储于灰渣间，每10天清运1次，不在厂区长期储存，外售综合利用</w:t>
                  </w:r>
                  <w:r>
                    <w:rPr>
                      <w:rFonts w:hint="eastAsia" w:cs="Times New Roman"/>
                      <w:color w:val="auto"/>
                      <w:kern w:val="21"/>
                      <w:sz w:val="18"/>
                      <w:szCs w:val="18"/>
                      <w:highlight w:val="none"/>
                      <w:lang w:val="en-US" w:eastAsia="zh-CN"/>
                    </w:rPr>
                    <w:t>；</w:t>
                  </w:r>
                  <w:r>
                    <w:rPr>
                      <w:rFonts w:hint="eastAsia" w:ascii="宋体" w:hAnsi="宋体" w:cs="宋体"/>
                      <w:color w:val="auto"/>
                      <w:sz w:val="18"/>
                      <w:szCs w:val="18"/>
                      <w:highlight w:val="none"/>
                      <w:lang w:val="en-US" w:eastAsia="zh-CN"/>
                    </w:rPr>
                    <w:t>废布袋，</w:t>
                  </w:r>
                  <w:r>
                    <w:rPr>
                      <w:rFonts w:hint="eastAsia" w:ascii="宋体" w:hAnsi="宋体" w:cs="宋体"/>
                      <w:color w:val="auto"/>
                      <w:sz w:val="18"/>
                      <w:szCs w:val="18"/>
                      <w:highlight w:val="none"/>
                    </w:rPr>
                    <w:t>由除尘器厂家更换后直接带走</w:t>
                  </w:r>
                  <w:r>
                    <w:rPr>
                      <w:rFonts w:hint="eastAsia" w:ascii="宋体" w:hAnsi="宋体" w:cs="宋体"/>
                      <w:color w:val="auto"/>
                      <w:sz w:val="18"/>
                      <w:szCs w:val="18"/>
                      <w:highlight w:val="none"/>
                      <w:lang w:eastAsia="zh-CN"/>
                    </w:rPr>
                    <w:t>；</w:t>
                  </w: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r>
                    <w:rPr>
                      <w:rFonts w:hint="eastAsia" w:cs="Times New Roman"/>
                      <w:color w:val="auto"/>
                      <w:kern w:val="21"/>
                      <w:sz w:val="18"/>
                      <w:szCs w:val="18"/>
                      <w:highlight w:val="none"/>
                      <w:lang w:val="en-US" w:eastAsia="zh-CN"/>
                    </w:rPr>
                    <w:t>，</w:t>
                  </w:r>
                  <w:r>
                    <w:rPr>
                      <w:rFonts w:hint="eastAsia"/>
                      <w:color w:val="auto"/>
                      <w:sz w:val="18"/>
                      <w:szCs w:val="18"/>
                      <w:highlight w:val="none"/>
                      <w:lang w:val="en-US" w:eastAsia="zh-CN"/>
                    </w:rPr>
                    <w:t>由市政环卫部门统一清运</w:t>
                  </w:r>
                  <w:r>
                    <w:rPr>
                      <w:rFonts w:hint="eastAsia"/>
                      <w:color w:val="auto"/>
                      <w:sz w:val="18"/>
                      <w:szCs w:val="18"/>
                      <w:highlight w:val="none"/>
                    </w:rPr>
                    <w:t>。</w:t>
                  </w:r>
                  <w:r>
                    <w:rPr>
                      <w:rFonts w:hint="eastAsia" w:cs="Times New Roman"/>
                      <w:color w:val="auto"/>
                      <w:sz w:val="18"/>
                      <w:szCs w:val="18"/>
                      <w:highlight w:val="none"/>
                      <w:lang w:val="en-US" w:eastAsia="zh-CN"/>
                    </w:rPr>
                    <w:t>在库房内设置一处危险废物贮存点，占地面积4m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，采取重点防渗，</w:t>
                  </w:r>
                  <w:r>
                    <w:rPr>
                      <w:rFonts w:hint="eastAsia" w:ascii="Times New Roman" w:hAnsi="Times New Roman" w:eastAsia="宋体" w:cs="Times New Roman"/>
                      <w:bCs/>
                      <w:color w:val="auto"/>
                      <w:sz w:val="18"/>
                      <w:szCs w:val="18"/>
                      <w:highlight w:val="none"/>
                      <w:lang w:val="en-US" w:eastAsia="zh-CN"/>
                    </w:rPr>
                    <w:t>至少2mm厚的防渗人工材料，防渗系数≤10</w:t>
                  </w:r>
                  <w:r>
                    <w:rPr>
                      <w:rFonts w:hint="eastAsia" w:ascii="Times New Roman" w:hAnsi="Times New Roman" w:eastAsia="宋体" w:cs="Times New Roman"/>
                      <w:bCs/>
                      <w:color w:val="auto"/>
                      <w:sz w:val="18"/>
                      <w:szCs w:val="18"/>
                      <w:highlight w:val="none"/>
                      <w:vertAlign w:val="superscript"/>
                      <w:lang w:val="en-US" w:eastAsia="zh-CN"/>
                    </w:rPr>
                    <w:t>-</w:t>
                  </w:r>
                  <w:r>
                    <w:rPr>
                      <w:rFonts w:hint="eastAsia" w:cs="Times New Roman"/>
                      <w:bCs/>
                      <w:color w:val="auto"/>
                      <w:sz w:val="18"/>
                      <w:szCs w:val="18"/>
                      <w:highlight w:val="none"/>
                      <w:vertAlign w:val="superscript"/>
                      <w:lang w:val="en-US" w:eastAsia="zh-CN"/>
                    </w:rPr>
                    <w:t>10</w:t>
                  </w:r>
                  <w:r>
                    <w:rPr>
                      <w:rFonts w:hint="eastAsia" w:ascii="Times New Roman" w:hAnsi="Times New Roman" w:eastAsia="宋体" w:cs="Times New Roman"/>
                      <w:bCs/>
                      <w:color w:val="auto"/>
                      <w:sz w:val="18"/>
                      <w:szCs w:val="18"/>
                      <w:highlight w:val="none"/>
                      <w:lang w:val="en-US" w:eastAsia="zh-CN"/>
                    </w:rPr>
                    <w:t>cm/s，</w:t>
                  </w:r>
                  <w:r>
                    <w:rPr>
                      <w:rFonts w:hint="eastAsia" w:cs="Times New Roman"/>
                      <w:color w:val="auto"/>
                      <w:sz w:val="18"/>
                      <w:szCs w:val="18"/>
                      <w:highlight w:val="none"/>
                      <w:lang w:val="en-US" w:eastAsia="zh-CN"/>
                    </w:rPr>
                    <w:t>用于暂存</w:t>
                  </w:r>
                  <w:r>
                    <w:rPr>
                      <w:rFonts w:hint="eastAsia" w:ascii="Times New Roman" w:hAnsi="Times New Roman" w:eastAsia="宋体" w:cs="Times New Roman"/>
                      <w:color w:val="auto"/>
                      <w:sz w:val="18"/>
                      <w:szCs w:val="18"/>
                      <w:highlight w:val="none"/>
                    </w:rPr>
                    <w:t>废机</w:t>
                  </w:r>
                  <w:r>
                    <w:rPr>
                      <w:rFonts w:hint="eastAsia" w:ascii="Times New Roman" w:hAnsi="Times New Roman" w:eastAsia="宋体" w:cs="Times New Roman"/>
                      <w:color w:val="auto"/>
                      <w:sz w:val="18"/>
                      <w:szCs w:val="18"/>
                      <w:highlight w:val="none"/>
                      <w:lang w:val="en-US" w:eastAsia="zh-CN"/>
                    </w:rPr>
                    <w:t>油、含油抹布手套等危险废物</w:t>
                  </w:r>
                  <w:r>
                    <w:rPr>
                      <w:rFonts w:hint="eastAsia" w:ascii="Times New Roman" w:hAnsi="Times New Roman" w:eastAsia="宋体" w:cs="Times New Roman"/>
                      <w:color w:val="auto"/>
                      <w:sz w:val="18"/>
                      <w:szCs w:val="18"/>
                      <w:highlight w:val="none"/>
                    </w:rPr>
                    <w:t>，</w:t>
                  </w:r>
                  <w:r>
                    <w:rPr>
                      <w:rFonts w:hint="eastAsia" w:cs="Times New Roman"/>
                      <w:color w:val="auto"/>
                      <w:sz w:val="18"/>
                      <w:szCs w:val="18"/>
                      <w:highlight w:val="none"/>
                      <w:lang w:val="en-US" w:eastAsia="zh-CN"/>
                    </w:rPr>
                    <w:t>定期</w:t>
                  </w:r>
                  <w:r>
                    <w:rPr>
                      <w:rFonts w:hint="eastAsia" w:ascii="Times New Roman" w:hAnsi="Times New Roman" w:eastAsia="宋体" w:cs="Times New Roman"/>
                      <w:color w:val="auto"/>
                      <w:sz w:val="18"/>
                      <w:szCs w:val="18"/>
                      <w:highlight w:val="none"/>
                    </w:rPr>
                    <w:t>委托有资质单位处置。</w:t>
                  </w:r>
                </w:p>
              </w:tc>
              <w:tc>
                <w:tcPr>
                  <w:tcW w:w="548" w:type="pct"/>
                  <w:noWrap w:val="0"/>
                  <w:vAlign w:val="center"/>
                </w:tcPr>
                <w:p w14:paraId="3C7576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bl>
          <w:p w14:paraId="1D20AABD">
            <w:pPr>
              <w:keepNext w:val="0"/>
              <w:keepLines w:val="0"/>
              <w:suppressLineNumbers w:val="0"/>
              <w:adjustRightInd w:val="0"/>
              <w:snapToGrid w:val="0"/>
              <w:spacing w:before="0" w:beforeAutospacing="0" w:after="0" w:afterAutospacing="0" w:line="240" w:lineRule="auto"/>
              <w:ind w:left="0" w:right="0" w:firstLine="422" w:firstLineChars="200"/>
              <w:rPr>
                <w:rFonts w:hint="default" w:ascii="Times New Roman" w:hAnsi="Times New Roman" w:cs="Times New Roman"/>
                <w:b/>
                <w:bCs/>
                <w:color w:val="auto"/>
                <w:kern w:val="0"/>
                <w:szCs w:val="21"/>
                <w:highlight w:val="none"/>
              </w:rPr>
            </w:pPr>
          </w:p>
          <w:p w14:paraId="7668B239">
            <w:pPr>
              <w:keepNext w:val="0"/>
              <w:keepLines w:val="0"/>
              <w:suppressLineNumbers w:val="0"/>
              <w:adjustRightInd w:val="0"/>
              <w:snapToGrid w:val="0"/>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14:paraId="6ECE7862">
            <w:pPr>
              <w:keepNext w:val="0"/>
              <w:keepLines w:val="0"/>
              <w:suppressLineNumbers w:val="0"/>
              <w:adjustRightInd w:val="0"/>
              <w:snapToGrid w:val="0"/>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本项目产品方案详见表2-2。</w:t>
            </w:r>
          </w:p>
          <w:p w14:paraId="52C389FC">
            <w:pPr>
              <w:keepNext w:val="0"/>
              <w:keepLines w:val="0"/>
              <w:suppressLineNumbers w:val="0"/>
              <w:adjustRightInd w:val="0"/>
              <w:snapToGrid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表2-2主要产品及产能</w:t>
            </w:r>
          </w:p>
          <w:tbl>
            <w:tblPr>
              <w:tblStyle w:val="36"/>
              <w:tblW w:w="8059"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2083"/>
              <w:gridCol w:w="1670"/>
              <w:gridCol w:w="1656"/>
              <w:gridCol w:w="1515"/>
            </w:tblGrid>
            <w:tr w14:paraId="49CE3A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135" w:type="dxa"/>
                  <w:vAlign w:val="center"/>
                </w:tcPr>
                <w:p w14:paraId="2C56A32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序号</w:t>
                  </w:r>
                </w:p>
              </w:tc>
              <w:tc>
                <w:tcPr>
                  <w:tcW w:w="2083" w:type="dxa"/>
                  <w:vAlign w:val="center"/>
                </w:tcPr>
                <w:p w14:paraId="27CBC5C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产品名称</w:t>
                  </w:r>
                </w:p>
              </w:tc>
              <w:tc>
                <w:tcPr>
                  <w:tcW w:w="1670" w:type="dxa"/>
                  <w:vAlign w:val="center"/>
                </w:tcPr>
                <w:p w14:paraId="49060E8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年产量</w:t>
                  </w:r>
                </w:p>
              </w:tc>
              <w:tc>
                <w:tcPr>
                  <w:tcW w:w="1656" w:type="dxa"/>
                  <w:vAlign w:val="center"/>
                </w:tcPr>
                <w:p w14:paraId="2B2FCA5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单位</w:t>
                  </w:r>
                </w:p>
              </w:tc>
              <w:tc>
                <w:tcPr>
                  <w:tcW w:w="1515" w:type="dxa"/>
                  <w:vAlign w:val="center"/>
                </w:tcPr>
                <w:p w14:paraId="2F6B48B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备注</w:t>
                  </w:r>
                </w:p>
              </w:tc>
            </w:tr>
            <w:tr w14:paraId="0366E5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135" w:type="dxa"/>
                  <w:vAlign w:val="center"/>
                </w:tcPr>
                <w:p w14:paraId="769EF19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2083" w:type="dxa"/>
                  <w:vAlign w:val="center"/>
                </w:tcPr>
                <w:p w14:paraId="768251D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lang w:val="en-US" w:eastAsia="zh-CN"/>
                    </w:rPr>
                    <w:t>玉米</w:t>
                  </w:r>
                </w:p>
              </w:tc>
              <w:tc>
                <w:tcPr>
                  <w:tcW w:w="1670" w:type="dxa"/>
                  <w:vAlign w:val="center"/>
                </w:tcPr>
                <w:p w14:paraId="2504D42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24367.6</w:t>
                  </w:r>
                </w:p>
              </w:tc>
              <w:tc>
                <w:tcPr>
                  <w:tcW w:w="1656" w:type="dxa"/>
                  <w:vAlign w:val="center"/>
                </w:tcPr>
                <w:p w14:paraId="387774B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t/a</w:t>
                  </w:r>
                </w:p>
              </w:tc>
              <w:tc>
                <w:tcPr>
                  <w:tcW w:w="1515" w:type="dxa"/>
                  <w:vAlign w:val="center"/>
                </w:tcPr>
                <w:p w14:paraId="618B0E2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lang w:val="en-US" w:eastAsia="zh-CN"/>
                    </w:rPr>
                    <w:t>含水率1</w:t>
                  </w:r>
                  <w:r>
                    <w:rPr>
                      <w:rFonts w:hint="eastAsia" w:cs="Times New Roman"/>
                      <w:b w:val="0"/>
                      <w:bCs w:val="0"/>
                      <w:color w:val="auto"/>
                      <w:sz w:val="18"/>
                      <w:szCs w:val="18"/>
                      <w:highlight w:val="none"/>
                      <w:lang w:val="en-US" w:eastAsia="zh-CN"/>
                    </w:rPr>
                    <w:t>4%</w:t>
                  </w:r>
                </w:p>
              </w:tc>
            </w:tr>
            <w:tr w14:paraId="54962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135" w:type="dxa"/>
                  <w:vAlign w:val="center"/>
                </w:tcPr>
                <w:p w14:paraId="48646D1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2083" w:type="dxa"/>
                  <w:vAlign w:val="center"/>
                </w:tcPr>
                <w:p w14:paraId="022B35A5">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水稻</w:t>
                  </w:r>
                </w:p>
              </w:tc>
              <w:tc>
                <w:tcPr>
                  <w:tcW w:w="1670" w:type="dxa"/>
                  <w:vAlign w:val="center"/>
                </w:tcPr>
                <w:p w14:paraId="38860BD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51898</w:t>
                  </w:r>
                </w:p>
              </w:tc>
              <w:tc>
                <w:tcPr>
                  <w:tcW w:w="1656" w:type="dxa"/>
                  <w:vAlign w:val="center"/>
                </w:tcPr>
                <w:p w14:paraId="36F9BCF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t/a</w:t>
                  </w:r>
                </w:p>
              </w:tc>
              <w:tc>
                <w:tcPr>
                  <w:tcW w:w="1515" w:type="dxa"/>
                  <w:vAlign w:val="center"/>
                </w:tcPr>
                <w:p w14:paraId="680E5B3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含水率10%</w:t>
                  </w:r>
                </w:p>
              </w:tc>
            </w:tr>
          </w:tbl>
          <w:p w14:paraId="616CB1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14:paraId="46741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snapToGrid w:val="0"/>
                <w:color w:val="auto"/>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w:t>
            </w:r>
          </w:p>
          <w:p w14:paraId="412A603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主要设备一览表</w:t>
            </w:r>
          </w:p>
          <w:tbl>
            <w:tblPr>
              <w:tblStyle w:val="36"/>
              <w:tblW w:w="80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944"/>
              <w:gridCol w:w="1162"/>
              <w:gridCol w:w="1485"/>
              <w:gridCol w:w="1967"/>
              <w:gridCol w:w="1487"/>
              <w:gridCol w:w="522"/>
            </w:tblGrid>
            <w:tr w14:paraId="233F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tcPr>
                <w:p w14:paraId="719AA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序号</w:t>
                  </w:r>
                </w:p>
              </w:tc>
              <w:tc>
                <w:tcPr>
                  <w:tcW w:w="944" w:type="dxa"/>
                </w:tcPr>
                <w:p w14:paraId="2A8EFB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设备名称</w:t>
                  </w:r>
                </w:p>
              </w:tc>
              <w:tc>
                <w:tcPr>
                  <w:tcW w:w="1162" w:type="dxa"/>
                </w:tcPr>
                <w:p w14:paraId="7A3CE5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设备型号</w:t>
                  </w:r>
                </w:p>
              </w:tc>
              <w:tc>
                <w:tcPr>
                  <w:tcW w:w="1485" w:type="dxa"/>
                </w:tcPr>
                <w:p w14:paraId="5F905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现有设备数量</w:t>
                  </w:r>
                </w:p>
              </w:tc>
              <w:tc>
                <w:tcPr>
                  <w:tcW w:w="1967" w:type="dxa"/>
                </w:tcPr>
                <w:p w14:paraId="4655E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本项目新增设备数量</w:t>
                  </w:r>
                </w:p>
              </w:tc>
              <w:tc>
                <w:tcPr>
                  <w:tcW w:w="1487" w:type="dxa"/>
                </w:tcPr>
                <w:p w14:paraId="4C1CC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全厂设备数量</w:t>
                  </w:r>
                </w:p>
              </w:tc>
              <w:tc>
                <w:tcPr>
                  <w:tcW w:w="522" w:type="dxa"/>
                </w:tcPr>
                <w:p w14:paraId="62F83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单位</w:t>
                  </w:r>
                </w:p>
              </w:tc>
            </w:tr>
            <w:tr w14:paraId="656F8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tcPr>
                <w:p w14:paraId="14ED57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w:t>
                  </w:r>
                </w:p>
              </w:tc>
              <w:tc>
                <w:tcPr>
                  <w:tcW w:w="944" w:type="dxa"/>
                </w:tcPr>
                <w:p w14:paraId="18CC1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烘干塔</w:t>
                  </w:r>
                </w:p>
              </w:tc>
              <w:tc>
                <w:tcPr>
                  <w:tcW w:w="1162" w:type="dxa"/>
                </w:tcPr>
                <w:p w14:paraId="2CECA6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500t/d</w:t>
                  </w:r>
                </w:p>
              </w:tc>
              <w:tc>
                <w:tcPr>
                  <w:tcW w:w="1485" w:type="dxa"/>
                </w:tcPr>
                <w:p w14:paraId="6210B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4D31E4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新建1</w:t>
                  </w:r>
                  <w:r>
                    <w:rPr>
                      <w:rFonts w:hint="eastAsia" w:ascii="宋体" w:hAnsi="宋体" w:cs="宋体"/>
                      <w:color w:val="auto"/>
                      <w:kern w:val="0"/>
                      <w:sz w:val="18"/>
                      <w:szCs w:val="18"/>
                      <w:highlight w:val="none"/>
                      <w:lang w:val="en-US" w:eastAsia="zh-CN"/>
                    </w:rPr>
                    <w:t>座</w:t>
                  </w:r>
                  <w:r>
                    <w:rPr>
                      <w:rFonts w:hint="eastAsia" w:ascii="宋体" w:hAnsi="宋体" w:eastAsia="宋体" w:cs="宋体"/>
                      <w:color w:val="auto"/>
                      <w:kern w:val="0"/>
                      <w:sz w:val="18"/>
                      <w:szCs w:val="18"/>
                      <w:highlight w:val="none"/>
                      <w:lang w:val="en-US" w:eastAsia="zh-CN"/>
                    </w:rPr>
                    <w:t>烘干塔</w:t>
                  </w:r>
                </w:p>
              </w:tc>
              <w:tc>
                <w:tcPr>
                  <w:tcW w:w="1487" w:type="dxa"/>
                </w:tcPr>
                <w:p w14:paraId="40208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w:t>
                  </w:r>
                </w:p>
              </w:tc>
              <w:tc>
                <w:tcPr>
                  <w:tcW w:w="522" w:type="dxa"/>
                  <w:vAlign w:val="center"/>
                </w:tcPr>
                <w:p w14:paraId="1C107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rPr>
                  </w:pPr>
                  <w:r>
                    <w:rPr>
                      <w:rFonts w:hint="default" w:ascii="Times New Roman" w:hAnsi="Times New Roman" w:cs="Times New Roman"/>
                      <w:color w:val="auto"/>
                      <w:sz w:val="18"/>
                      <w:szCs w:val="18"/>
                      <w:highlight w:val="none"/>
                    </w:rPr>
                    <w:t>座</w:t>
                  </w:r>
                </w:p>
              </w:tc>
            </w:tr>
            <w:tr w14:paraId="34DE5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tcPr>
                <w:p w14:paraId="41402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2</w:t>
                  </w:r>
                </w:p>
              </w:tc>
              <w:tc>
                <w:tcPr>
                  <w:tcW w:w="944" w:type="dxa"/>
                </w:tcPr>
                <w:p w14:paraId="7A086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热风炉</w:t>
                  </w:r>
                </w:p>
              </w:tc>
              <w:tc>
                <w:tcPr>
                  <w:tcW w:w="1162" w:type="dxa"/>
                </w:tcPr>
                <w:p w14:paraId="4624D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720万Kcal/h</w:t>
                  </w:r>
                </w:p>
              </w:tc>
              <w:tc>
                <w:tcPr>
                  <w:tcW w:w="1485" w:type="dxa"/>
                </w:tcPr>
                <w:p w14:paraId="603BEB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18F078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新建1台燃生物质热风炉</w:t>
                  </w:r>
                </w:p>
              </w:tc>
              <w:tc>
                <w:tcPr>
                  <w:tcW w:w="1487" w:type="dxa"/>
                </w:tcPr>
                <w:p w14:paraId="5F8C0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w:t>
                  </w:r>
                </w:p>
              </w:tc>
              <w:tc>
                <w:tcPr>
                  <w:tcW w:w="522" w:type="dxa"/>
                  <w:vAlign w:val="center"/>
                </w:tcPr>
                <w:p w14:paraId="43B87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台</w:t>
                  </w:r>
                </w:p>
              </w:tc>
            </w:tr>
            <w:tr w14:paraId="78E67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44387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3</w:t>
                  </w:r>
                </w:p>
              </w:tc>
              <w:tc>
                <w:tcPr>
                  <w:tcW w:w="944" w:type="dxa"/>
                </w:tcPr>
                <w:p w14:paraId="163FD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鼓风机</w:t>
                  </w:r>
                </w:p>
              </w:tc>
              <w:tc>
                <w:tcPr>
                  <w:tcW w:w="1162" w:type="dxa"/>
                  <w:shd w:val="clear" w:color="auto" w:fill="auto"/>
                  <w:vAlign w:val="center"/>
                </w:tcPr>
                <w:p w14:paraId="76AE4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4-72No5A</w:t>
                  </w:r>
                </w:p>
              </w:tc>
              <w:tc>
                <w:tcPr>
                  <w:tcW w:w="1485" w:type="dxa"/>
                </w:tcPr>
                <w:p w14:paraId="513EA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47406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1487" w:type="dxa"/>
                </w:tcPr>
                <w:p w14:paraId="77082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522" w:type="dxa"/>
                  <w:vAlign w:val="center"/>
                </w:tcPr>
                <w:p w14:paraId="54A2D8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340E0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6F8E5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4</w:t>
                  </w:r>
                </w:p>
              </w:tc>
              <w:tc>
                <w:tcPr>
                  <w:tcW w:w="944" w:type="dxa"/>
                </w:tcPr>
                <w:p w14:paraId="60008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引风机</w:t>
                  </w:r>
                </w:p>
              </w:tc>
              <w:tc>
                <w:tcPr>
                  <w:tcW w:w="1162" w:type="dxa"/>
                  <w:shd w:val="clear" w:color="auto" w:fill="auto"/>
                  <w:vAlign w:val="center"/>
                </w:tcPr>
                <w:p w14:paraId="5C816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Y5-47No10C</w:t>
                  </w:r>
                </w:p>
              </w:tc>
              <w:tc>
                <w:tcPr>
                  <w:tcW w:w="1485" w:type="dxa"/>
                </w:tcPr>
                <w:p w14:paraId="569114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18F5E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1487" w:type="dxa"/>
                </w:tcPr>
                <w:p w14:paraId="32394E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522" w:type="dxa"/>
                  <w:vAlign w:val="center"/>
                </w:tcPr>
                <w:p w14:paraId="1875A0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1329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1BFC3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5</w:t>
                  </w:r>
                </w:p>
              </w:tc>
              <w:tc>
                <w:tcPr>
                  <w:tcW w:w="944" w:type="dxa"/>
                </w:tcPr>
                <w:p w14:paraId="125911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热风机</w:t>
                  </w:r>
                </w:p>
              </w:tc>
              <w:tc>
                <w:tcPr>
                  <w:tcW w:w="1162" w:type="dxa"/>
                  <w:shd w:val="clear" w:color="auto" w:fill="auto"/>
                  <w:vAlign w:val="center"/>
                </w:tcPr>
                <w:p w14:paraId="5BCADF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Y4-73No11D</w:t>
                  </w:r>
                </w:p>
              </w:tc>
              <w:tc>
                <w:tcPr>
                  <w:tcW w:w="1485" w:type="dxa"/>
                </w:tcPr>
                <w:p w14:paraId="56B27B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67D83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3</w:t>
                  </w:r>
                </w:p>
              </w:tc>
              <w:tc>
                <w:tcPr>
                  <w:tcW w:w="1487" w:type="dxa"/>
                </w:tcPr>
                <w:p w14:paraId="7E4AF1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3</w:t>
                  </w:r>
                </w:p>
              </w:tc>
              <w:tc>
                <w:tcPr>
                  <w:tcW w:w="522" w:type="dxa"/>
                  <w:vAlign w:val="center"/>
                </w:tcPr>
                <w:p w14:paraId="7CE35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33DD9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7F3CD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6</w:t>
                  </w:r>
                </w:p>
              </w:tc>
              <w:tc>
                <w:tcPr>
                  <w:tcW w:w="944" w:type="dxa"/>
                </w:tcPr>
                <w:p w14:paraId="0785DD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冷风机</w:t>
                  </w:r>
                </w:p>
              </w:tc>
              <w:tc>
                <w:tcPr>
                  <w:tcW w:w="1162" w:type="dxa"/>
                  <w:shd w:val="clear" w:color="auto" w:fill="auto"/>
                  <w:vAlign w:val="center"/>
                </w:tcPr>
                <w:p w14:paraId="1385D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4-73No10C</w:t>
                  </w:r>
                </w:p>
              </w:tc>
              <w:tc>
                <w:tcPr>
                  <w:tcW w:w="1485" w:type="dxa"/>
                </w:tcPr>
                <w:p w14:paraId="40C3F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tcPr>
                <w:p w14:paraId="49DEC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1487" w:type="dxa"/>
                </w:tcPr>
                <w:p w14:paraId="34398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1</w:t>
                  </w:r>
                </w:p>
              </w:tc>
              <w:tc>
                <w:tcPr>
                  <w:tcW w:w="522" w:type="dxa"/>
                  <w:vAlign w:val="center"/>
                </w:tcPr>
                <w:p w14:paraId="49998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6D348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10A314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7</w:t>
                  </w:r>
                </w:p>
              </w:tc>
              <w:tc>
                <w:tcPr>
                  <w:tcW w:w="944" w:type="dxa"/>
                </w:tcPr>
                <w:p w14:paraId="65319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输送机</w:t>
                  </w:r>
                </w:p>
              </w:tc>
              <w:tc>
                <w:tcPr>
                  <w:tcW w:w="1162" w:type="dxa"/>
                  <w:shd w:val="clear" w:color="auto" w:fill="auto"/>
                  <w:vAlign w:val="center"/>
                </w:tcPr>
                <w:p w14:paraId="7D0F66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TQDS60-30</w:t>
                  </w:r>
                </w:p>
              </w:tc>
              <w:tc>
                <w:tcPr>
                  <w:tcW w:w="1485" w:type="dxa"/>
                </w:tcPr>
                <w:p w14:paraId="737E9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12</w:t>
                  </w:r>
                </w:p>
              </w:tc>
              <w:tc>
                <w:tcPr>
                  <w:tcW w:w="1967" w:type="dxa"/>
                  <w:shd w:val="clear" w:color="auto" w:fill="auto"/>
                  <w:vAlign w:val="top"/>
                </w:tcPr>
                <w:p w14:paraId="22AC3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487" w:type="dxa"/>
                </w:tcPr>
                <w:p w14:paraId="44D62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12</w:t>
                  </w:r>
                </w:p>
              </w:tc>
              <w:tc>
                <w:tcPr>
                  <w:tcW w:w="522" w:type="dxa"/>
                  <w:vAlign w:val="center"/>
                </w:tcPr>
                <w:p w14:paraId="321ADF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台</w:t>
                  </w:r>
                </w:p>
              </w:tc>
            </w:tr>
            <w:tr w14:paraId="36C7D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054E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8</w:t>
                  </w:r>
                </w:p>
              </w:tc>
              <w:tc>
                <w:tcPr>
                  <w:tcW w:w="944" w:type="dxa"/>
                </w:tcPr>
                <w:p w14:paraId="1B228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提升机</w:t>
                  </w:r>
                </w:p>
              </w:tc>
              <w:tc>
                <w:tcPr>
                  <w:tcW w:w="1162" w:type="dxa"/>
                  <w:shd w:val="clear" w:color="auto" w:fill="auto"/>
                  <w:vAlign w:val="center"/>
                </w:tcPr>
                <w:p w14:paraId="125B7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TDTG60/33</w:t>
                  </w:r>
                </w:p>
              </w:tc>
              <w:tc>
                <w:tcPr>
                  <w:tcW w:w="1485" w:type="dxa"/>
                </w:tcPr>
                <w:p w14:paraId="63CD0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28449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3</w:t>
                  </w:r>
                </w:p>
              </w:tc>
              <w:tc>
                <w:tcPr>
                  <w:tcW w:w="1487" w:type="dxa"/>
                </w:tcPr>
                <w:p w14:paraId="4A0BBD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cs="宋体"/>
                      <w:color w:val="auto"/>
                      <w:kern w:val="0"/>
                      <w:sz w:val="18"/>
                      <w:szCs w:val="18"/>
                      <w:highlight w:val="none"/>
                      <w:lang w:val="en-US" w:eastAsia="zh-CN"/>
                    </w:rPr>
                    <w:t>3</w:t>
                  </w:r>
                </w:p>
              </w:tc>
              <w:tc>
                <w:tcPr>
                  <w:tcW w:w="522" w:type="dxa"/>
                  <w:vAlign w:val="center"/>
                </w:tcPr>
                <w:p w14:paraId="04D57A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76426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7AB4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9</w:t>
                  </w:r>
                </w:p>
              </w:tc>
              <w:tc>
                <w:tcPr>
                  <w:tcW w:w="944" w:type="dxa"/>
                </w:tcPr>
                <w:p w14:paraId="5CBD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清选筛</w:t>
                  </w:r>
                </w:p>
              </w:tc>
              <w:tc>
                <w:tcPr>
                  <w:tcW w:w="1162" w:type="dxa"/>
                  <w:shd w:val="clear" w:color="auto" w:fill="auto"/>
                  <w:vAlign w:val="center"/>
                </w:tcPr>
                <w:p w14:paraId="679E1E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TCQY100</w:t>
                  </w:r>
                </w:p>
              </w:tc>
              <w:tc>
                <w:tcPr>
                  <w:tcW w:w="1485" w:type="dxa"/>
                </w:tcPr>
                <w:p w14:paraId="5AA1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0</w:t>
                  </w:r>
                </w:p>
              </w:tc>
              <w:tc>
                <w:tcPr>
                  <w:tcW w:w="1967" w:type="dxa"/>
                  <w:shd w:val="clear" w:color="auto" w:fill="auto"/>
                  <w:vAlign w:val="top"/>
                </w:tcPr>
                <w:p w14:paraId="3641EA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1</w:t>
                  </w:r>
                </w:p>
              </w:tc>
              <w:tc>
                <w:tcPr>
                  <w:tcW w:w="1487" w:type="dxa"/>
                </w:tcPr>
                <w:p w14:paraId="6365E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w:t>
                  </w:r>
                </w:p>
              </w:tc>
              <w:tc>
                <w:tcPr>
                  <w:tcW w:w="522" w:type="dxa"/>
                  <w:vAlign w:val="center"/>
                </w:tcPr>
                <w:p w14:paraId="29E55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台</w:t>
                  </w:r>
                </w:p>
              </w:tc>
            </w:tr>
            <w:tr w14:paraId="560F2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2EA17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10</w:t>
                  </w:r>
                </w:p>
              </w:tc>
              <w:tc>
                <w:tcPr>
                  <w:tcW w:w="944" w:type="dxa"/>
                </w:tcPr>
                <w:p w14:paraId="3E242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布袋除尘器</w:t>
                  </w:r>
                </w:p>
              </w:tc>
              <w:tc>
                <w:tcPr>
                  <w:tcW w:w="1162" w:type="dxa"/>
                </w:tcPr>
                <w:p w14:paraId="62CF06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tcPr>
                <w:p w14:paraId="58A68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0</w:t>
                  </w:r>
                </w:p>
              </w:tc>
              <w:tc>
                <w:tcPr>
                  <w:tcW w:w="1967" w:type="dxa"/>
                  <w:shd w:val="clear" w:color="auto" w:fill="auto"/>
                  <w:vAlign w:val="top"/>
                </w:tcPr>
                <w:p w14:paraId="705412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rPr>
                    <w:t>1</w:t>
                  </w:r>
                </w:p>
              </w:tc>
              <w:tc>
                <w:tcPr>
                  <w:tcW w:w="1487" w:type="dxa"/>
                </w:tcPr>
                <w:p w14:paraId="5DD5D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w:t>
                  </w:r>
                </w:p>
              </w:tc>
              <w:tc>
                <w:tcPr>
                  <w:tcW w:w="522" w:type="dxa"/>
                  <w:vAlign w:val="center"/>
                </w:tcPr>
                <w:p w14:paraId="390E67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台</w:t>
                  </w:r>
                </w:p>
              </w:tc>
            </w:tr>
            <w:tr w14:paraId="0987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238BE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11</w:t>
                  </w:r>
                </w:p>
              </w:tc>
              <w:tc>
                <w:tcPr>
                  <w:tcW w:w="944" w:type="dxa"/>
                  <w:shd w:val="clear" w:color="auto" w:fill="auto"/>
                  <w:vAlign w:val="top"/>
                </w:tcPr>
                <w:p w14:paraId="1F1B4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履带扒谷机</w:t>
                  </w:r>
                </w:p>
              </w:tc>
              <w:tc>
                <w:tcPr>
                  <w:tcW w:w="1162" w:type="dxa"/>
                  <w:shd w:val="clear" w:color="auto" w:fill="auto"/>
                  <w:vAlign w:val="top"/>
                </w:tcPr>
                <w:p w14:paraId="290D58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4DDEC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04A77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42DBE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70287B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r w14:paraId="68A12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22A1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12</w:t>
                  </w:r>
                </w:p>
              </w:tc>
              <w:tc>
                <w:tcPr>
                  <w:tcW w:w="944" w:type="dxa"/>
                  <w:shd w:val="clear" w:color="auto" w:fill="auto"/>
                  <w:vAlign w:val="top"/>
                </w:tcPr>
                <w:p w14:paraId="1CF59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吸粮机</w:t>
                  </w:r>
                </w:p>
              </w:tc>
              <w:tc>
                <w:tcPr>
                  <w:tcW w:w="1162" w:type="dxa"/>
                  <w:shd w:val="clear" w:color="auto" w:fill="auto"/>
                  <w:vAlign w:val="top"/>
                </w:tcPr>
                <w:p w14:paraId="0C7228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50B35E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0F080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0E871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4C63B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r w14:paraId="2F9E1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41B744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bidi="ar-SA"/>
                    </w:rPr>
                    <w:t>13</w:t>
                  </w:r>
                </w:p>
              </w:tc>
              <w:tc>
                <w:tcPr>
                  <w:tcW w:w="944" w:type="dxa"/>
                  <w:shd w:val="clear" w:color="auto" w:fill="auto"/>
                  <w:vAlign w:val="top"/>
                </w:tcPr>
                <w:p w14:paraId="1D2B69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铲车</w:t>
                  </w:r>
                </w:p>
              </w:tc>
              <w:tc>
                <w:tcPr>
                  <w:tcW w:w="1162" w:type="dxa"/>
                  <w:shd w:val="clear" w:color="auto" w:fill="auto"/>
                  <w:vAlign w:val="top"/>
                </w:tcPr>
                <w:p w14:paraId="537FEB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41E013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2B0EC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51C675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6A5D42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r w14:paraId="3275C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08040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bidi="ar-SA"/>
                    </w:rPr>
                    <w:t>14</w:t>
                  </w:r>
                </w:p>
              </w:tc>
              <w:tc>
                <w:tcPr>
                  <w:tcW w:w="944" w:type="dxa"/>
                  <w:shd w:val="clear" w:color="auto" w:fill="auto"/>
                  <w:vAlign w:val="top"/>
                </w:tcPr>
                <w:p w14:paraId="04CFC3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叉车</w:t>
                  </w:r>
                </w:p>
              </w:tc>
              <w:tc>
                <w:tcPr>
                  <w:tcW w:w="1162" w:type="dxa"/>
                  <w:shd w:val="clear" w:color="auto" w:fill="auto"/>
                  <w:vAlign w:val="top"/>
                </w:tcPr>
                <w:p w14:paraId="04D36D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67E168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2BCB8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3E83F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1EBF59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r w14:paraId="6FA71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11025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bidi="ar-SA"/>
                    </w:rPr>
                    <w:t>15</w:t>
                  </w:r>
                </w:p>
              </w:tc>
              <w:tc>
                <w:tcPr>
                  <w:tcW w:w="944" w:type="dxa"/>
                  <w:shd w:val="clear" w:color="auto" w:fill="auto"/>
                  <w:vAlign w:val="top"/>
                </w:tcPr>
                <w:p w14:paraId="5FE12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翻斗车</w:t>
                  </w:r>
                </w:p>
              </w:tc>
              <w:tc>
                <w:tcPr>
                  <w:tcW w:w="1162" w:type="dxa"/>
                  <w:shd w:val="clear" w:color="auto" w:fill="auto"/>
                  <w:vAlign w:val="top"/>
                </w:tcPr>
                <w:p w14:paraId="306B08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74CC5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454E6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4AB4C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1EF50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r w14:paraId="1B473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shd w:val="clear" w:color="auto" w:fill="auto"/>
                  <w:vAlign w:val="top"/>
                </w:tcPr>
                <w:p w14:paraId="0019D9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bidi="ar-SA"/>
                    </w:rPr>
                    <w:t>16</w:t>
                  </w:r>
                </w:p>
              </w:tc>
              <w:tc>
                <w:tcPr>
                  <w:tcW w:w="944" w:type="dxa"/>
                  <w:shd w:val="clear" w:color="auto" w:fill="auto"/>
                  <w:vAlign w:val="top"/>
                </w:tcPr>
                <w:p w14:paraId="71C9A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旋转入仓机</w:t>
                  </w:r>
                </w:p>
              </w:tc>
              <w:tc>
                <w:tcPr>
                  <w:tcW w:w="1162" w:type="dxa"/>
                  <w:shd w:val="clear" w:color="auto" w:fill="auto"/>
                  <w:vAlign w:val="top"/>
                </w:tcPr>
                <w:p w14:paraId="612CB0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w:t>
                  </w:r>
                </w:p>
              </w:tc>
              <w:tc>
                <w:tcPr>
                  <w:tcW w:w="1485" w:type="dxa"/>
                  <w:shd w:val="clear" w:color="auto" w:fill="auto"/>
                  <w:vAlign w:val="top"/>
                </w:tcPr>
                <w:p w14:paraId="51B31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0</w:t>
                  </w:r>
                </w:p>
              </w:tc>
              <w:tc>
                <w:tcPr>
                  <w:tcW w:w="1967" w:type="dxa"/>
                  <w:shd w:val="clear" w:color="auto" w:fill="auto"/>
                  <w:vAlign w:val="top"/>
                </w:tcPr>
                <w:p w14:paraId="20C93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1487" w:type="dxa"/>
                  <w:shd w:val="clear" w:color="auto" w:fill="auto"/>
                  <w:vAlign w:val="top"/>
                </w:tcPr>
                <w:p w14:paraId="71229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宋体" w:hAnsi="宋体" w:eastAsia="宋体" w:cs="宋体"/>
                      <w:color w:val="auto"/>
                      <w:kern w:val="0"/>
                      <w:sz w:val="18"/>
                      <w:szCs w:val="18"/>
                      <w:highlight w:val="none"/>
                      <w:lang w:val="en-US" w:eastAsia="zh-CN" w:bidi="ar-SA"/>
                    </w:rPr>
                  </w:pPr>
                  <w:r>
                    <w:rPr>
                      <w:rFonts w:hint="eastAsia" w:ascii="宋体" w:hAnsi="宋体" w:cs="宋体"/>
                      <w:color w:val="auto"/>
                      <w:kern w:val="0"/>
                      <w:sz w:val="18"/>
                      <w:szCs w:val="18"/>
                      <w:highlight w:val="none"/>
                      <w:lang w:val="en-US" w:eastAsia="zh-CN"/>
                    </w:rPr>
                    <w:t>1</w:t>
                  </w:r>
                </w:p>
              </w:tc>
              <w:tc>
                <w:tcPr>
                  <w:tcW w:w="522" w:type="dxa"/>
                  <w:shd w:val="clear" w:color="auto" w:fill="auto"/>
                  <w:vAlign w:val="center"/>
                </w:tcPr>
                <w:p w14:paraId="23FE58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台</w:t>
                  </w:r>
                </w:p>
              </w:tc>
            </w:tr>
          </w:tbl>
          <w:p w14:paraId="165557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cs="Times New Roman"/>
                <w:b/>
                <w:bCs/>
                <w:color w:val="auto"/>
                <w:kern w:val="0"/>
                <w:sz w:val="21"/>
                <w:szCs w:val="21"/>
                <w:highlight w:val="none"/>
                <w:lang w:val="en-US" w:eastAsia="zh-CN"/>
              </w:rPr>
            </w:pPr>
          </w:p>
          <w:p w14:paraId="0AEF2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14:paraId="4B07B3C9">
            <w:pPr>
              <w:keepNext w:val="0"/>
              <w:keepLines w:val="0"/>
              <w:suppressLineNumbers w:val="0"/>
              <w:spacing w:before="0" w:beforeAutospacing="0" w:after="0" w:afterAutospacing="0"/>
              <w:ind w:left="0" w:right="0"/>
              <w:jc w:val="center"/>
              <w:rPr>
                <w:rFonts w:hint="eastAsia"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4</w:t>
            </w:r>
            <w:r>
              <w:rPr>
                <w:rFonts w:hint="default" w:ascii="Times New Roman" w:hAnsi="Times New Roman" w:eastAsia="宋体" w:cs="Times New Roman"/>
                <w:b/>
                <w:bCs/>
                <w:snapToGrid w:val="0"/>
                <w:color w:val="auto"/>
                <w:szCs w:val="21"/>
                <w:highlight w:val="none"/>
              </w:rPr>
              <w:t>原辅材料消耗一览表</w:t>
            </w:r>
          </w:p>
          <w:tbl>
            <w:tblPr>
              <w:tblStyle w:val="36"/>
              <w:tblW w:w="8045"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3"/>
              <w:gridCol w:w="2010"/>
              <w:gridCol w:w="1147"/>
              <w:gridCol w:w="1485"/>
              <w:gridCol w:w="1320"/>
              <w:gridCol w:w="705"/>
              <w:gridCol w:w="775"/>
            </w:tblGrid>
            <w:tr w14:paraId="57BBA6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3" w:type="dxa"/>
                  <w:vAlign w:val="center"/>
                </w:tcPr>
                <w:p w14:paraId="692521AE">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2010" w:type="dxa"/>
                  <w:vAlign w:val="center"/>
                </w:tcPr>
                <w:p w14:paraId="622F4506">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原辅材料名称</w:t>
                  </w:r>
                </w:p>
              </w:tc>
              <w:tc>
                <w:tcPr>
                  <w:tcW w:w="1147" w:type="dxa"/>
                  <w:shd w:val="clear" w:color="auto" w:fill="auto"/>
                  <w:vAlign w:val="center"/>
                </w:tcPr>
                <w:p w14:paraId="5EFB37E5">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现有用量</w:t>
                  </w:r>
                </w:p>
              </w:tc>
              <w:tc>
                <w:tcPr>
                  <w:tcW w:w="1485" w:type="dxa"/>
                  <w:shd w:val="clear" w:color="auto" w:fill="auto"/>
                  <w:vAlign w:val="center"/>
                </w:tcPr>
                <w:p w14:paraId="6789F9A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本次新增用量</w:t>
                  </w:r>
                </w:p>
              </w:tc>
              <w:tc>
                <w:tcPr>
                  <w:tcW w:w="1320" w:type="dxa"/>
                  <w:shd w:val="clear" w:color="auto" w:fill="auto"/>
                  <w:vAlign w:val="center"/>
                </w:tcPr>
                <w:p w14:paraId="5CFEAD5E">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vertAlign w:val="baseline"/>
                      <w:lang w:val="en-US" w:eastAsia="zh-CN"/>
                    </w:rPr>
                    <w:t>全厂用量</w:t>
                  </w:r>
                </w:p>
              </w:tc>
              <w:tc>
                <w:tcPr>
                  <w:tcW w:w="705" w:type="dxa"/>
                  <w:vAlign w:val="center"/>
                </w:tcPr>
                <w:p w14:paraId="41E0C448">
                  <w:pPr>
                    <w:keepNext w:val="0"/>
                    <w:keepLines w:val="0"/>
                    <w:suppressLineNumbers w:val="0"/>
                    <w:spacing w:before="0" w:beforeAutospacing="0" w:after="0" w:afterAutospacing="0"/>
                    <w:ind w:left="0" w:leftChars="0" w:right="0" w:rightChars="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775" w:type="dxa"/>
                  <w:vAlign w:val="center"/>
                </w:tcPr>
                <w:p w14:paraId="3166F5DE">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来源</w:t>
                  </w:r>
                </w:p>
              </w:tc>
            </w:tr>
            <w:tr w14:paraId="1E9751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3" w:type="dxa"/>
                  <w:vAlign w:val="center"/>
                </w:tcPr>
                <w:p w14:paraId="2150BF2B">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2010" w:type="dxa"/>
                  <w:vAlign w:val="center"/>
                </w:tcPr>
                <w:p w14:paraId="5764D857">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lang w:val="en-US" w:eastAsia="zh-CN"/>
                    </w:rPr>
                    <w:t>玉米</w:t>
                  </w:r>
                  <w:r>
                    <w:rPr>
                      <w:rFonts w:hint="eastAsia" w:cs="Times New Roman"/>
                      <w:bCs/>
                      <w:color w:val="auto"/>
                      <w:sz w:val="18"/>
                      <w:szCs w:val="18"/>
                      <w:highlight w:val="none"/>
                      <w:lang w:val="en-US" w:eastAsia="zh-CN"/>
                    </w:rPr>
                    <w:t>（含水率30%）</w:t>
                  </w:r>
                </w:p>
              </w:tc>
              <w:tc>
                <w:tcPr>
                  <w:tcW w:w="1147" w:type="dxa"/>
                  <w:vAlign w:val="center"/>
                </w:tcPr>
                <w:p w14:paraId="29600D26">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w:t>
                  </w:r>
                </w:p>
              </w:tc>
              <w:tc>
                <w:tcPr>
                  <w:tcW w:w="1485" w:type="dxa"/>
                  <w:vAlign w:val="center"/>
                </w:tcPr>
                <w:p w14:paraId="479800C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30000</w:t>
                  </w:r>
                </w:p>
              </w:tc>
              <w:tc>
                <w:tcPr>
                  <w:tcW w:w="1320" w:type="dxa"/>
                  <w:vAlign w:val="center"/>
                </w:tcPr>
                <w:p w14:paraId="11864F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30000</w:t>
                  </w:r>
                </w:p>
              </w:tc>
              <w:tc>
                <w:tcPr>
                  <w:tcW w:w="705" w:type="dxa"/>
                  <w:vAlign w:val="center"/>
                </w:tcPr>
                <w:p w14:paraId="18B56E3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bCs/>
                      <w:color w:val="auto"/>
                      <w:sz w:val="18"/>
                      <w:szCs w:val="18"/>
                      <w:highlight w:val="none"/>
                    </w:rPr>
                    <w:t>t/a</w:t>
                  </w:r>
                </w:p>
              </w:tc>
              <w:tc>
                <w:tcPr>
                  <w:tcW w:w="775" w:type="dxa"/>
                  <w:vAlign w:val="center"/>
                </w:tcPr>
                <w:p w14:paraId="597BB839">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bCs/>
                      <w:color w:val="auto"/>
                      <w:sz w:val="18"/>
                      <w:szCs w:val="18"/>
                      <w:highlight w:val="none"/>
                    </w:rPr>
                    <w:t>外购</w:t>
                  </w:r>
                </w:p>
              </w:tc>
            </w:tr>
            <w:tr w14:paraId="282426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3" w:type="dxa"/>
                  <w:vAlign w:val="center"/>
                </w:tcPr>
                <w:p w14:paraId="093AF46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w:t>
                  </w:r>
                </w:p>
              </w:tc>
              <w:tc>
                <w:tcPr>
                  <w:tcW w:w="2010" w:type="dxa"/>
                  <w:vAlign w:val="center"/>
                </w:tcPr>
                <w:p w14:paraId="67A24B8A">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水稻（含水率22%）</w:t>
                  </w:r>
                </w:p>
              </w:tc>
              <w:tc>
                <w:tcPr>
                  <w:tcW w:w="1147" w:type="dxa"/>
                  <w:vAlign w:val="center"/>
                </w:tcPr>
                <w:p w14:paraId="799CBEB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w:t>
                  </w:r>
                </w:p>
              </w:tc>
              <w:tc>
                <w:tcPr>
                  <w:tcW w:w="1485" w:type="dxa"/>
                  <w:vAlign w:val="center"/>
                </w:tcPr>
                <w:p w14:paraId="18A642B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60000</w:t>
                  </w:r>
                </w:p>
              </w:tc>
              <w:tc>
                <w:tcPr>
                  <w:tcW w:w="1320" w:type="dxa"/>
                  <w:vAlign w:val="center"/>
                </w:tcPr>
                <w:p w14:paraId="79613B5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60000</w:t>
                  </w:r>
                </w:p>
              </w:tc>
              <w:tc>
                <w:tcPr>
                  <w:tcW w:w="705" w:type="dxa"/>
                  <w:vAlign w:val="center"/>
                </w:tcPr>
                <w:p w14:paraId="0BD18904">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t/a</w:t>
                  </w:r>
                </w:p>
              </w:tc>
              <w:tc>
                <w:tcPr>
                  <w:tcW w:w="775" w:type="dxa"/>
                  <w:vAlign w:val="center"/>
                </w:tcPr>
                <w:p w14:paraId="44B3C4E4">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外购</w:t>
                  </w:r>
                </w:p>
              </w:tc>
            </w:tr>
            <w:tr w14:paraId="0F3E81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3" w:type="dxa"/>
                  <w:vAlign w:val="center"/>
                </w:tcPr>
                <w:p w14:paraId="19EF775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w:t>
                  </w:r>
                </w:p>
              </w:tc>
              <w:tc>
                <w:tcPr>
                  <w:tcW w:w="2010" w:type="dxa"/>
                  <w:vAlign w:val="center"/>
                </w:tcPr>
                <w:p w14:paraId="474BAA40">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生物质颗粒</w:t>
                  </w:r>
                </w:p>
              </w:tc>
              <w:tc>
                <w:tcPr>
                  <w:tcW w:w="1147" w:type="dxa"/>
                  <w:vAlign w:val="center"/>
                </w:tcPr>
                <w:p w14:paraId="35D86BAB">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w:t>
                  </w:r>
                </w:p>
              </w:tc>
              <w:tc>
                <w:tcPr>
                  <w:tcW w:w="1485" w:type="dxa"/>
                  <w:vAlign w:val="center"/>
                </w:tcPr>
                <w:p w14:paraId="7726E53B">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eastAsia"/>
                      <w:color w:val="auto"/>
                      <w:sz w:val="18"/>
                      <w:szCs w:val="18"/>
                      <w:highlight w:val="none"/>
                      <w:lang w:val="en-US" w:eastAsia="zh-CN"/>
                    </w:rPr>
                    <w:t>9272.6</w:t>
                  </w:r>
                </w:p>
              </w:tc>
              <w:tc>
                <w:tcPr>
                  <w:tcW w:w="1320" w:type="dxa"/>
                  <w:vAlign w:val="center"/>
                </w:tcPr>
                <w:p w14:paraId="7E3508DF">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eastAsia"/>
                      <w:color w:val="auto"/>
                      <w:sz w:val="18"/>
                      <w:szCs w:val="18"/>
                      <w:highlight w:val="none"/>
                      <w:lang w:val="en-US" w:eastAsia="zh-CN"/>
                    </w:rPr>
                    <w:t>9272.6</w:t>
                  </w:r>
                </w:p>
              </w:tc>
              <w:tc>
                <w:tcPr>
                  <w:tcW w:w="705" w:type="dxa"/>
                  <w:vAlign w:val="center"/>
                </w:tcPr>
                <w:p w14:paraId="6AC4B827">
                  <w:pPr>
                    <w:keepNext w:val="0"/>
                    <w:keepLines w:val="0"/>
                    <w:widowControl/>
                    <w:suppressLineNumbers w:val="0"/>
                    <w:spacing w:before="0" w:beforeAutospacing="0" w:after="0" w:afterAutospacing="0"/>
                    <w:ind w:left="0" w:leftChars="0" w:right="0" w:rightChars="0"/>
                    <w:jc w:val="center"/>
                    <w:rPr>
                      <w:rFonts w:hint="default" w:cs="Times New Roman" w:eastAsiaTheme="minorEastAsia"/>
                      <w:bCs/>
                      <w:color w:val="auto"/>
                      <w:sz w:val="18"/>
                      <w:szCs w:val="18"/>
                      <w:highlight w:val="none"/>
                      <w:lang w:val="en-US" w:eastAsia="zh-CN"/>
                    </w:rPr>
                  </w:pPr>
                  <w:r>
                    <w:rPr>
                      <w:rFonts w:hint="default" w:ascii="Times New Roman" w:hAnsi="Times New Roman" w:cs="Times New Roman"/>
                      <w:bCs/>
                      <w:color w:val="auto"/>
                      <w:sz w:val="18"/>
                      <w:szCs w:val="18"/>
                      <w:highlight w:val="none"/>
                    </w:rPr>
                    <w:t>t/a</w:t>
                  </w:r>
                </w:p>
              </w:tc>
              <w:tc>
                <w:tcPr>
                  <w:tcW w:w="775" w:type="dxa"/>
                  <w:vAlign w:val="center"/>
                </w:tcPr>
                <w:p w14:paraId="44CC336C">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外购</w:t>
                  </w:r>
                </w:p>
              </w:tc>
            </w:tr>
          </w:tbl>
          <w:p w14:paraId="1409F100">
            <w:pPr>
              <w:pStyle w:val="157"/>
              <w:keepNext w:val="0"/>
              <w:keepLines w:val="0"/>
              <w:suppressLineNumbers w:val="0"/>
              <w:spacing w:before="0" w:beforeAutospacing="0" w:after="0" w:afterAutospacing="0" w:line="240" w:lineRule="auto"/>
              <w:ind w:left="0" w:right="0"/>
              <w:rPr>
                <w:rFonts w:hint="default" w:eastAsia="宋体"/>
                <w:color w:val="auto"/>
                <w:highlight w:val="none"/>
                <w:lang w:val="en-US"/>
              </w:rPr>
            </w:pPr>
            <w:r>
              <w:rPr>
                <w:rFonts w:hint="eastAsia" w:eastAsia="宋体"/>
                <w:color w:val="auto"/>
                <w:highlight w:val="none"/>
              </w:rPr>
              <w:t>表2-</w:t>
            </w:r>
            <w:r>
              <w:rPr>
                <w:rFonts w:hint="eastAsia"/>
                <w:color w:val="auto"/>
                <w:highlight w:val="none"/>
                <w:lang w:val="en-US" w:eastAsia="zh-CN"/>
              </w:rPr>
              <w:t>5</w:t>
            </w:r>
            <w:r>
              <w:rPr>
                <w:rFonts w:hint="eastAsia" w:eastAsia="宋体"/>
                <w:color w:val="auto"/>
                <w:highlight w:val="none"/>
              </w:rPr>
              <w:t xml:space="preserve"> </w:t>
            </w:r>
            <w:r>
              <w:rPr>
                <w:rFonts w:hint="eastAsia"/>
                <w:color w:val="auto"/>
                <w:highlight w:val="none"/>
                <w:lang w:val="en-US" w:eastAsia="zh-CN"/>
              </w:rPr>
              <w:t>生物质成分分析一览表</w:t>
            </w:r>
          </w:p>
          <w:tbl>
            <w:tblPr>
              <w:tblStyle w:val="36"/>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9"/>
              <w:gridCol w:w="1325"/>
              <w:gridCol w:w="1615"/>
              <w:gridCol w:w="2410"/>
            </w:tblGrid>
            <w:tr w14:paraId="1807B8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7D29913F">
                  <w:pPr>
                    <w:pStyle w:val="157"/>
                    <w:keepNext w:val="0"/>
                    <w:keepLines w:val="0"/>
                    <w:suppressLineNumbers w:val="0"/>
                    <w:spacing w:before="0" w:beforeAutospacing="0" w:after="0" w:afterAutospacing="0" w:line="240" w:lineRule="auto"/>
                    <w:ind w:left="0" w:right="0"/>
                    <w:rPr>
                      <w:rFonts w:hint="eastAsia" w:eastAsia="宋体"/>
                      <w:color w:val="auto"/>
                      <w:highlight w:val="none"/>
                      <w:vertAlign w:val="baseline"/>
                      <w:lang w:val="en-US" w:eastAsia="zh-CN"/>
                    </w:rPr>
                  </w:pPr>
                  <w:r>
                    <w:rPr>
                      <w:rFonts w:hint="eastAsia"/>
                      <w:color w:val="auto"/>
                      <w:highlight w:val="none"/>
                      <w:vertAlign w:val="baseline"/>
                      <w:lang w:val="en-US" w:eastAsia="zh-CN"/>
                    </w:rPr>
                    <w:t>名称</w:t>
                  </w:r>
                </w:p>
              </w:tc>
              <w:tc>
                <w:tcPr>
                  <w:tcW w:w="1325" w:type="dxa"/>
                  <w:tcBorders>
                    <w:tl2br w:val="nil"/>
                    <w:tr2bl w:val="nil"/>
                  </w:tcBorders>
                  <w:vAlign w:val="center"/>
                </w:tcPr>
                <w:p w14:paraId="3A90DD82">
                  <w:pPr>
                    <w:pStyle w:val="157"/>
                    <w:keepNext w:val="0"/>
                    <w:keepLines w:val="0"/>
                    <w:suppressLineNumbers w:val="0"/>
                    <w:spacing w:before="0" w:beforeAutospacing="0" w:after="0" w:afterAutospacing="0" w:line="240" w:lineRule="auto"/>
                    <w:ind w:left="0" w:right="0"/>
                    <w:rPr>
                      <w:rFonts w:hint="default" w:eastAsia="宋体"/>
                      <w:color w:val="auto"/>
                      <w:highlight w:val="none"/>
                      <w:vertAlign w:val="baseline"/>
                      <w:lang w:val="en-US" w:eastAsia="zh-CN"/>
                    </w:rPr>
                  </w:pPr>
                  <w:r>
                    <w:rPr>
                      <w:rFonts w:hint="eastAsia"/>
                      <w:color w:val="auto"/>
                      <w:highlight w:val="none"/>
                      <w:vertAlign w:val="baseline"/>
                      <w:lang w:val="en-US" w:eastAsia="zh-CN"/>
                    </w:rPr>
                    <w:t>符号</w:t>
                  </w:r>
                </w:p>
              </w:tc>
              <w:tc>
                <w:tcPr>
                  <w:tcW w:w="1615" w:type="dxa"/>
                  <w:tcBorders>
                    <w:tl2br w:val="nil"/>
                    <w:tr2bl w:val="nil"/>
                  </w:tcBorders>
                  <w:vAlign w:val="center"/>
                </w:tcPr>
                <w:p w14:paraId="374A1943">
                  <w:pPr>
                    <w:pStyle w:val="157"/>
                    <w:keepNext w:val="0"/>
                    <w:keepLines w:val="0"/>
                    <w:suppressLineNumbers w:val="0"/>
                    <w:spacing w:before="0" w:beforeAutospacing="0" w:after="0" w:afterAutospacing="0" w:line="240" w:lineRule="auto"/>
                    <w:ind w:left="0" w:right="0"/>
                    <w:rPr>
                      <w:rFonts w:hint="eastAsia" w:eastAsia="宋体"/>
                      <w:color w:val="auto"/>
                      <w:highlight w:val="none"/>
                      <w:vertAlign w:val="baseline"/>
                      <w:lang w:val="en-US" w:eastAsia="zh-CN"/>
                    </w:rPr>
                  </w:pPr>
                  <w:r>
                    <w:rPr>
                      <w:rFonts w:hint="eastAsia"/>
                      <w:color w:val="auto"/>
                      <w:highlight w:val="none"/>
                      <w:vertAlign w:val="baseline"/>
                      <w:lang w:val="en-US" w:eastAsia="zh-CN"/>
                    </w:rPr>
                    <w:t>单位</w:t>
                  </w:r>
                </w:p>
              </w:tc>
              <w:tc>
                <w:tcPr>
                  <w:tcW w:w="2410" w:type="dxa"/>
                  <w:tcBorders>
                    <w:tl2br w:val="nil"/>
                    <w:tr2bl w:val="nil"/>
                  </w:tcBorders>
                  <w:vAlign w:val="center"/>
                </w:tcPr>
                <w:p w14:paraId="41699B63">
                  <w:pPr>
                    <w:pStyle w:val="157"/>
                    <w:keepNext w:val="0"/>
                    <w:keepLines w:val="0"/>
                    <w:suppressLineNumbers w:val="0"/>
                    <w:spacing w:before="0" w:beforeAutospacing="0" w:after="0" w:afterAutospacing="0" w:line="240" w:lineRule="auto"/>
                    <w:ind w:left="0" w:right="0"/>
                    <w:rPr>
                      <w:rFonts w:hint="default" w:eastAsia="宋体"/>
                      <w:color w:val="auto"/>
                      <w:highlight w:val="none"/>
                      <w:vertAlign w:val="baseline"/>
                      <w:lang w:val="en-US" w:eastAsia="zh-CN"/>
                    </w:rPr>
                  </w:pPr>
                  <w:r>
                    <w:rPr>
                      <w:rFonts w:hint="eastAsia"/>
                      <w:color w:val="auto"/>
                      <w:highlight w:val="none"/>
                      <w:vertAlign w:val="baseline"/>
                      <w:lang w:val="en-US" w:eastAsia="zh-CN"/>
                    </w:rPr>
                    <w:t>生物质燃料</w:t>
                  </w:r>
                </w:p>
              </w:tc>
            </w:tr>
            <w:tr w14:paraId="61A6B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6F579D2F">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空气干燥基水分</w:t>
                  </w:r>
                </w:p>
              </w:tc>
              <w:tc>
                <w:tcPr>
                  <w:tcW w:w="1325" w:type="dxa"/>
                  <w:tcBorders>
                    <w:tl2br w:val="nil"/>
                    <w:tr2bl w:val="nil"/>
                  </w:tcBorders>
                  <w:vAlign w:val="center"/>
                </w:tcPr>
                <w:p w14:paraId="5559767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Mad</w:t>
                  </w:r>
                </w:p>
              </w:tc>
              <w:tc>
                <w:tcPr>
                  <w:tcW w:w="1615" w:type="dxa"/>
                  <w:tcBorders>
                    <w:tl2br w:val="nil"/>
                    <w:tr2bl w:val="nil"/>
                  </w:tcBorders>
                  <w:vAlign w:val="center"/>
                </w:tcPr>
                <w:p w14:paraId="4665577C">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5322471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3.14</w:t>
                  </w:r>
                </w:p>
              </w:tc>
            </w:tr>
            <w:tr w14:paraId="71BE3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02EDB36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全水分</w:t>
                  </w:r>
                </w:p>
              </w:tc>
              <w:tc>
                <w:tcPr>
                  <w:tcW w:w="1325" w:type="dxa"/>
                  <w:tcBorders>
                    <w:tl2br w:val="nil"/>
                    <w:tr2bl w:val="nil"/>
                  </w:tcBorders>
                  <w:vAlign w:val="center"/>
                </w:tcPr>
                <w:p w14:paraId="52E7424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Mt</w:t>
                  </w:r>
                </w:p>
              </w:tc>
              <w:tc>
                <w:tcPr>
                  <w:tcW w:w="1615" w:type="dxa"/>
                  <w:tcBorders>
                    <w:tl2br w:val="nil"/>
                    <w:tr2bl w:val="nil"/>
                  </w:tcBorders>
                  <w:vAlign w:val="center"/>
                </w:tcPr>
                <w:p w14:paraId="4A51BE54">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34EB761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30.6</w:t>
                  </w:r>
                </w:p>
              </w:tc>
            </w:tr>
            <w:tr w14:paraId="02357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14201BFE">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空气干燥基挥发分</w:t>
                  </w:r>
                </w:p>
              </w:tc>
              <w:tc>
                <w:tcPr>
                  <w:tcW w:w="1325" w:type="dxa"/>
                  <w:tcBorders>
                    <w:tl2br w:val="nil"/>
                    <w:tr2bl w:val="nil"/>
                  </w:tcBorders>
                  <w:vAlign w:val="center"/>
                </w:tcPr>
                <w:p w14:paraId="762B1F2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Vad</w:t>
                  </w:r>
                </w:p>
              </w:tc>
              <w:tc>
                <w:tcPr>
                  <w:tcW w:w="1615" w:type="dxa"/>
                  <w:tcBorders>
                    <w:tl2br w:val="nil"/>
                    <w:tr2bl w:val="nil"/>
                  </w:tcBorders>
                  <w:vAlign w:val="center"/>
                </w:tcPr>
                <w:p w14:paraId="61982160">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1BF0F6F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13.77</w:t>
                  </w:r>
                </w:p>
              </w:tc>
            </w:tr>
            <w:tr w14:paraId="42E730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016BA01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干燥无灰基挥发分</w:t>
                  </w:r>
                </w:p>
              </w:tc>
              <w:tc>
                <w:tcPr>
                  <w:tcW w:w="1325" w:type="dxa"/>
                  <w:tcBorders>
                    <w:tl2br w:val="nil"/>
                    <w:tr2bl w:val="nil"/>
                  </w:tcBorders>
                  <w:vAlign w:val="center"/>
                </w:tcPr>
                <w:p w14:paraId="318DC2E2">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Vdaf</w:t>
                  </w:r>
                </w:p>
              </w:tc>
              <w:tc>
                <w:tcPr>
                  <w:tcW w:w="1615" w:type="dxa"/>
                  <w:tcBorders>
                    <w:tl2br w:val="nil"/>
                    <w:tr2bl w:val="nil"/>
                  </w:tcBorders>
                  <w:vAlign w:val="center"/>
                </w:tcPr>
                <w:p w14:paraId="6427CF0B">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3EFCCEE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80.46</w:t>
                  </w:r>
                </w:p>
              </w:tc>
            </w:tr>
            <w:tr w14:paraId="642E0E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31E80BE4">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空气干燥基灰分</w:t>
                  </w:r>
                </w:p>
              </w:tc>
              <w:tc>
                <w:tcPr>
                  <w:tcW w:w="1325" w:type="dxa"/>
                  <w:tcBorders>
                    <w:tl2br w:val="nil"/>
                    <w:tr2bl w:val="nil"/>
                  </w:tcBorders>
                  <w:vAlign w:val="center"/>
                </w:tcPr>
                <w:p w14:paraId="7252DB8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Aad</w:t>
                  </w:r>
                </w:p>
              </w:tc>
              <w:tc>
                <w:tcPr>
                  <w:tcW w:w="1615" w:type="dxa"/>
                  <w:tcBorders>
                    <w:tl2br w:val="nil"/>
                    <w:tr2bl w:val="nil"/>
                  </w:tcBorders>
                  <w:vAlign w:val="center"/>
                </w:tcPr>
                <w:p w14:paraId="3C42073D">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718D621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5.18</w:t>
                  </w:r>
                </w:p>
              </w:tc>
            </w:tr>
            <w:tr w14:paraId="04009C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4F79D69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收到基灰分</w:t>
                  </w:r>
                </w:p>
              </w:tc>
              <w:tc>
                <w:tcPr>
                  <w:tcW w:w="1325" w:type="dxa"/>
                  <w:tcBorders>
                    <w:tl2br w:val="nil"/>
                    <w:tr2bl w:val="nil"/>
                  </w:tcBorders>
                  <w:vAlign w:val="center"/>
                </w:tcPr>
                <w:p w14:paraId="24DDF757">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Aar</w:t>
                  </w:r>
                </w:p>
              </w:tc>
              <w:tc>
                <w:tcPr>
                  <w:tcW w:w="1615" w:type="dxa"/>
                  <w:tcBorders>
                    <w:tl2br w:val="nil"/>
                    <w:tr2bl w:val="nil"/>
                  </w:tcBorders>
                  <w:vAlign w:val="center"/>
                </w:tcPr>
                <w:p w14:paraId="5342FA3E">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04AED4D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3.71</w:t>
                  </w:r>
                </w:p>
              </w:tc>
            </w:tr>
            <w:tr w14:paraId="33D1F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45AFA15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空气干燥基全硫</w:t>
                  </w:r>
                </w:p>
              </w:tc>
              <w:tc>
                <w:tcPr>
                  <w:tcW w:w="1325" w:type="dxa"/>
                  <w:tcBorders>
                    <w:tl2br w:val="nil"/>
                    <w:tr2bl w:val="nil"/>
                  </w:tcBorders>
                  <w:vAlign w:val="center"/>
                </w:tcPr>
                <w:p w14:paraId="1FDD202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St,ad</w:t>
                  </w:r>
                </w:p>
              </w:tc>
              <w:tc>
                <w:tcPr>
                  <w:tcW w:w="1615" w:type="dxa"/>
                  <w:tcBorders>
                    <w:tl2br w:val="nil"/>
                    <w:tr2bl w:val="nil"/>
                  </w:tcBorders>
                  <w:vAlign w:val="center"/>
                </w:tcPr>
                <w:p w14:paraId="045C48A3">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196990AC">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0.04</w:t>
                  </w:r>
                </w:p>
              </w:tc>
            </w:tr>
            <w:tr w14:paraId="3CDC9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l2br w:val="nil"/>
                    <w:tr2bl w:val="nil"/>
                  </w:tcBorders>
                  <w:vAlign w:val="center"/>
                </w:tcPr>
                <w:p w14:paraId="32BE85CB">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收到基全硫</w:t>
                  </w:r>
                </w:p>
              </w:tc>
              <w:tc>
                <w:tcPr>
                  <w:tcW w:w="1325" w:type="dxa"/>
                  <w:tcBorders>
                    <w:tl2br w:val="nil"/>
                    <w:tr2bl w:val="nil"/>
                  </w:tcBorders>
                  <w:vAlign w:val="center"/>
                </w:tcPr>
                <w:p w14:paraId="2A42E705">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St,ar</w:t>
                  </w:r>
                </w:p>
              </w:tc>
              <w:tc>
                <w:tcPr>
                  <w:tcW w:w="1615" w:type="dxa"/>
                  <w:tcBorders>
                    <w:tl2br w:val="nil"/>
                    <w:tr2bl w:val="nil"/>
                  </w:tcBorders>
                  <w:vAlign w:val="center"/>
                </w:tcPr>
                <w:p w14:paraId="1BF1525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w:t>
                  </w:r>
                </w:p>
              </w:tc>
              <w:tc>
                <w:tcPr>
                  <w:tcW w:w="2410" w:type="dxa"/>
                  <w:tcBorders>
                    <w:tl2br w:val="nil"/>
                    <w:tr2bl w:val="nil"/>
                  </w:tcBorders>
                  <w:vAlign w:val="center"/>
                </w:tcPr>
                <w:p w14:paraId="2E05F339">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0.03</w:t>
                  </w:r>
                </w:p>
              </w:tc>
            </w:tr>
            <w:tr w14:paraId="4B5FF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restart"/>
                  <w:tcBorders>
                    <w:tl2br w:val="nil"/>
                    <w:tr2bl w:val="nil"/>
                  </w:tcBorders>
                  <w:vAlign w:val="center"/>
                </w:tcPr>
                <w:p w14:paraId="1048DF9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空气干燥基高位发热量</w:t>
                  </w:r>
                </w:p>
              </w:tc>
              <w:tc>
                <w:tcPr>
                  <w:tcW w:w="1325" w:type="dxa"/>
                  <w:vMerge w:val="restart"/>
                  <w:tcBorders>
                    <w:tl2br w:val="nil"/>
                    <w:tr2bl w:val="nil"/>
                  </w:tcBorders>
                  <w:vAlign w:val="center"/>
                </w:tcPr>
                <w:p w14:paraId="0508A36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Qgr,ad</w:t>
                  </w:r>
                </w:p>
              </w:tc>
              <w:tc>
                <w:tcPr>
                  <w:tcW w:w="1615" w:type="dxa"/>
                  <w:tcBorders>
                    <w:tl2br w:val="nil"/>
                    <w:tr2bl w:val="nil"/>
                  </w:tcBorders>
                  <w:vAlign w:val="center"/>
                </w:tcPr>
                <w:p w14:paraId="416180F6">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MJ/kg</w:t>
                  </w:r>
                </w:p>
              </w:tc>
              <w:tc>
                <w:tcPr>
                  <w:tcW w:w="2410" w:type="dxa"/>
                  <w:tcBorders>
                    <w:tl2br w:val="nil"/>
                    <w:tr2bl w:val="nil"/>
                  </w:tcBorders>
                  <w:vAlign w:val="center"/>
                </w:tcPr>
                <w:p w14:paraId="68609AD1">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19.75</w:t>
                  </w:r>
                </w:p>
              </w:tc>
            </w:tr>
            <w:tr w14:paraId="6DD0DD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continue"/>
                  <w:tcBorders>
                    <w:tl2br w:val="nil"/>
                    <w:tr2bl w:val="nil"/>
                  </w:tcBorders>
                  <w:vAlign w:val="center"/>
                </w:tcPr>
                <w:p w14:paraId="7B62565B">
                  <w:pPr>
                    <w:pStyle w:val="157"/>
                    <w:keepNext w:val="0"/>
                    <w:keepLines w:val="0"/>
                    <w:suppressLineNumbers w:val="0"/>
                    <w:spacing w:before="0" w:beforeAutospacing="0" w:after="0" w:afterAutospacing="0" w:line="240" w:lineRule="auto"/>
                    <w:ind w:left="0" w:right="0"/>
                    <w:rPr>
                      <w:rFonts w:hint="eastAsia"/>
                      <w:b w:val="0"/>
                      <w:bCs/>
                      <w:color w:val="auto"/>
                      <w:highlight w:val="none"/>
                      <w:vertAlign w:val="baseline"/>
                      <w:lang w:val="en-US" w:eastAsia="zh-CN"/>
                    </w:rPr>
                  </w:pPr>
                </w:p>
              </w:tc>
              <w:tc>
                <w:tcPr>
                  <w:tcW w:w="1325" w:type="dxa"/>
                  <w:vMerge w:val="continue"/>
                  <w:tcBorders>
                    <w:tl2br w:val="nil"/>
                    <w:tr2bl w:val="nil"/>
                  </w:tcBorders>
                  <w:vAlign w:val="center"/>
                </w:tcPr>
                <w:p w14:paraId="1FFAA5AE">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rPr>
                  </w:pPr>
                </w:p>
              </w:tc>
              <w:tc>
                <w:tcPr>
                  <w:tcW w:w="1615" w:type="dxa"/>
                  <w:tcBorders>
                    <w:tl2br w:val="nil"/>
                    <w:tr2bl w:val="nil"/>
                  </w:tcBorders>
                  <w:vAlign w:val="center"/>
                </w:tcPr>
                <w:p w14:paraId="63F31D18">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Kc/kg</w:t>
                  </w:r>
                </w:p>
              </w:tc>
              <w:tc>
                <w:tcPr>
                  <w:tcW w:w="2410" w:type="dxa"/>
                  <w:tcBorders>
                    <w:tl2br w:val="nil"/>
                    <w:tr2bl w:val="nil"/>
                  </w:tcBorders>
                  <w:vAlign w:val="center"/>
                </w:tcPr>
                <w:p w14:paraId="0CB287F3">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4726</w:t>
                  </w:r>
                </w:p>
              </w:tc>
            </w:tr>
            <w:tr w14:paraId="2E518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restart"/>
                  <w:tcBorders>
                    <w:tl2br w:val="nil"/>
                    <w:tr2bl w:val="nil"/>
                  </w:tcBorders>
                  <w:vAlign w:val="center"/>
                </w:tcPr>
                <w:p w14:paraId="1D1E58A9">
                  <w:pPr>
                    <w:pStyle w:val="157"/>
                    <w:keepNext w:val="0"/>
                    <w:keepLines w:val="0"/>
                    <w:suppressLineNumbers w:val="0"/>
                    <w:spacing w:before="0" w:beforeAutospacing="0" w:after="0" w:afterAutospacing="0" w:line="240" w:lineRule="auto"/>
                    <w:ind w:left="0" w:right="0"/>
                    <w:rPr>
                      <w:rFonts w:hint="default"/>
                      <w:b w:val="0"/>
                      <w:bCs/>
                      <w:color w:val="auto"/>
                      <w:highlight w:val="none"/>
                      <w:vertAlign w:val="baseline"/>
                      <w:lang w:val="en-US" w:eastAsia="zh-CN"/>
                    </w:rPr>
                  </w:pPr>
                  <w:r>
                    <w:rPr>
                      <w:rFonts w:hint="eastAsia"/>
                      <w:b w:val="0"/>
                      <w:bCs/>
                      <w:color w:val="auto"/>
                      <w:highlight w:val="none"/>
                      <w:vertAlign w:val="baseline"/>
                      <w:lang w:val="en-US" w:eastAsia="zh-CN"/>
                    </w:rPr>
                    <w:t>收到基低位发热量</w:t>
                  </w:r>
                </w:p>
              </w:tc>
              <w:tc>
                <w:tcPr>
                  <w:tcW w:w="1325" w:type="dxa"/>
                  <w:vMerge w:val="restart"/>
                  <w:tcBorders>
                    <w:tl2br w:val="nil"/>
                    <w:tr2bl w:val="nil"/>
                  </w:tcBorders>
                  <w:vAlign w:val="center"/>
                </w:tcPr>
                <w:p w14:paraId="33CD5C11">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Qnet,ar</w:t>
                  </w:r>
                </w:p>
              </w:tc>
              <w:tc>
                <w:tcPr>
                  <w:tcW w:w="1615" w:type="dxa"/>
                  <w:tcBorders>
                    <w:tl2br w:val="nil"/>
                    <w:tr2bl w:val="nil"/>
                  </w:tcBorders>
                  <w:shd w:val="clear" w:color="auto" w:fill="auto"/>
                  <w:vAlign w:val="center"/>
                </w:tcPr>
                <w:p w14:paraId="36BDA6F8">
                  <w:pPr>
                    <w:pStyle w:val="157"/>
                    <w:keepNext w:val="0"/>
                    <w:keepLines w:val="0"/>
                    <w:suppressLineNumbers w:val="0"/>
                    <w:spacing w:before="0" w:beforeAutospacing="0" w:after="0" w:afterAutospacing="0" w:line="240" w:lineRule="auto"/>
                    <w:ind w:left="0" w:right="0" w:rightChars="0"/>
                    <w:rPr>
                      <w:rFonts w:hint="eastAsia" w:ascii="Times New Roman" w:hAnsi="Times New Roman" w:eastAsia="宋体" w:cs="Times New Roman"/>
                      <w:b w:val="0"/>
                      <w:bCs/>
                      <w:color w:val="auto"/>
                      <w:kern w:val="0"/>
                      <w:sz w:val="21"/>
                      <w:szCs w:val="21"/>
                      <w:highlight w:val="none"/>
                      <w:vertAlign w:val="baseline"/>
                      <w:lang w:val="en-US" w:eastAsia="zh-CN" w:bidi="ar-SA"/>
                    </w:rPr>
                  </w:pPr>
                  <w:r>
                    <w:rPr>
                      <w:rFonts w:hint="eastAsia"/>
                      <w:b w:val="0"/>
                      <w:bCs/>
                      <w:color w:val="auto"/>
                      <w:highlight w:val="none"/>
                      <w:vertAlign w:val="baseline"/>
                      <w:lang w:val="en-US" w:eastAsia="zh-CN"/>
                    </w:rPr>
                    <w:t>MJ/kg</w:t>
                  </w:r>
                </w:p>
              </w:tc>
              <w:tc>
                <w:tcPr>
                  <w:tcW w:w="2410" w:type="dxa"/>
                  <w:tcBorders>
                    <w:tl2br w:val="nil"/>
                    <w:tr2bl w:val="nil"/>
                  </w:tcBorders>
                  <w:vAlign w:val="center"/>
                </w:tcPr>
                <w:p w14:paraId="49B9194F">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17.52</w:t>
                  </w:r>
                </w:p>
              </w:tc>
            </w:tr>
            <w:tr w14:paraId="09C6E7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Merge w:val="continue"/>
                  <w:tcBorders>
                    <w:tl2br w:val="nil"/>
                    <w:tr2bl w:val="nil"/>
                  </w:tcBorders>
                  <w:vAlign w:val="center"/>
                </w:tcPr>
                <w:p w14:paraId="24DB232C">
                  <w:pPr>
                    <w:pStyle w:val="157"/>
                    <w:keepNext w:val="0"/>
                    <w:keepLines w:val="0"/>
                    <w:suppressLineNumbers w:val="0"/>
                    <w:spacing w:before="0" w:beforeAutospacing="0" w:after="0" w:afterAutospacing="0" w:line="240" w:lineRule="auto"/>
                    <w:ind w:left="0" w:right="0"/>
                    <w:rPr>
                      <w:rFonts w:hint="eastAsia"/>
                      <w:b w:val="0"/>
                      <w:bCs/>
                      <w:color w:val="auto"/>
                      <w:highlight w:val="none"/>
                      <w:vertAlign w:val="baseline"/>
                      <w:lang w:val="en-US" w:eastAsia="zh-CN"/>
                    </w:rPr>
                  </w:pPr>
                </w:p>
              </w:tc>
              <w:tc>
                <w:tcPr>
                  <w:tcW w:w="1325" w:type="dxa"/>
                  <w:vMerge w:val="continue"/>
                  <w:tcBorders>
                    <w:tl2br w:val="nil"/>
                    <w:tr2bl w:val="nil"/>
                  </w:tcBorders>
                  <w:vAlign w:val="center"/>
                </w:tcPr>
                <w:p w14:paraId="015D4092">
                  <w:pPr>
                    <w:pStyle w:val="157"/>
                    <w:keepNext w:val="0"/>
                    <w:keepLines w:val="0"/>
                    <w:suppressLineNumbers w:val="0"/>
                    <w:spacing w:before="0" w:beforeAutospacing="0" w:after="0" w:afterAutospacing="0" w:line="240" w:lineRule="auto"/>
                    <w:ind w:left="0" w:right="0"/>
                    <w:rPr>
                      <w:rFonts w:hint="eastAsia" w:eastAsia="宋体"/>
                      <w:b w:val="0"/>
                      <w:bCs/>
                      <w:color w:val="auto"/>
                      <w:highlight w:val="none"/>
                      <w:vertAlign w:val="baseline"/>
                    </w:rPr>
                  </w:pPr>
                </w:p>
              </w:tc>
              <w:tc>
                <w:tcPr>
                  <w:tcW w:w="1615" w:type="dxa"/>
                  <w:tcBorders>
                    <w:tl2br w:val="nil"/>
                    <w:tr2bl w:val="nil"/>
                  </w:tcBorders>
                  <w:shd w:val="clear" w:color="auto" w:fill="auto"/>
                  <w:vAlign w:val="center"/>
                </w:tcPr>
                <w:p w14:paraId="0D5D5009">
                  <w:pPr>
                    <w:pStyle w:val="157"/>
                    <w:keepNext w:val="0"/>
                    <w:keepLines w:val="0"/>
                    <w:suppressLineNumbers w:val="0"/>
                    <w:spacing w:before="0" w:beforeAutospacing="0" w:after="0" w:afterAutospacing="0" w:line="240" w:lineRule="auto"/>
                    <w:ind w:left="0" w:right="0" w:rightChars="0"/>
                    <w:rPr>
                      <w:rFonts w:hint="eastAsia" w:ascii="Times New Roman" w:hAnsi="Times New Roman" w:eastAsia="宋体" w:cs="Times New Roman"/>
                      <w:b w:val="0"/>
                      <w:bCs/>
                      <w:color w:val="auto"/>
                      <w:kern w:val="0"/>
                      <w:sz w:val="21"/>
                      <w:szCs w:val="21"/>
                      <w:highlight w:val="none"/>
                      <w:vertAlign w:val="baseline"/>
                      <w:lang w:val="en-US" w:eastAsia="zh-CN" w:bidi="ar-SA"/>
                    </w:rPr>
                  </w:pPr>
                  <w:r>
                    <w:rPr>
                      <w:rFonts w:hint="eastAsia"/>
                      <w:b w:val="0"/>
                      <w:bCs/>
                      <w:color w:val="auto"/>
                      <w:highlight w:val="none"/>
                      <w:vertAlign w:val="baseline"/>
                      <w:lang w:val="en-US" w:eastAsia="zh-CN"/>
                    </w:rPr>
                    <w:t>Kc/kg</w:t>
                  </w:r>
                </w:p>
              </w:tc>
              <w:tc>
                <w:tcPr>
                  <w:tcW w:w="2410" w:type="dxa"/>
                  <w:tcBorders>
                    <w:tl2br w:val="nil"/>
                    <w:tr2bl w:val="nil"/>
                  </w:tcBorders>
                  <w:vAlign w:val="center"/>
                </w:tcPr>
                <w:p w14:paraId="3A20B72A">
                  <w:pPr>
                    <w:pStyle w:val="157"/>
                    <w:keepNext w:val="0"/>
                    <w:keepLines w:val="0"/>
                    <w:suppressLineNumbers w:val="0"/>
                    <w:spacing w:before="0" w:beforeAutospacing="0" w:after="0" w:afterAutospacing="0" w:line="240" w:lineRule="auto"/>
                    <w:ind w:left="0" w:right="0"/>
                    <w:rPr>
                      <w:rFonts w:hint="default" w:eastAsia="宋体"/>
                      <w:b w:val="0"/>
                      <w:bCs/>
                      <w:color w:val="auto"/>
                      <w:highlight w:val="none"/>
                      <w:vertAlign w:val="baseline"/>
                      <w:lang w:val="en-US" w:eastAsia="zh-CN"/>
                    </w:rPr>
                  </w:pPr>
                  <w:r>
                    <w:rPr>
                      <w:rFonts w:hint="eastAsia"/>
                      <w:b w:val="0"/>
                      <w:bCs/>
                      <w:color w:val="auto"/>
                      <w:highlight w:val="none"/>
                      <w:vertAlign w:val="baseline"/>
                      <w:lang w:val="en-US" w:eastAsia="zh-CN"/>
                    </w:rPr>
                    <w:t>4193</w:t>
                  </w:r>
                </w:p>
              </w:tc>
            </w:tr>
          </w:tbl>
          <w:p w14:paraId="0FE15ABE">
            <w:pPr>
              <w:pStyle w:val="157"/>
              <w:keepNext w:val="0"/>
              <w:keepLines w:val="0"/>
              <w:suppressLineNumbers w:val="0"/>
              <w:spacing w:before="0" w:beforeAutospacing="0" w:after="0" w:afterAutospacing="0" w:line="240" w:lineRule="auto"/>
              <w:ind w:left="0" w:right="0"/>
              <w:jc w:val="center"/>
              <w:rPr>
                <w:rFonts w:hint="default" w:eastAsia="宋体"/>
                <w:color w:val="auto"/>
                <w:highlight w:val="none"/>
              </w:rPr>
            </w:pPr>
            <w:r>
              <w:rPr>
                <w:rFonts w:hint="eastAsia" w:eastAsia="宋体"/>
                <w:color w:val="auto"/>
                <w:highlight w:val="none"/>
              </w:rPr>
              <w:t>表2-</w:t>
            </w:r>
            <w:r>
              <w:rPr>
                <w:rFonts w:hint="eastAsia"/>
                <w:color w:val="auto"/>
                <w:highlight w:val="none"/>
                <w:lang w:val="en-US" w:eastAsia="zh-CN"/>
              </w:rPr>
              <w:t>6</w:t>
            </w:r>
            <w:r>
              <w:rPr>
                <w:rFonts w:hint="eastAsia" w:eastAsia="宋体"/>
                <w:color w:val="auto"/>
                <w:highlight w:val="none"/>
              </w:rPr>
              <w:t xml:space="preserve"> </w:t>
            </w:r>
            <w:r>
              <w:rPr>
                <w:rFonts w:hint="eastAsia"/>
                <w:color w:val="auto"/>
                <w:highlight w:val="none"/>
                <w:lang w:val="en-US" w:eastAsia="zh-CN"/>
              </w:rPr>
              <w:t>玉米烘干</w:t>
            </w:r>
            <w:r>
              <w:rPr>
                <w:rFonts w:hint="eastAsia" w:eastAsia="宋体"/>
                <w:color w:val="auto"/>
                <w:highlight w:val="none"/>
              </w:rPr>
              <w:t>物料平衡表</w:t>
            </w:r>
          </w:p>
          <w:tbl>
            <w:tblPr>
              <w:tblStyle w:val="35"/>
              <w:tblW w:w="4992"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8"/>
              <w:gridCol w:w="1196"/>
              <w:gridCol w:w="2889"/>
              <w:gridCol w:w="1853"/>
            </w:tblGrid>
            <w:tr w14:paraId="20DF7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10" w:type="pct"/>
                  <w:tcBorders>
                    <w:left w:val="nil"/>
                    <w:bottom w:val="single" w:color="auto" w:sz="4" w:space="0"/>
                    <w:right w:val="single" w:color="auto" w:sz="4" w:space="0"/>
                  </w:tcBorders>
                  <w:vAlign w:val="center"/>
                </w:tcPr>
                <w:p w14:paraId="2F40B8FB">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原料</w:t>
                  </w:r>
                </w:p>
              </w:tc>
              <w:tc>
                <w:tcPr>
                  <w:tcW w:w="743" w:type="pct"/>
                  <w:tcBorders>
                    <w:left w:val="single" w:color="auto" w:sz="4" w:space="0"/>
                    <w:bottom w:val="single" w:color="auto" w:sz="4" w:space="0"/>
                    <w:right w:val="single" w:color="auto" w:sz="4" w:space="0"/>
                  </w:tcBorders>
                  <w:vAlign w:val="center"/>
                </w:tcPr>
                <w:p w14:paraId="17FEC2DF">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进料量（t/a）</w:t>
                  </w:r>
                </w:p>
              </w:tc>
              <w:tc>
                <w:tcPr>
                  <w:tcW w:w="1795" w:type="pct"/>
                  <w:tcBorders>
                    <w:left w:val="single" w:color="auto" w:sz="4" w:space="0"/>
                    <w:bottom w:val="single" w:color="auto" w:sz="4" w:space="0"/>
                    <w:right w:val="single" w:color="auto" w:sz="4" w:space="0"/>
                  </w:tcBorders>
                  <w:vAlign w:val="center"/>
                </w:tcPr>
                <w:p w14:paraId="46CCBE07">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w:t>
                  </w:r>
                </w:p>
              </w:tc>
              <w:tc>
                <w:tcPr>
                  <w:tcW w:w="1151" w:type="pct"/>
                  <w:tcBorders>
                    <w:left w:val="single" w:color="auto" w:sz="4" w:space="0"/>
                    <w:bottom w:val="single" w:color="auto" w:sz="4" w:space="0"/>
                    <w:right w:val="nil"/>
                  </w:tcBorders>
                  <w:vAlign w:val="center"/>
                </w:tcPr>
                <w:p w14:paraId="22C7A9C6">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产生量（t/a）</w:t>
                  </w:r>
                </w:p>
              </w:tc>
            </w:tr>
            <w:tr w14:paraId="22B1CA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10" w:type="pct"/>
                  <w:vMerge w:val="restart"/>
                  <w:tcBorders>
                    <w:top w:val="single" w:color="auto" w:sz="4" w:space="0"/>
                    <w:left w:val="nil"/>
                    <w:right w:val="single" w:color="auto" w:sz="4" w:space="0"/>
                  </w:tcBorders>
                  <w:vAlign w:val="center"/>
                </w:tcPr>
                <w:p w14:paraId="27C4A350">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玉米</w:t>
                  </w:r>
                  <w:r>
                    <w:rPr>
                      <w:rFonts w:hint="default" w:ascii="Times New Roman" w:hAnsi="Times New Roman" w:eastAsia="宋体" w:cs="Times New Roman"/>
                      <w:color w:val="auto"/>
                      <w:kern w:val="0"/>
                      <w:sz w:val="18"/>
                      <w:szCs w:val="18"/>
                      <w:highlight w:val="none"/>
                      <w:lang w:val="fr-FR" w:eastAsia="zh-CN" w:bidi="ar-SA"/>
                    </w:rPr>
                    <w:t>（</w:t>
                  </w:r>
                  <w:r>
                    <w:rPr>
                      <w:rFonts w:hint="default" w:ascii="Times New Roman" w:hAnsi="Times New Roman" w:eastAsia="宋体" w:cs="Times New Roman"/>
                      <w:color w:val="auto"/>
                      <w:kern w:val="0"/>
                      <w:sz w:val="18"/>
                      <w:szCs w:val="18"/>
                      <w:highlight w:val="none"/>
                      <w:lang w:val="en-US" w:eastAsia="zh-CN" w:bidi="ar-SA"/>
                    </w:rPr>
                    <w:t>含水率</w:t>
                  </w:r>
                  <w:r>
                    <w:rPr>
                      <w:rFonts w:hint="eastAsia" w:cs="Times New Roman"/>
                      <w:color w:val="auto"/>
                      <w:kern w:val="0"/>
                      <w:sz w:val="18"/>
                      <w:szCs w:val="18"/>
                      <w:highlight w:val="none"/>
                      <w:lang w:val="en-US" w:eastAsia="zh-CN" w:bidi="ar-SA"/>
                    </w:rPr>
                    <w:t>3</w:t>
                  </w:r>
                  <w:r>
                    <w:rPr>
                      <w:rFonts w:hint="eastAsia" w:ascii="Times New Roman" w:hAnsi="Times New Roman" w:cs="Times New Roman"/>
                      <w:color w:val="auto"/>
                      <w:kern w:val="0"/>
                      <w:sz w:val="18"/>
                      <w:szCs w:val="18"/>
                      <w:highlight w:val="none"/>
                      <w:lang w:val="en-US" w:eastAsia="zh-CN" w:bidi="ar-SA"/>
                    </w:rPr>
                    <w:t>0</w:t>
                  </w:r>
                  <w:r>
                    <w:rPr>
                      <w:rFonts w:hint="default" w:ascii="Times New Roman" w:hAnsi="Times New Roman" w:eastAsia="宋体" w:cs="Times New Roman"/>
                      <w:color w:val="auto"/>
                      <w:kern w:val="0"/>
                      <w:sz w:val="18"/>
                      <w:szCs w:val="18"/>
                      <w:highlight w:val="none"/>
                      <w:lang w:val="en-US" w:eastAsia="zh-CN" w:bidi="ar-SA"/>
                    </w:rPr>
                    <w:t>%</w:t>
                  </w:r>
                  <w:r>
                    <w:rPr>
                      <w:rFonts w:hint="default" w:ascii="Times New Roman" w:hAnsi="Times New Roman" w:eastAsia="宋体" w:cs="Times New Roman"/>
                      <w:color w:val="auto"/>
                      <w:kern w:val="0"/>
                      <w:sz w:val="18"/>
                      <w:szCs w:val="18"/>
                      <w:highlight w:val="none"/>
                      <w:lang w:val="fr-FR" w:eastAsia="zh-CN" w:bidi="ar-SA"/>
                    </w:rPr>
                    <w:t>）</w:t>
                  </w:r>
                </w:p>
              </w:tc>
              <w:tc>
                <w:tcPr>
                  <w:tcW w:w="743" w:type="pct"/>
                  <w:vMerge w:val="restart"/>
                  <w:tcBorders>
                    <w:top w:val="single" w:color="auto" w:sz="4" w:space="0"/>
                    <w:left w:val="single" w:color="auto" w:sz="4" w:space="0"/>
                    <w:right w:val="single" w:color="auto" w:sz="4" w:space="0"/>
                  </w:tcBorders>
                  <w:vAlign w:val="center"/>
                </w:tcPr>
                <w:p w14:paraId="01BCCDA4">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30000</w:t>
                  </w:r>
                </w:p>
              </w:tc>
              <w:tc>
                <w:tcPr>
                  <w:tcW w:w="1795" w:type="pct"/>
                  <w:tcBorders>
                    <w:top w:val="single" w:color="auto" w:sz="4" w:space="0"/>
                    <w:left w:val="single" w:color="auto" w:sz="4" w:space="0"/>
                    <w:bottom w:val="single" w:color="auto" w:sz="4" w:space="0"/>
                    <w:right w:val="single" w:color="auto" w:sz="4" w:space="0"/>
                  </w:tcBorders>
                  <w:vAlign w:val="center"/>
                </w:tcPr>
                <w:p w14:paraId="15088EB0">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玉米</w:t>
                  </w:r>
                  <w:r>
                    <w:rPr>
                      <w:rFonts w:hint="default" w:ascii="Times New Roman" w:hAnsi="Times New Roman" w:eastAsia="宋体" w:cs="Times New Roman"/>
                      <w:color w:val="auto"/>
                      <w:kern w:val="0"/>
                      <w:sz w:val="18"/>
                      <w:szCs w:val="18"/>
                      <w:highlight w:val="none"/>
                      <w:lang w:val="en-US" w:eastAsia="zh-CN" w:bidi="ar-SA"/>
                    </w:rPr>
                    <w:t>（烘干后含水率为</w:t>
                  </w:r>
                  <w:r>
                    <w:rPr>
                      <w:rFonts w:hint="eastAsia" w:eastAsia="宋体" w:cs="Times New Roman"/>
                      <w:color w:val="auto"/>
                      <w:kern w:val="0"/>
                      <w:sz w:val="18"/>
                      <w:szCs w:val="18"/>
                      <w:highlight w:val="none"/>
                      <w:lang w:val="en-US" w:eastAsia="zh-CN" w:bidi="ar-SA"/>
                    </w:rPr>
                    <w:t>1</w:t>
                  </w:r>
                  <w:r>
                    <w:rPr>
                      <w:rFonts w:hint="eastAsia" w:cs="Times New Roman"/>
                      <w:color w:val="auto"/>
                      <w:kern w:val="0"/>
                      <w:sz w:val="18"/>
                      <w:szCs w:val="18"/>
                      <w:highlight w:val="none"/>
                      <w:lang w:val="en-US" w:eastAsia="zh-CN" w:bidi="ar-SA"/>
                    </w:rPr>
                    <w:t>4</w:t>
                  </w:r>
                  <w:r>
                    <w:rPr>
                      <w:rFonts w:hint="default" w:ascii="Times New Roman" w:hAnsi="Times New Roman" w:eastAsia="宋体" w:cs="Times New Roman"/>
                      <w:color w:val="auto"/>
                      <w:kern w:val="0"/>
                      <w:sz w:val="18"/>
                      <w:szCs w:val="18"/>
                      <w:highlight w:val="none"/>
                      <w:lang w:val="en-US" w:eastAsia="zh-CN" w:bidi="ar-SA"/>
                    </w:rPr>
                    <w:t>%）</w:t>
                  </w:r>
                </w:p>
              </w:tc>
              <w:tc>
                <w:tcPr>
                  <w:tcW w:w="1151" w:type="pct"/>
                  <w:tcBorders>
                    <w:top w:val="single" w:color="auto" w:sz="4" w:space="0"/>
                    <w:left w:val="single" w:color="auto" w:sz="4" w:space="0"/>
                    <w:bottom w:val="single" w:color="auto" w:sz="4" w:space="0"/>
                    <w:right w:val="nil"/>
                  </w:tcBorders>
                  <w:vAlign w:val="center"/>
                </w:tcPr>
                <w:p w14:paraId="70B50685">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24367.6</w:t>
                  </w:r>
                </w:p>
              </w:tc>
            </w:tr>
            <w:tr w14:paraId="621767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10" w:type="pct"/>
                  <w:vMerge w:val="continue"/>
                  <w:tcBorders>
                    <w:left w:val="nil"/>
                    <w:right w:val="single" w:color="auto" w:sz="4" w:space="0"/>
                  </w:tcBorders>
                  <w:vAlign w:val="center"/>
                </w:tcPr>
                <w:p w14:paraId="2BB8D219">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752850D7">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151C146F">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蒸发水分</w:t>
                  </w:r>
                </w:p>
              </w:tc>
              <w:tc>
                <w:tcPr>
                  <w:tcW w:w="1151" w:type="pct"/>
                  <w:tcBorders>
                    <w:top w:val="single" w:color="auto" w:sz="4" w:space="0"/>
                    <w:left w:val="single" w:color="auto" w:sz="4" w:space="0"/>
                    <w:bottom w:val="single" w:color="auto" w:sz="4" w:space="0"/>
                    <w:right w:val="nil"/>
                  </w:tcBorders>
                  <w:vAlign w:val="center"/>
                </w:tcPr>
                <w:p w14:paraId="7A255B3E">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5581.4</w:t>
                  </w:r>
                </w:p>
              </w:tc>
            </w:tr>
            <w:tr w14:paraId="7A4AF3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10" w:type="pct"/>
                  <w:vMerge w:val="continue"/>
                  <w:tcBorders>
                    <w:left w:val="nil"/>
                    <w:right w:val="single" w:color="auto" w:sz="4" w:space="0"/>
                  </w:tcBorders>
                  <w:vAlign w:val="center"/>
                </w:tcPr>
                <w:p w14:paraId="3762BE84">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4C3F3E3A">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7CA88E90">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无组织粉尘</w:t>
                  </w:r>
                </w:p>
              </w:tc>
              <w:tc>
                <w:tcPr>
                  <w:tcW w:w="1151" w:type="pct"/>
                  <w:tcBorders>
                    <w:top w:val="single" w:color="auto" w:sz="4" w:space="0"/>
                    <w:left w:val="single" w:color="auto" w:sz="4" w:space="0"/>
                    <w:bottom w:val="single" w:color="auto" w:sz="4" w:space="0"/>
                    <w:right w:val="nil"/>
                  </w:tcBorders>
                  <w:vAlign w:val="center"/>
                </w:tcPr>
                <w:p w14:paraId="28EAF6E1">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1.05</w:t>
                  </w:r>
                </w:p>
              </w:tc>
            </w:tr>
            <w:tr w14:paraId="1FF714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10" w:type="pct"/>
                  <w:vMerge w:val="continue"/>
                  <w:tcBorders>
                    <w:left w:val="nil"/>
                    <w:right w:val="single" w:color="auto" w:sz="4" w:space="0"/>
                  </w:tcBorders>
                  <w:vAlign w:val="center"/>
                </w:tcPr>
                <w:p w14:paraId="6CDDD1E2">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2E5C87E9">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538807FE">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p>
              </w:tc>
              <w:tc>
                <w:tcPr>
                  <w:tcW w:w="1151" w:type="pct"/>
                  <w:tcBorders>
                    <w:top w:val="single" w:color="auto" w:sz="4" w:space="0"/>
                    <w:left w:val="single" w:color="auto" w:sz="4" w:space="0"/>
                    <w:bottom w:val="single" w:color="auto" w:sz="4" w:space="0"/>
                    <w:right w:val="nil"/>
                  </w:tcBorders>
                  <w:vAlign w:val="center"/>
                </w:tcPr>
                <w:p w14:paraId="30D43B97">
                  <w:pPr>
                    <w:keepNext w:val="0"/>
                    <w:keepLines w:val="0"/>
                    <w:suppressLineNumbers w:val="0"/>
                    <w:spacing w:before="0" w:beforeAutospacing="0" w:after="0" w:afterAutospacing="0" w:line="240" w:lineRule="auto"/>
                    <w:ind w:left="0" w:right="0"/>
                    <w:contextualSpacing/>
                    <w:jc w:val="center"/>
                    <w:rPr>
                      <w:rFonts w:hint="default"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49.95</w:t>
                  </w:r>
                </w:p>
              </w:tc>
            </w:tr>
            <w:tr w14:paraId="4FC22D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1310" w:type="pct"/>
                  <w:tcBorders>
                    <w:top w:val="single" w:color="auto" w:sz="4" w:space="0"/>
                    <w:left w:val="nil"/>
                    <w:right w:val="single" w:color="auto" w:sz="4" w:space="0"/>
                  </w:tcBorders>
                  <w:vAlign w:val="center"/>
                </w:tcPr>
                <w:p w14:paraId="0F01AF9C">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1194" w:type="dxa"/>
                  <w:tcBorders>
                    <w:top w:val="single" w:color="auto" w:sz="4" w:space="0"/>
                    <w:left w:val="single" w:color="auto" w:sz="4" w:space="0"/>
                    <w:right w:val="single" w:color="auto" w:sz="4" w:space="0"/>
                  </w:tcBorders>
                  <w:vAlign w:val="center"/>
                </w:tcPr>
                <w:p w14:paraId="5C0D532F">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30000</w:t>
                  </w:r>
                </w:p>
              </w:tc>
              <w:tc>
                <w:tcPr>
                  <w:tcW w:w="1795" w:type="pct"/>
                  <w:tcBorders>
                    <w:top w:val="single" w:color="auto" w:sz="4" w:space="0"/>
                    <w:left w:val="single" w:color="auto" w:sz="4" w:space="0"/>
                    <w:right w:val="single" w:color="auto" w:sz="4" w:space="0"/>
                  </w:tcBorders>
                  <w:vAlign w:val="center"/>
                </w:tcPr>
                <w:p w14:paraId="770494C3">
                  <w:pPr>
                    <w:pStyle w:val="14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1151" w:type="pct"/>
                  <w:tcBorders>
                    <w:top w:val="single" w:color="auto" w:sz="4" w:space="0"/>
                    <w:left w:val="single" w:color="auto" w:sz="4" w:space="0"/>
                    <w:right w:val="nil"/>
                  </w:tcBorders>
                  <w:vAlign w:val="center"/>
                </w:tcPr>
                <w:p w14:paraId="0E4C0D1C">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30000</w:t>
                  </w:r>
                </w:p>
              </w:tc>
            </w:tr>
          </w:tbl>
          <w:p w14:paraId="48FD68D3">
            <w:pPr>
              <w:pStyle w:val="157"/>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color w:val="auto"/>
                <w:kern w:val="21"/>
                <w:sz w:val="21"/>
                <w:szCs w:val="21"/>
                <w:highlight w:val="cyan"/>
                <w:lang w:val="en-US" w:eastAsia="zh-CN"/>
              </w:rPr>
            </w:pPr>
            <w:r>
              <w:rPr>
                <w:rFonts w:hint="eastAsia" w:eastAsia="宋体"/>
                <w:color w:val="auto"/>
                <w:highlight w:val="none"/>
              </w:rPr>
              <w:t>表2-</w:t>
            </w:r>
            <w:r>
              <w:rPr>
                <w:rFonts w:hint="eastAsia"/>
                <w:color w:val="auto"/>
                <w:highlight w:val="none"/>
                <w:lang w:val="en-US" w:eastAsia="zh-CN"/>
              </w:rPr>
              <w:t>7</w:t>
            </w:r>
            <w:r>
              <w:rPr>
                <w:rFonts w:hint="eastAsia" w:eastAsia="宋体"/>
                <w:color w:val="auto"/>
                <w:highlight w:val="none"/>
              </w:rPr>
              <w:t xml:space="preserve">  </w:t>
            </w:r>
            <w:r>
              <w:rPr>
                <w:rFonts w:hint="eastAsia" w:eastAsia="宋体"/>
                <w:color w:val="auto"/>
                <w:highlight w:val="none"/>
                <w:lang w:val="en-US" w:eastAsia="zh-CN"/>
              </w:rPr>
              <w:t>水稻</w:t>
            </w:r>
            <w:r>
              <w:rPr>
                <w:rFonts w:hint="eastAsia"/>
                <w:color w:val="auto"/>
                <w:highlight w:val="none"/>
                <w:lang w:val="en-US" w:eastAsia="zh-CN"/>
              </w:rPr>
              <w:t>烘干</w:t>
            </w:r>
            <w:r>
              <w:rPr>
                <w:rFonts w:hint="eastAsia" w:eastAsia="宋体"/>
                <w:color w:val="auto"/>
                <w:highlight w:val="none"/>
              </w:rPr>
              <w:t>物料平衡表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1200"/>
              <w:gridCol w:w="2880"/>
              <w:gridCol w:w="1850"/>
            </w:tblGrid>
            <w:tr w14:paraId="42B47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Align w:val="center"/>
                </w:tcPr>
                <w:p w14:paraId="409B630D">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原料</w:t>
                  </w:r>
                </w:p>
              </w:tc>
              <w:tc>
                <w:tcPr>
                  <w:tcW w:w="1200" w:type="dxa"/>
                  <w:vAlign w:val="center"/>
                </w:tcPr>
                <w:p w14:paraId="23A5784B">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进料量（t/a）</w:t>
                  </w:r>
                </w:p>
              </w:tc>
              <w:tc>
                <w:tcPr>
                  <w:tcW w:w="2880" w:type="dxa"/>
                  <w:vAlign w:val="center"/>
                </w:tcPr>
                <w:p w14:paraId="12AAF334">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产生</w:t>
                  </w:r>
                </w:p>
              </w:tc>
              <w:tc>
                <w:tcPr>
                  <w:tcW w:w="1850" w:type="dxa"/>
                  <w:vAlign w:val="center"/>
                </w:tcPr>
                <w:p w14:paraId="406B02DD">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产生量（t/a）</w:t>
                  </w:r>
                </w:p>
              </w:tc>
            </w:tr>
            <w:tr w14:paraId="59EFC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Merge w:val="restart"/>
                  <w:vAlign w:val="center"/>
                </w:tcPr>
                <w:p w14:paraId="08CD66A9">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水稻</w:t>
                  </w:r>
                  <w:r>
                    <w:rPr>
                      <w:rFonts w:hint="default" w:ascii="Times New Roman" w:hAnsi="Times New Roman" w:eastAsia="宋体" w:cs="Times New Roman"/>
                      <w:color w:val="auto"/>
                      <w:kern w:val="0"/>
                      <w:sz w:val="18"/>
                      <w:szCs w:val="18"/>
                      <w:highlight w:val="none"/>
                      <w:lang w:val="fr-FR" w:eastAsia="zh-CN" w:bidi="ar-SA"/>
                    </w:rPr>
                    <w:t>（</w:t>
                  </w:r>
                  <w:r>
                    <w:rPr>
                      <w:rFonts w:hint="default" w:ascii="Times New Roman" w:hAnsi="Times New Roman" w:eastAsia="宋体" w:cs="Times New Roman"/>
                      <w:color w:val="auto"/>
                      <w:kern w:val="0"/>
                      <w:sz w:val="18"/>
                      <w:szCs w:val="18"/>
                      <w:highlight w:val="none"/>
                      <w:lang w:val="en-US" w:eastAsia="zh-CN" w:bidi="ar-SA"/>
                    </w:rPr>
                    <w:t>含水率</w:t>
                  </w:r>
                  <w:r>
                    <w:rPr>
                      <w:rFonts w:hint="eastAsia" w:cs="Times New Roman"/>
                      <w:color w:val="auto"/>
                      <w:kern w:val="0"/>
                      <w:sz w:val="18"/>
                      <w:szCs w:val="18"/>
                      <w:highlight w:val="none"/>
                      <w:lang w:val="en-US" w:eastAsia="zh-CN" w:bidi="ar-SA"/>
                    </w:rPr>
                    <w:t>22</w:t>
                  </w:r>
                  <w:r>
                    <w:rPr>
                      <w:rFonts w:hint="default" w:ascii="Times New Roman" w:hAnsi="Times New Roman" w:eastAsia="宋体" w:cs="Times New Roman"/>
                      <w:color w:val="auto"/>
                      <w:kern w:val="0"/>
                      <w:sz w:val="18"/>
                      <w:szCs w:val="18"/>
                      <w:highlight w:val="none"/>
                      <w:lang w:val="en-US" w:eastAsia="zh-CN" w:bidi="ar-SA"/>
                    </w:rPr>
                    <w:t>%</w:t>
                  </w:r>
                  <w:r>
                    <w:rPr>
                      <w:rFonts w:hint="default" w:ascii="Times New Roman" w:hAnsi="Times New Roman" w:eastAsia="宋体" w:cs="Times New Roman"/>
                      <w:color w:val="auto"/>
                      <w:kern w:val="0"/>
                      <w:sz w:val="18"/>
                      <w:szCs w:val="18"/>
                      <w:highlight w:val="none"/>
                      <w:lang w:val="fr-FR" w:eastAsia="zh-CN" w:bidi="ar-SA"/>
                    </w:rPr>
                    <w:t>）</w:t>
                  </w:r>
                </w:p>
              </w:tc>
              <w:tc>
                <w:tcPr>
                  <w:tcW w:w="1200" w:type="dxa"/>
                  <w:vMerge w:val="restart"/>
                  <w:vAlign w:val="center"/>
                </w:tcPr>
                <w:p w14:paraId="301E121D">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60000</w:t>
                  </w:r>
                </w:p>
              </w:tc>
              <w:tc>
                <w:tcPr>
                  <w:tcW w:w="2880" w:type="dxa"/>
                  <w:vAlign w:val="center"/>
                </w:tcPr>
                <w:p w14:paraId="16F64F63">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水稻</w:t>
                  </w:r>
                  <w:r>
                    <w:rPr>
                      <w:rFonts w:hint="default" w:ascii="Times New Roman" w:hAnsi="Times New Roman" w:eastAsia="宋体" w:cs="Times New Roman"/>
                      <w:color w:val="auto"/>
                      <w:kern w:val="0"/>
                      <w:sz w:val="18"/>
                      <w:szCs w:val="18"/>
                      <w:highlight w:val="none"/>
                      <w:lang w:val="en-US" w:eastAsia="zh-CN" w:bidi="ar-SA"/>
                    </w:rPr>
                    <w:t>（烘干后含水率为</w:t>
                  </w:r>
                  <w:r>
                    <w:rPr>
                      <w:rFonts w:hint="eastAsia" w:eastAsia="宋体" w:cs="Times New Roman"/>
                      <w:color w:val="auto"/>
                      <w:kern w:val="0"/>
                      <w:sz w:val="18"/>
                      <w:szCs w:val="18"/>
                      <w:highlight w:val="none"/>
                      <w:lang w:val="en-US" w:eastAsia="zh-CN" w:bidi="ar-SA"/>
                    </w:rPr>
                    <w:t>1</w:t>
                  </w:r>
                  <w:r>
                    <w:rPr>
                      <w:rFonts w:hint="eastAsia" w:cs="Times New Roman"/>
                      <w:color w:val="auto"/>
                      <w:kern w:val="0"/>
                      <w:sz w:val="18"/>
                      <w:szCs w:val="18"/>
                      <w:highlight w:val="none"/>
                      <w:lang w:val="en-US" w:eastAsia="zh-CN" w:bidi="ar-SA"/>
                    </w:rPr>
                    <w:t>0</w:t>
                  </w:r>
                  <w:r>
                    <w:rPr>
                      <w:rFonts w:hint="default" w:ascii="Times New Roman" w:hAnsi="Times New Roman" w:eastAsia="宋体" w:cs="Times New Roman"/>
                      <w:color w:val="auto"/>
                      <w:kern w:val="0"/>
                      <w:sz w:val="18"/>
                      <w:szCs w:val="18"/>
                      <w:highlight w:val="none"/>
                      <w:lang w:val="en-US" w:eastAsia="zh-CN" w:bidi="ar-SA"/>
                    </w:rPr>
                    <w:t>%）</w:t>
                  </w:r>
                </w:p>
              </w:tc>
              <w:tc>
                <w:tcPr>
                  <w:tcW w:w="1850" w:type="dxa"/>
                  <w:vAlign w:val="center"/>
                </w:tcPr>
                <w:p w14:paraId="0165074D">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sz w:val="18"/>
                      <w:szCs w:val="18"/>
                      <w:highlight w:val="none"/>
                      <w:lang w:val="en-US" w:eastAsia="zh-CN"/>
                    </w:rPr>
                    <w:t>51898</w:t>
                  </w:r>
                </w:p>
              </w:tc>
            </w:tr>
            <w:tr w14:paraId="2E71D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Merge w:val="continue"/>
                  <w:vAlign w:val="center"/>
                </w:tcPr>
                <w:p w14:paraId="47403FD2">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1200" w:type="dxa"/>
                  <w:vMerge w:val="continue"/>
                  <w:vAlign w:val="center"/>
                </w:tcPr>
                <w:p w14:paraId="6562B1DD">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2880" w:type="dxa"/>
                  <w:vAlign w:val="center"/>
                </w:tcPr>
                <w:p w14:paraId="6FFD3D56">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蒸发水分</w:t>
                  </w:r>
                </w:p>
              </w:tc>
              <w:tc>
                <w:tcPr>
                  <w:tcW w:w="1850" w:type="dxa"/>
                  <w:vAlign w:val="center"/>
                </w:tcPr>
                <w:p w14:paraId="6B8C1145">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sz w:val="18"/>
                      <w:szCs w:val="18"/>
                      <w:highlight w:val="none"/>
                      <w:lang w:val="en-US" w:eastAsia="zh-CN"/>
                    </w:rPr>
                    <w:t>8000</w:t>
                  </w:r>
                </w:p>
              </w:tc>
            </w:tr>
            <w:tr w14:paraId="30B37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Merge w:val="continue"/>
                  <w:vAlign w:val="center"/>
                </w:tcPr>
                <w:p w14:paraId="4B6AFEF3">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1200" w:type="dxa"/>
                  <w:vMerge w:val="continue"/>
                  <w:vAlign w:val="center"/>
                </w:tcPr>
                <w:p w14:paraId="2F77FB96">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2880" w:type="dxa"/>
                  <w:vAlign w:val="center"/>
                </w:tcPr>
                <w:p w14:paraId="38CDBCF3">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无组织粉尘</w:t>
                  </w:r>
                </w:p>
              </w:tc>
              <w:tc>
                <w:tcPr>
                  <w:tcW w:w="1850" w:type="dxa"/>
                  <w:vAlign w:val="center"/>
                </w:tcPr>
                <w:p w14:paraId="132EE6AA">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2.1</w:t>
                  </w:r>
                </w:p>
              </w:tc>
            </w:tr>
            <w:tr w14:paraId="2B119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Merge w:val="continue"/>
                  <w:vAlign w:val="center"/>
                </w:tcPr>
                <w:p w14:paraId="6FD0594A">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1200" w:type="dxa"/>
                  <w:vMerge w:val="continue"/>
                  <w:vAlign w:val="center"/>
                </w:tcPr>
                <w:p w14:paraId="4CDDA530">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p>
              </w:tc>
              <w:tc>
                <w:tcPr>
                  <w:tcW w:w="2880" w:type="dxa"/>
                  <w:vAlign w:val="center"/>
                </w:tcPr>
                <w:p w14:paraId="164FC9C1">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p>
              </w:tc>
              <w:tc>
                <w:tcPr>
                  <w:tcW w:w="1850" w:type="dxa"/>
                  <w:vAlign w:val="center"/>
                </w:tcPr>
                <w:p w14:paraId="07A14014">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bCs/>
                      <w:color w:val="auto"/>
                      <w:sz w:val="18"/>
                      <w:szCs w:val="18"/>
                      <w:highlight w:val="none"/>
                      <w:lang w:val="en-US" w:eastAsia="zh-CN"/>
                    </w:rPr>
                    <w:t>99.9</w:t>
                  </w:r>
                </w:p>
              </w:tc>
            </w:tr>
            <w:tr w14:paraId="6F3FD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5" w:type="dxa"/>
                  <w:vAlign w:val="center"/>
                </w:tcPr>
                <w:p w14:paraId="674F490D">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总计</w:t>
                  </w:r>
                </w:p>
              </w:tc>
              <w:tc>
                <w:tcPr>
                  <w:tcW w:w="1200" w:type="dxa"/>
                  <w:vAlign w:val="center"/>
                </w:tcPr>
                <w:p w14:paraId="523034CA">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60000</w:t>
                  </w:r>
                </w:p>
              </w:tc>
              <w:tc>
                <w:tcPr>
                  <w:tcW w:w="2880" w:type="dxa"/>
                  <w:vAlign w:val="center"/>
                </w:tcPr>
                <w:p w14:paraId="2AD26283">
                  <w:pPr>
                    <w:pStyle w:val="148"/>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SA"/>
                    </w:rPr>
                    <w:t>总计</w:t>
                  </w:r>
                </w:p>
              </w:tc>
              <w:tc>
                <w:tcPr>
                  <w:tcW w:w="1850" w:type="dxa"/>
                  <w:vAlign w:val="center"/>
                </w:tcPr>
                <w:p w14:paraId="242639FE">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b/>
                      <w:bCs/>
                      <w:color w:val="auto"/>
                      <w:kern w:val="21"/>
                      <w:sz w:val="21"/>
                      <w:szCs w:val="21"/>
                      <w:highlight w:val="cyan"/>
                      <w:vertAlign w:val="baseline"/>
                      <w:lang w:val="en-US" w:eastAsia="zh-CN"/>
                    </w:rPr>
                  </w:pPr>
                  <w:r>
                    <w:rPr>
                      <w:rFonts w:hint="eastAsia" w:cs="Times New Roman"/>
                      <w:color w:val="auto"/>
                      <w:kern w:val="0"/>
                      <w:sz w:val="18"/>
                      <w:szCs w:val="18"/>
                      <w:highlight w:val="none"/>
                      <w:lang w:val="en-US" w:eastAsia="zh-CN" w:bidi="ar-SA"/>
                    </w:rPr>
                    <w:t>60000</w:t>
                  </w:r>
                </w:p>
              </w:tc>
            </w:tr>
          </w:tbl>
          <w:p w14:paraId="548BB16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14:paraId="6D3A4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本项目改扩建后，办公室工作人员23人，年工作250天，1班制，每班8h，年工作2000h。</w:t>
            </w:r>
          </w:p>
          <w:p w14:paraId="09871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eastAsia" w:cs="Times New Roman"/>
                <w:color w:val="auto"/>
                <w:kern w:val="21"/>
                <w:sz w:val="21"/>
                <w:szCs w:val="21"/>
                <w:highlight w:val="none"/>
                <w:lang w:val="en-US" w:eastAsia="zh-CN"/>
              </w:rPr>
              <w:t>烘干塔年运行180天，运行期间工作人员10人，2班制，每班12h，年工作4320h，本项目不设食堂和宿舍。</w:t>
            </w:r>
          </w:p>
          <w:p w14:paraId="6E71B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59122D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14:paraId="39F5E2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highlight w:val="none"/>
              </w:rPr>
            </w:pPr>
            <w:r>
              <w:rPr>
                <w:rFonts w:hint="default" w:ascii="Times New Roman" w:hAnsi="Times New Roman" w:eastAsia="宋体" w:cs="Times New Roman"/>
                <w:color w:val="auto"/>
                <w:sz w:val="21"/>
                <w:szCs w:val="21"/>
                <w:highlight w:val="none"/>
              </w:rPr>
              <w:t>本项目用水由</w:t>
            </w:r>
            <w:r>
              <w:rPr>
                <w:rFonts w:hint="eastAsia" w:cs="Times New Roman"/>
                <w:color w:val="auto"/>
                <w:sz w:val="21"/>
                <w:szCs w:val="21"/>
                <w:highlight w:val="none"/>
                <w:lang w:val="en-US" w:eastAsia="zh-CN"/>
              </w:rPr>
              <w:t>厂区外购</w:t>
            </w:r>
            <w:r>
              <w:rPr>
                <w:rFonts w:hint="default" w:ascii="Times New Roman" w:hAnsi="Times New Roman" w:eastAsia="宋体" w:cs="Times New Roman"/>
                <w:color w:val="auto"/>
                <w:sz w:val="21"/>
                <w:szCs w:val="21"/>
                <w:highlight w:val="none"/>
              </w:rPr>
              <w:t>，运营期用水主要为生活用水。</w:t>
            </w:r>
          </w:p>
          <w:p w14:paraId="5B647C8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rPr>
                <w:rFonts w:hint="eastAsia"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val="en-US" w:eastAsia="zh-CN"/>
              </w:rPr>
              <w:t>办公室工作人员2</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人</w:t>
            </w:r>
            <w:r>
              <w:rPr>
                <w:rFonts w:hint="eastAsia" w:cs="Times New Roman"/>
                <w:color w:val="auto"/>
                <w:szCs w:val="21"/>
                <w:highlight w:val="none"/>
                <w:lang w:eastAsia="zh-CN"/>
              </w:rPr>
              <w:t>，</w:t>
            </w:r>
            <w:r>
              <w:rPr>
                <w:rFonts w:hint="eastAsia" w:cs="Times New Roman"/>
                <w:color w:val="auto"/>
                <w:szCs w:val="21"/>
                <w:highlight w:val="none"/>
                <w:lang w:val="en-US" w:eastAsia="zh-CN"/>
              </w:rPr>
              <w:t>烘干塔工作人员10人，</w:t>
            </w:r>
            <w:r>
              <w:rPr>
                <w:rFonts w:hint="default" w:ascii="Times New Roman" w:hAnsi="Times New Roman" w:cs="Times New Roman"/>
                <w:color w:val="auto"/>
                <w:szCs w:val="21"/>
                <w:highlight w:val="none"/>
              </w:rPr>
              <w:t>职工生活用水参照《黑龙江省地方标准 用水定额》（DB23/T727-20</w:t>
            </w:r>
            <w:r>
              <w:rPr>
                <w:rFonts w:hint="eastAsia" w:cs="Times New Roman"/>
                <w:color w:val="auto"/>
                <w:szCs w:val="21"/>
                <w:highlight w:val="none"/>
                <w:lang w:val="en-US" w:eastAsia="zh-CN"/>
              </w:rPr>
              <w:t>21</w:t>
            </w:r>
            <w:r>
              <w:rPr>
                <w:rFonts w:hint="default" w:ascii="Times New Roman" w:hAnsi="Times New Roman" w:cs="Times New Roman"/>
                <w:color w:val="auto"/>
                <w:szCs w:val="21"/>
                <w:highlight w:val="none"/>
              </w:rPr>
              <w:t>），员工生活用水按</w:t>
            </w:r>
            <w:r>
              <w:rPr>
                <w:rFonts w:hint="eastAsia" w:cs="Times New Roman"/>
                <w:color w:val="auto"/>
                <w:szCs w:val="21"/>
                <w:highlight w:val="none"/>
                <w:lang w:val="en-US" w:eastAsia="zh-CN"/>
              </w:rPr>
              <w:t>40</w:t>
            </w:r>
            <w:r>
              <w:rPr>
                <w:rFonts w:hint="default" w:ascii="Times New Roman" w:hAnsi="Times New Roman" w:cs="Times New Roman"/>
                <w:color w:val="auto"/>
                <w:szCs w:val="21"/>
                <w:highlight w:val="none"/>
              </w:rPr>
              <w:t>L/人·d计，则</w:t>
            </w:r>
            <w:r>
              <w:rPr>
                <w:rFonts w:hint="eastAsia" w:ascii="Times New Roman" w:hAnsi="Times New Roman" w:cs="Times New Roman"/>
                <w:color w:val="auto"/>
                <w:szCs w:val="21"/>
                <w:highlight w:val="none"/>
                <w:lang w:val="en-US" w:eastAsia="zh-CN"/>
              </w:rPr>
              <w:t>办公室人员</w:t>
            </w:r>
            <w:r>
              <w:rPr>
                <w:rFonts w:hint="default" w:ascii="Times New Roman" w:hAnsi="Times New Roman" w:cs="Times New Roman"/>
                <w:color w:val="auto"/>
                <w:szCs w:val="21"/>
                <w:highlight w:val="none"/>
              </w:rPr>
              <w:t>生活用水量为</w:t>
            </w:r>
            <w:r>
              <w:rPr>
                <w:rFonts w:hint="eastAsia" w:cs="Times New Roman"/>
                <w:color w:val="auto"/>
                <w:szCs w:val="21"/>
                <w:highlight w:val="none"/>
                <w:lang w:val="en-US" w:eastAsia="zh-CN"/>
              </w:rPr>
              <w:t>0.92</w:t>
            </w:r>
            <w:r>
              <w:rPr>
                <w:rFonts w:hint="default" w:ascii="Times New Roman" w:hAnsi="Times New Roman" w:cs="Times New Roman"/>
                <w:color w:val="auto"/>
                <w:szCs w:val="21"/>
                <w:highlight w:val="none"/>
              </w:rPr>
              <w:t>t/d，</w:t>
            </w:r>
            <w:r>
              <w:rPr>
                <w:rFonts w:hint="eastAsia" w:cs="Times New Roman"/>
                <w:color w:val="auto"/>
                <w:szCs w:val="21"/>
                <w:highlight w:val="none"/>
                <w:lang w:val="en-US" w:eastAsia="zh-CN"/>
              </w:rPr>
              <w:t>230</w:t>
            </w:r>
            <w:r>
              <w:rPr>
                <w:rFonts w:hint="default" w:ascii="Times New Roman" w:hAnsi="Times New Roman" w:cs="Times New Roman"/>
                <w:color w:val="auto"/>
                <w:szCs w:val="21"/>
                <w:highlight w:val="none"/>
              </w:rPr>
              <w:t>t/a</w:t>
            </w:r>
            <w:r>
              <w:rPr>
                <w:rFonts w:hint="eastAsia"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烘干塔工作人员</w:t>
            </w:r>
            <w:r>
              <w:rPr>
                <w:rFonts w:hint="default" w:ascii="Times New Roman" w:hAnsi="Times New Roman" w:cs="Times New Roman"/>
                <w:color w:val="auto"/>
                <w:szCs w:val="21"/>
                <w:highlight w:val="none"/>
              </w:rPr>
              <w:t>生活用水量为</w:t>
            </w:r>
            <w:r>
              <w:rPr>
                <w:rFonts w:hint="eastAsia" w:cs="Times New Roman"/>
                <w:color w:val="auto"/>
                <w:szCs w:val="21"/>
                <w:highlight w:val="none"/>
                <w:lang w:val="en-US" w:eastAsia="zh-CN"/>
              </w:rPr>
              <w:t>0.4</w:t>
            </w:r>
            <w:r>
              <w:rPr>
                <w:rFonts w:hint="default" w:ascii="Times New Roman" w:hAnsi="Times New Roman" w:cs="Times New Roman"/>
                <w:color w:val="auto"/>
                <w:szCs w:val="21"/>
                <w:highlight w:val="none"/>
              </w:rPr>
              <w:t>t/d，</w:t>
            </w:r>
            <w:r>
              <w:rPr>
                <w:rFonts w:hint="eastAsia" w:cs="Times New Roman"/>
                <w:color w:val="auto"/>
                <w:szCs w:val="21"/>
                <w:highlight w:val="none"/>
                <w:lang w:val="en-US" w:eastAsia="zh-CN"/>
              </w:rPr>
              <w:t>72</w:t>
            </w:r>
            <w:r>
              <w:rPr>
                <w:rFonts w:hint="default" w:ascii="Times New Roman" w:hAnsi="Times New Roman" w:cs="Times New Roman"/>
                <w:color w:val="auto"/>
                <w:szCs w:val="21"/>
                <w:highlight w:val="none"/>
              </w:rPr>
              <w:t>t/a</w:t>
            </w:r>
            <w:r>
              <w:rPr>
                <w:rFonts w:hint="eastAsia" w:ascii="Times New Roman" w:hAnsi="Times New Roman" w:cs="Times New Roman"/>
                <w:color w:val="auto"/>
                <w:szCs w:val="21"/>
                <w:highlight w:val="none"/>
                <w:lang w:eastAsia="zh-CN"/>
              </w:rPr>
              <w:t>。</w:t>
            </w:r>
          </w:p>
          <w:p w14:paraId="03C67A53">
            <w:pPr>
              <w:pStyle w:val="44"/>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rPr>
                <w:rFonts w:hint="default"/>
                <w:color w:val="auto"/>
                <w:lang w:val="en-US" w:eastAsia="zh-CN"/>
              </w:rPr>
            </w:pPr>
            <w:r>
              <w:rPr>
                <w:rFonts w:hint="eastAsia" w:ascii="Times New Roman" w:hAnsi="Times New Roman" w:cs="Times New Roman"/>
                <w:color w:val="auto"/>
                <w:szCs w:val="21"/>
                <w:highlight w:val="none"/>
                <w:lang w:val="en-US" w:eastAsia="zh-CN"/>
              </w:rPr>
              <w:t xml:space="preserve">    本项目生活用水量为1.32t/d，302t/a。</w:t>
            </w:r>
          </w:p>
          <w:p w14:paraId="5E360ABF">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14:paraId="22B2031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80%计，则本项目生活污水排水量为1.056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241.6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14:paraId="6D54221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本项目无生产废水，废水主要为生活污水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1421B9C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both"/>
              <w:textAlignment w:val="auto"/>
              <w:rPr>
                <w:rFonts w:hint="default" w:ascii="Times New Roman" w:hAnsi="Times New Roman" w:cs="Times New Roman"/>
                <w:color w:val="auto"/>
                <w:szCs w:val="21"/>
                <w:highlight w:val="none"/>
              </w:rPr>
            </w:pPr>
            <w:r>
              <w:rPr>
                <w:rFonts w:hint="eastAsia" w:cs="Times New Roman"/>
                <w:color w:val="auto"/>
                <w:szCs w:val="21"/>
                <w:highlight w:val="none"/>
                <w:lang w:eastAsia="zh-CN"/>
              </w:rPr>
              <w:t>（</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eastAsia" w:cs="Times New Roman"/>
                <w:color w:val="auto"/>
                <w:szCs w:val="21"/>
                <w:highlight w:val="none"/>
                <w:lang w:val="en-US" w:eastAsia="zh-CN"/>
              </w:rPr>
              <w:t>供暖</w:t>
            </w:r>
            <w:r>
              <w:rPr>
                <w:rFonts w:hint="default" w:ascii="Times New Roman" w:hAnsi="Times New Roman" w:cs="Times New Roman"/>
                <w:color w:val="auto"/>
                <w:szCs w:val="21"/>
                <w:highlight w:val="none"/>
              </w:rPr>
              <w:t>：</w:t>
            </w:r>
          </w:p>
          <w:p w14:paraId="3FA863C1">
            <w:pPr>
              <w:pStyle w:val="69"/>
              <w:keepLines w:val="0"/>
              <w:suppressLineNumbers w:val="0"/>
              <w:spacing w:before="0" w:beforeAutospacing="0" w:after="0" w:afterAutospacing="0" w:line="360" w:lineRule="auto"/>
              <w:ind w:left="0" w:firstLineChars="200"/>
              <w:jc w:val="both"/>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新建1座500t/d烘干塔，1台</w:t>
            </w:r>
            <w:r>
              <w:rPr>
                <w:rFonts w:hint="eastAsia" w:cs="Times New Roman"/>
                <w:b w:val="0"/>
                <w:bCs w:val="0"/>
                <w:color w:val="auto"/>
                <w:sz w:val="21"/>
                <w:szCs w:val="21"/>
                <w:highlight w:val="none"/>
                <w:lang w:val="en-US" w:eastAsia="zh-CN"/>
              </w:rPr>
              <w:t>720万Kcal/h</w:t>
            </w:r>
            <w:r>
              <w:rPr>
                <w:rFonts w:hint="eastAsia" w:ascii="Times New Roman" w:hAnsi="Times New Roman" w:eastAsia="宋体" w:cs="Times New Roman"/>
                <w:b w:val="0"/>
                <w:bCs w:val="0"/>
                <w:color w:val="auto"/>
                <w:sz w:val="21"/>
                <w:szCs w:val="21"/>
                <w:highlight w:val="none"/>
                <w:lang w:val="en-US" w:eastAsia="zh-CN"/>
              </w:rPr>
              <w:t>燃生物质热风炉，</w:t>
            </w:r>
            <w:r>
              <w:rPr>
                <w:rFonts w:hint="default" w:ascii="Times New Roman" w:hAnsi="Times New Roman" w:eastAsia="宋体" w:cs="Times New Roman"/>
                <w:b w:val="0"/>
                <w:bCs w:val="0"/>
                <w:color w:val="auto"/>
                <w:sz w:val="21"/>
                <w:szCs w:val="21"/>
                <w:highlight w:val="none"/>
                <w:lang w:val="en-US" w:eastAsia="zh-CN"/>
              </w:rPr>
              <w:t>用于生产用热，年运行天数</w:t>
            </w:r>
            <w:r>
              <w:rPr>
                <w:rFonts w:hint="eastAsia" w:cs="Times New Roman"/>
                <w:b w:val="0"/>
                <w:bCs w:val="0"/>
                <w:color w:val="auto"/>
                <w:sz w:val="21"/>
                <w:szCs w:val="21"/>
                <w:highlight w:val="none"/>
                <w:lang w:val="en-US" w:eastAsia="zh-CN"/>
              </w:rPr>
              <w:t>180</w:t>
            </w:r>
            <w:r>
              <w:rPr>
                <w:rFonts w:hint="default" w:ascii="Times New Roman" w:hAnsi="Times New Roman" w:eastAsia="宋体" w:cs="Times New Roman"/>
                <w:b w:val="0"/>
                <w:bCs w:val="0"/>
                <w:color w:val="auto"/>
                <w:sz w:val="21"/>
                <w:szCs w:val="21"/>
                <w:highlight w:val="none"/>
                <w:lang w:val="en-US" w:eastAsia="zh-CN"/>
              </w:rPr>
              <w:t>天，年工作时间</w:t>
            </w:r>
            <w:r>
              <w:rPr>
                <w:rFonts w:hint="eastAsia" w:cs="Times New Roman"/>
                <w:b w:val="0"/>
                <w:bCs w:val="0"/>
                <w:color w:val="auto"/>
                <w:sz w:val="21"/>
                <w:szCs w:val="21"/>
                <w:highlight w:val="none"/>
                <w:lang w:val="en-US" w:eastAsia="zh-CN"/>
              </w:rPr>
              <w:t>4320</w:t>
            </w:r>
            <w:r>
              <w:rPr>
                <w:rFonts w:hint="default" w:ascii="Times New Roman" w:hAnsi="Times New Roman" w:eastAsia="宋体" w:cs="Times New Roman"/>
                <w:b w:val="0"/>
                <w:bCs w:val="0"/>
                <w:color w:val="auto"/>
                <w:sz w:val="21"/>
                <w:szCs w:val="21"/>
                <w:highlight w:val="none"/>
                <w:lang w:val="en-US" w:eastAsia="zh-CN"/>
              </w:rPr>
              <w:t>h。</w:t>
            </w:r>
            <w:r>
              <w:rPr>
                <w:rFonts w:hint="eastAsia" w:cs="Times New Roman"/>
                <w:b w:val="0"/>
                <w:bCs w:val="0"/>
                <w:color w:val="auto"/>
                <w:sz w:val="21"/>
                <w:szCs w:val="21"/>
                <w:highlight w:val="none"/>
                <w:lang w:val="en-US" w:eastAsia="zh-CN"/>
              </w:rPr>
              <w:t>冬季</w:t>
            </w:r>
            <w:r>
              <w:rPr>
                <w:rFonts w:hint="default" w:ascii="Times New Roman" w:hAnsi="Times New Roman" w:eastAsia="宋体" w:cs="Times New Roman"/>
                <w:b w:val="0"/>
                <w:bCs w:val="0"/>
                <w:color w:val="auto"/>
                <w:sz w:val="21"/>
                <w:szCs w:val="21"/>
                <w:highlight w:val="none"/>
                <w:lang w:val="en-US" w:eastAsia="zh-CN"/>
              </w:rPr>
              <w:t>取暖</w:t>
            </w:r>
            <w:r>
              <w:rPr>
                <w:rFonts w:hint="default" w:ascii="Times New Roman" w:hAnsi="Times New Roman" w:eastAsia="宋体" w:cs="Times New Roman"/>
                <w:b w:val="0"/>
                <w:bCs w:val="0"/>
                <w:color w:val="auto"/>
                <w:kern w:val="0"/>
                <w:sz w:val="21"/>
                <w:szCs w:val="21"/>
                <w:highlight w:val="none"/>
                <w:lang w:val="en-US" w:eastAsia="zh-CN"/>
              </w:rPr>
              <w:t>为</w:t>
            </w:r>
            <w:r>
              <w:rPr>
                <w:rFonts w:hint="default" w:ascii="Times New Roman" w:hAnsi="Times New Roman" w:eastAsia="宋体" w:cs="Times New Roman"/>
                <w:b w:val="0"/>
                <w:bCs w:val="0"/>
                <w:color w:val="auto"/>
                <w:sz w:val="21"/>
                <w:szCs w:val="21"/>
                <w:highlight w:val="none"/>
                <w:lang w:val="en-US" w:eastAsia="zh-CN"/>
              </w:rPr>
              <w:t>电</w:t>
            </w:r>
            <w:r>
              <w:rPr>
                <w:rFonts w:hint="eastAsia" w:cs="Times New Roman"/>
                <w:b w:val="0"/>
                <w:bCs/>
                <w:color w:val="auto"/>
                <w:sz w:val="21"/>
                <w:szCs w:val="21"/>
                <w:highlight w:val="none"/>
                <w:lang w:val="en-US" w:eastAsia="zh-CN"/>
              </w:rPr>
              <w:t>取暖</w:t>
            </w:r>
            <w:r>
              <w:rPr>
                <w:rFonts w:hint="default" w:ascii="Times New Roman" w:hAnsi="Times New Roman" w:cs="Times New Roman"/>
                <w:b w:val="0"/>
                <w:bCs/>
                <w:color w:val="auto"/>
                <w:sz w:val="21"/>
                <w:szCs w:val="21"/>
                <w:highlight w:val="none"/>
                <w:lang w:val="en-US" w:eastAsia="zh-CN"/>
              </w:rPr>
              <w:t>。</w:t>
            </w:r>
          </w:p>
          <w:p w14:paraId="0B094EE8">
            <w:pPr>
              <w:pStyle w:val="3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Chars="200"/>
              <w:jc w:val="both"/>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生物质热风炉</w:t>
            </w:r>
            <w:r>
              <w:rPr>
                <w:rFonts w:hint="default" w:ascii="Times New Roman" w:hAnsi="Times New Roman" w:eastAsia="宋体" w:cs="Times New Roman"/>
                <w:bCs/>
                <w:color w:val="auto"/>
                <w:sz w:val="21"/>
                <w:szCs w:val="21"/>
                <w:highlight w:val="none"/>
              </w:rPr>
              <w:t>燃料使用量：</w:t>
            </w:r>
          </w:p>
          <w:p w14:paraId="17E22A7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根据生物质燃料分析</w:t>
            </w:r>
            <w:r>
              <w:rPr>
                <w:rFonts w:hint="default" w:ascii="Times New Roman" w:hAnsi="Times New Roman" w:eastAsia="宋体" w:cs="Times New Roman"/>
                <w:color w:val="auto"/>
                <w:sz w:val="21"/>
                <w:szCs w:val="21"/>
                <w:highlight w:val="none"/>
                <w:lang w:val="en-US" w:eastAsia="zh-CN"/>
              </w:rPr>
              <w:t>报告</w:t>
            </w:r>
            <w:r>
              <w:rPr>
                <w:rFonts w:hint="default" w:ascii="Times New Roman" w:hAnsi="Times New Roman" w:eastAsia="宋体" w:cs="Times New Roman"/>
                <w:color w:val="auto"/>
                <w:sz w:val="21"/>
                <w:szCs w:val="21"/>
                <w:highlight w:val="none"/>
              </w:rPr>
              <w:t>可知，收到基低位发热量为</w:t>
            </w:r>
            <w:r>
              <w:rPr>
                <w:rFonts w:hint="eastAsia" w:ascii="Times New Roman" w:hAnsi="Times New Roman" w:eastAsia="宋体"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193</w:t>
            </w:r>
            <w:r>
              <w:rPr>
                <w:rFonts w:hint="default" w:ascii="Times New Roman" w:hAnsi="Times New Roman" w:eastAsia="宋体" w:cs="Times New Roman"/>
                <w:color w:val="auto"/>
                <w:sz w:val="21"/>
                <w:szCs w:val="21"/>
                <w:highlight w:val="none"/>
              </w:rPr>
              <w:t>kcal/kg，</w:t>
            </w:r>
            <w:r>
              <w:rPr>
                <w:rFonts w:hint="eastAsia" w:ascii="Times New Roman" w:hAnsi="Times New Roman" w:cs="Times New Roman"/>
                <w:color w:val="auto"/>
                <w:sz w:val="21"/>
                <w:szCs w:val="21"/>
                <w:highlight w:val="none"/>
                <w:lang w:val="en-US" w:eastAsia="zh-CN"/>
              </w:rPr>
              <w:t>热风炉</w:t>
            </w:r>
            <w:r>
              <w:rPr>
                <w:rFonts w:hint="default" w:ascii="Times New Roman" w:hAnsi="Times New Roman" w:eastAsia="宋体" w:cs="Times New Roman"/>
                <w:color w:val="auto"/>
                <w:sz w:val="21"/>
                <w:szCs w:val="21"/>
                <w:highlight w:val="none"/>
              </w:rPr>
              <w:t>热效率为</w:t>
            </w:r>
            <w:r>
              <w:rPr>
                <w:rFonts w:hint="eastAsia"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w:t>
            </w:r>
            <w:r>
              <w:rPr>
                <w:rFonts w:hint="default" w:cs="Times New Roman"/>
                <w:color w:val="auto"/>
                <w:sz w:val="21"/>
                <w:szCs w:val="21"/>
                <w:highlight w:val="none"/>
                <w:lang w:eastAsia="zh-CN"/>
              </w:rPr>
              <w:t>生物质</w:t>
            </w:r>
            <w:r>
              <w:rPr>
                <w:rFonts w:hint="eastAsia" w:cs="Times New Roman"/>
                <w:color w:val="auto"/>
                <w:sz w:val="21"/>
                <w:szCs w:val="21"/>
                <w:highlight w:val="none"/>
                <w:lang w:val="en-US" w:eastAsia="zh-CN"/>
              </w:rPr>
              <w:t>热风炉</w:t>
            </w:r>
            <w:r>
              <w:rPr>
                <w:rFonts w:hint="default" w:ascii="Times New Roman" w:hAnsi="Times New Roman" w:eastAsia="宋体" w:cs="Times New Roman"/>
                <w:color w:val="auto"/>
                <w:sz w:val="21"/>
                <w:szCs w:val="21"/>
                <w:highlight w:val="none"/>
              </w:rPr>
              <w:t>消耗量</w:t>
            </w:r>
            <w:r>
              <w:rPr>
                <w:rFonts w:hint="eastAsia" w:ascii="Times New Roman" w:hAnsi="Times New Roman" w:eastAsia="宋体" w:cs="Times New Roman"/>
                <w:color w:val="auto"/>
                <w:sz w:val="21"/>
                <w:szCs w:val="21"/>
                <w:highlight w:val="none"/>
                <w:lang w:val="en-US" w:eastAsia="zh-CN"/>
              </w:rPr>
              <w:t>为</w:t>
            </w:r>
            <w:r>
              <w:rPr>
                <w:rFonts w:hint="eastAsia" w:cs="Times New Roman"/>
                <w:color w:val="auto"/>
                <w:sz w:val="21"/>
                <w:szCs w:val="21"/>
                <w:highlight w:val="none"/>
                <w:lang w:val="en-US" w:eastAsia="zh-CN"/>
              </w:rPr>
              <w:t>720</w:t>
            </w:r>
            <w:r>
              <w:rPr>
                <w:rFonts w:hint="default" w:ascii="Times New Roman" w:hAnsi="Times New Roman" w:eastAsia="宋体" w:cs="Times New Roman"/>
                <w:color w:val="auto"/>
                <w:sz w:val="21"/>
                <w:szCs w:val="21"/>
                <w:highlight w:val="none"/>
              </w:rPr>
              <w:t>万</w:t>
            </w:r>
            <w:r>
              <w:rPr>
                <w:rFonts w:hint="eastAsia" w:cs="Times New Roman"/>
                <w:b w:val="0"/>
                <w:bCs w:val="0"/>
                <w:color w:val="auto"/>
                <w:kern w:val="0"/>
                <w:sz w:val="21"/>
                <w:szCs w:val="21"/>
                <w:highlight w:val="none"/>
                <w:lang w:val="en-US" w:eastAsia="zh-CN"/>
              </w:rPr>
              <w:t>Kcal/h</w:t>
            </w:r>
            <w:r>
              <w:rPr>
                <w:rFonts w:hint="default" w:ascii="Times New Roman" w:hAnsi="Times New Roman" w:eastAsia="宋体" w:cs="Times New Roman"/>
                <w:color w:val="auto"/>
                <w:sz w:val="21"/>
                <w:szCs w:val="21"/>
                <w:highlight w:val="none"/>
              </w:rPr>
              <w:t>/燃料热值/锅炉燃烧效率，</w:t>
            </w:r>
            <w:r>
              <w:rPr>
                <w:rFonts w:hint="eastAsia" w:cs="Times New Roman"/>
                <w:b w:val="0"/>
                <w:bCs w:val="0"/>
                <w:color w:val="auto"/>
                <w:kern w:val="0"/>
                <w:sz w:val="21"/>
                <w:szCs w:val="21"/>
                <w:highlight w:val="none"/>
                <w:lang w:val="en-US" w:eastAsia="zh-CN"/>
              </w:rPr>
              <w:t>1台720万Kcal/h燃生物质</w:t>
            </w:r>
            <w:r>
              <w:rPr>
                <w:rFonts w:hint="default" w:ascii="Times New Roman" w:hAnsi="Times New Roman" w:cs="Times New Roman"/>
                <w:color w:val="auto"/>
                <w:sz w:val="21"/>
                <w:szCs w:val="21"/>
                <w:highlight w:val="none"/>
                <w:lang w:val="en-US" w:eastAsia="zh-CN"/>
              </w:rPr>
              <w:t>颗粒</w:t>
            </w:r>
            <w:r>
              <w:rPr>
                <w:rFonts w:hint="default" w:ascii="Times New Roman" w:hAnsi="Times New Roman" w:eastAsia="宋体" w:cs="Times New Roman"/>
                <w:color w:val="auto"/>
                <w:sz w:val="21"/>
                <w:szCs w:val="21"/>
                <w:highlight w:val="none"/>
              </w:rPr>
              <w:t>燃料</w:t>
            </w:r>
            <w:r>
              <w:rPr>
                <w:rFonts w:hint="eastAsia" w:cs="Times New Roman"/>
                <w:b w:val="0"/>
                <w:bCs w:val="0"/>
                <w:color w:val="auto"/>
                <w:kern w:val="0"/>
                <w:sz w:val="21"/>
                <w:szCs w:val="21"/>
                <w:highlight w:val="none"/>
                <w:lang w:val="en-US" w:eastAsia="zh-CN"/>
              </w:rPr>
              <w:t>热风炉</w:t>
            </w:r>
            <w:r>
              <w:rPr>
                <w:rFonts w:hint="default" w:ascii="Times New Roman" w:hAnsi="Times New Roman" w:eastAsia="宋体" w:cs="Times New Roman"/>
                <w:color w:val="auto"/>
                <w:sz w:val="21"/>
                <w:szCs w:val="21"/>
                <w:highlight w:val="none"/>
              </w:rPr>
              <w:t>需要燃料量为（</w:t>
            </w:r>
            <w:r>
              <w:rPr>
                <w:rFonts w:hint="eastAsia" w:cs="Times New Roman"/>
                <w:color w:val="auto"/>
                <w:sz w:val="21"/>
                <w:szCs w:val="21"/>
                <w:highlight w:val="none"/>
                <w:lang w:val="en-US" w:eastAsia="zh-CN"/>
              </w:rPr>
              <w:t>72</w:t>
            </w:r>
            <w:r>
              <w:rPr>
                <w:rFonts w:hint="default" w:ascii="Times New Roman" w:hAnsi="Times New Roman" w:eastAsia="宋体" w:cs="Times New Roman"/>
                <w:color w:val="auto"/>
                <w:sz w:val="21"/>
                <w:szCs w:val="21"/>
                <w:highlight w:val="none"/>
              </w:rPr>
              <w:t>00000÷</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193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%）kg/h=</w:t>
            </w:r>
            <w:r>
              <w:rPr>
                <w:rFonts w:hint="eastAsia" w:cs="Times New Roman"/>
                <w:color w:val="auto"/>
                <w:sz w:val="21"/>
                <w:szCs w:val="21"/>
                <w:highlight w:val="none"/>
                <w:lang w:val="en-US" w:eastAsia="zh-CN"/>
              </w:rPr>
              <w:t>2146.43</w:t>
            </w:r>
            <w:r>
              <w:rPr>
                <w:rFonts w:hint="default" w:ascii="Times New Roman" w:hAnsi="Times New Roman" w:eastAsia="宋体" w:cs="Times New Roman"/>
                <w:color w:val="auto"/>
                <w:sz w:val="21"/>
                <w:szCs w:val="21"/>
                <w:highlight w:val="none"/>
              </w:rPr>
              <w:t>kg/h，年运行</w:t>
            </w:r>
            <w:r>
              <w:rPr>
                <w:rFonts w:hint="eastAsia" w:cs="Times New Roman"/>
                <w:color w:val="auto"/>
                <w:sz w:val="21"/>
                <w:szCs w:val="21"/>
                <w:highlight w:val="none"/>
                <w:lang w:val="en-US" w:eastAsia="zh-CN"/>
              </w:rPr>
              <w:t>4320</w:t>
            </w:r>
            <w:r>
              <w:rPr>
                <w:rFonts w:hint="default" w:ascii="Times New Roman" w:hAnsi="Times New Roman" w:eastAsia="宋体" w:cs="Times New Roman"/>
                <w:color w:val="auto"/>
                <w:sz w:val="21"/>
                <w:szCs w:val="21"/>
                <w:highlight w:val="none"/>
              </w:rPr>
              <w:t>h，则每年消耗生物质</w:t>
            </w:r>
            <w:r>
              <w:rPr>
                <w:rFonts w:hint="default" w:ascii="Times New Roman" w:hAnsi="Times New Roman" w:cs="Times New Roman"/>
                <w:color w:val="auto"/>
                <w:sz w:val="21"/>
                <w:szCs w:val="21"/>
                <w:highlight w:val="none"/>
                <w:lang w:val="en-US" w:eastAsia="zh-CN"/>
              </w:rPr>
              <w:t>颗粒</w:t>
            </w:r>
            <w:r>
              <w:rPr>
                <w:rFonts w:hint="default" w:ascii="Times New Roman" w:hAnsi="Times New Roman" w:eastAsia="宋体" w:cs="Times New Roman"/>
                <w:color w:val="auto"/>
                <w:sz w:val="21"/>
                <w:szCs w:val="21"/>
                <w:highlight w:val="none"/>
              </w:rPr>
              <w:t>燃料量为</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sz w:val="21"/>
                <w:szCs w:val="21"/>
                <w:highlight w:val="none"/>
              </w:rPr>
              <w:t>t。</w:t>
            </w:r>
          </w:p>
          <w:p w14:paraId="55B28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综上，本项目</w:t>
            </w:r>
            <w:r>
              <w:rPr>
                <w:rFonts w:hint="default"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sz w:val="21"/>
                <w:szCs w:val="21"/>
                <w:highlight w:val="none"/>
              </w:rPr>
              <w:t>t/a。</w:t>
            </w:r>
          </w:p>
          <w:p w14:paraId="4E5D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4</w:t>
            </w:r>
            <w:r>
              <w:rPr>
                <w:rFonts w:hint="default" w:ascii="Times New Roman" w:hAnsi="Times New Roman" w:cs="Times New Roman"/>
                <w:color w:val="auto"/>
                <w:szCs w:val="21"/>
                <w:highlight w:val="none"/>
              </w:rPr>
              <w:t>）供电：本项目供电由当地电网供给</w:t>
            </w:r>
            <w:r>
              <w:rPr>
                <w:rFonts w:hint="default" w:ascii="Times New Roman" w:hAnsi="Times New Roman" w:cs="Times New Roman"/>
                <w:color w:val="auto"/>
                <w:szCs w:val="21"/>
                <w:highlight w:val="none"/>
                <w:lang w:val="en-US" w:eastAsia="zh-CN"/>
              </w:rPr>
              <w:t>。</w:t>
            </w:r>
          </w:p>
          <w:p w14:paraId="4CFD84A8">
            <w:pPr>
              <w:pStyle w:val="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14:paraId="7C1E30A1">
            <w:pPr>
              <w:keepNext w:val="0"/>
              <w:keepLines w:val="0"/>
              <w:widowControl/>
              <w:suppressLineNumbers w:val="0"/>
              <w:spacing w:before="0" w:beforeAutospacing="0" w:after="0" w:afterAutospacing="0" w:line="360" w:lineRule="auto"/>
              <w:ind w:left="0" w:right="0" w:firstLine="420" w:firstLineChars="200"/>
              <w:rPr>
                <w:rFonts w:hint="eastAsia" w:cs="Times New Roman"/>
                <w:b/>
                <w:color w:val="auto"/>
                <w:kern w:val="0"/>
                <w:sz w:val="21"/>
                <w:szCs w:val="21"/>
                <w:highlight w:val="none"/>
                <w:lang w:val="en-US" w:eastAsia="zh-CN" w:bidi="ar"/>
              </w:rPr>
            </w:pPr>
            <w:r>
              <w:rPr>
                <w:rFonts w:hint="eastAsia" w:cs="Times New Roman"/>
                <w:color w:val="auto"/>
                <w:kern w:val="21"/>
                <w:sz w:val="21"/>
                <w:szCs w:val="21"/>
                <w:highlight w:val="none"/>
                <w:lang w:val="en-US" w:eastAsia="zh-CN"/>
              </w:rPr>
              <w:t>本项目烘干塔、</w:t>
            </w:r>
            <w:r>
              <w:rPr>
                <w:rFonts w:hint="eastAsia" w:cs="Times New Roman"/>
                <w:bCs/>
                <w:color w:val="auto"/>
                <w:kern w:val="0"/>
                <w:sz w:val="21"/>
                <w:szCs w:val="21"/>
                <w:highlight w:val="none"/>
                <w:lang w:val="en-US" w:eastAsia="zh-CN"/>
              </w:rPr>
              <w:t>热风炉房</w:t>
            </w:r>
            <w:r>
              <w:rPr>
                <w:rFonts w:hint="eastAsia" w:cs="Times New Roman"/>
                <w:color w:val="auto"/>
                <w:kern w:val="21"/>
                <w:sz w:val="21"/>
                <w:szCs w:val="21"/>
                <w:highlight w:val="none"/>
                <w:lang w:val="en-US" w:eastAsia="zh-CN"/>
              </w:rPr>
              <w:t>位于厂区中心，四周分布平房仓及立筒仓，办公室位于厂区东侧，</w:t>
            </w:r>
            <w:r>
              <w:rPr>
                <w:rFonts w:hint="eastAsia" w:cs="Times New Roman"/>
                <w:color w:val="auto"/>
                <w:kern w:val="21"/>
                <w:sz w:val="21"/>
                <w:szCs w:val="21"/>
                <w:highlight w:val="none"/>
                <w:lang w:eastAsia="zh-CN"/>
              </w:rPr>
              <w:t>工艺流程布置合理，功能区分明确，交通便利，总体布局合理。</w:t>
            </w:r>
          </w:p>
          <w:p w14:paraId="13AF0D42">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、环保投资</w:t>
            </w:r>
          </w:p>
          <w:p w14:paraId="5D783B54">
            <w:pPr>
              <w:keepNext w:val="0"/>
              <w:keepLines w:val="0"/>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eastAsia"/>
                <w:color w:val="auto"/>
                <w:sz w:val="21"/>
                <w:szCs w:val="21"/>
                <w:highlight w:val="none"/>
                <w:lang w:val="en-US" w:eastAsia="zh-CN"/>
              </w:rPr>
              <w:t>117.95</w:t>
            </w:r>
            <w:r>
              <w:rPr>
                <w:rFonts w:hint="default"/>
                <w:color w:val="auto"/>
                <w:sz w:val="21"/>
                <w:szCs w:val="21"/>
                <w:highlight w:val="none"/>
              </w:rPr>
              <w:t>万元，其中环保投资</w:t>
            </w:r>
            <w:r>
              <w:rPr>
                <w:rFonts w:hint="eastAsia"/>
                <w:color w:val="auto"/>
                <w:sz w:val="21"/>
                <w:szCs w:val="21"/>
                <w:highlight w:val="none"/>
                <w:lang w:val="en-US" w:eastAsia="zh-CN"/>
              </w:rPr>
              <w:t>27.7</w:t>
            </w:r>
            <w:r>
              <w:rPr>
                <w:rFonts w:hint="default"/>
                <w:color w:val="auto"/>
                <w:sz w:val="21"/>
                <w:szCs w:val="21"/>
                <w:highlight w:val="none"/>
              </w:rPr>
              <w:t>万元，占总投资的</w:t>
            </w:r>
            <w:r>
              <w:rPr>
                <w:rFonts w:hint="eastAsia"/>
                <w:color w:val="auto"/>
                <w:sz w:val="21"/>
                <w:szCs w:val="21"/>
                <w:highlight w:val="none"/>
                <w:lang w:val="en-US" w:eastAsia="zh-CN"/>
              </w:rPr>
              <w:t>23.5</w:t>
            </w:r>
            <w:r>
              <w:rPr>
                <w:rFonts w:hint="default"/>
                <w:color w:val="auto"/>
                <w:sz w:val="21"/>
                <w:szCs w:val="21"/>
                <w:highlight w:val="none"/>
              </w:rPr>
              <w:t>%，详见表2-</w:t>
            </w:r>
            <w:r>
              <w:rPr>
                <w:rFonts w:hint="eastAsia"/>
                <w:color w:val="auto"/>
                <w:sz w:val="21"/>
                <w:szCs w:val="21"/>
                <w:highlight w:val="none"/>
                <w:lang w:val="en-US" w:eastAsia="zh-CN"/>
              </w:rPr>
              <w:t>8</w:t>
            </w:r>
            <w:r>
              <w:rPr>
                <w:rFonts w:hint="default"/>
                <w:color w:val="auto"/>
                <w:sz w:val="21"/>
                <w:szCs w:val="21"/>
                <w:highlight w:val="none"/>
              </w:rPr>
              <w:t>。</w:t>
            </w:r>
          </w:p>
          <w:p w14:paraId="203B719E">
            <w:pPr>
              <w:keepNext w:val="0"/>
              <w:keepLines w:val="0"/>
              <w:suppressLineNumbers w:val="0"/>
              <w:spacing w:before="0" w:beforeAutospacing="0" w:after="0" w:afterAutospacing="0"/>
              <w:ind w:left="0" w:right="0"/>
              <w:jc w:val="center"/>
              <w:rPr>
                <w:rFonts w:hint="eastAsia" w:eastAsia="宋体"/>
                <w:b/>
                <w:color w:val="auto"/>
                <w:sz w:val="24"/>
                <w:szCs w:val="28"/>
                <w:highlight w:val="none"/>
                <w:lang w:eastAsia="zh-CN"/>
              </w:rPr>
            </w:pPr>
            <w:r>
              <w:rPr>
                <w:rFonts w:hint="default"/>
                <w:b/>
                <w:color w:val="auto"/>
                <w:szCs w:val="21"/>
                <w:highlight w:val="none"/>
              </w:rPr>
              <w:t>表2-</w:t>
            </w:r>
            <w:r>
              <w:rPr>
                <w:rFonts w:hint="eastAsia"/>
                <w:b/>
                <w:color w:val="auto"/>
                <w:szCs w:val="21"/>
                <w:highlight w:val="none"/>
                <w:lang w:val="en-US" w:eastAsia="zh-CN"/>
              </w:rPr>
              <w:t>8</w:t>
            </w:r>
            <w:r>
              <w:rPr>
                <w:rFonts w:hint="default"/>
                <w:b/>
                <w:color w:val="auto"/>
                <w:szCs w:val="21"/>
                <w:highlight w:val="none"/>
              </w:rPr>
              <w:t>环保投资一览表</w:t>
            </w:r>
          </w:p>
          <w:tbl>
            <w:tblPr>
              <w:tblStyle w:val="35"/>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497"/>
              <w:gridCol w:w="1573"/>
              <w:gridCol w:w="3836"/>
              <w:gridCol w:w="1496"/>
            </w:tblGrid>
            <w:tr w14:paraId="2E2F05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46" w:type="dxa"/>
                  <w:gridSpan w:val="2"/>
                  <w:noWrap w:val="0"/>
                  <w:vAlign w:val="center"/>
                </w:tcPr>
                <w:p w14:paraId="5DAA1503">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序号</w:t>
                  </w:r>
                </w:p>
              </w:tc>
              <w:tc>
                <w:tcPr>
                  <w:tcW w:w="1573" w:type="dxa"/>
                  <w:noWrap w:val="0"/>
                  <w:vAlign w:val="center"/>
                </w:tcPr>
                <w:p w14:paraId="2D75A030">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3836" w:type="dxa"/>
                  <w:noWrap w:val="0"/>
                  <w:vAlign w:val="center"/>
                </w:tcPr>
                <w:p w14:paraId="3331364F">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496" w:type="dxa"/>
                  <w:noWrap w:val="0"/>
                  <w:vAlign w:val="center"/>
                </w:tcPr>
                <w:p w14:paraId="5B4AE886">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14:paraId="7DEEBC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30F9AFCF">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97" w:type="dxa"/>
                  <w:vMerge w:val="restart"/>
                  <w:shd w:val="clear" w:color="auto" w:fill="auto"/>
                  <w:noWrap w:val="0"/>
                  <w:vAlign w:val="center"/>
                </w:tcPr>
                <w:p w14:paraId="0820D972">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施工期</w:t>
                  </w:r>
                </w:p>
                <w:p w14:paraId="5B1E4B0B">
                  <w:pPr>
                    <w:pStyle w:val="99"/>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p>
              </w:tc>
              <w:tc>
                <w:tcPr>
                  <w:tcW w:w="1573" w:type="dxa"/>
                  <w:shd w:val="clear" w:color="auto" w:fill="auto"/>
                  <w:noWrap w:val="0"/>
                  <w:vAlign w:val="top"/>
                </w:tcPr>
                <w:p w14:paraId="23615DA9">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废气处理</w:t>
                  </w:r>
                </w:p>
              </w:tc>
              <w:tc>
                <w:tcPr>
                  <w:tcW w:w="3836" w:type="dxa"/>
                  <w:shd w:val="clear" w:color="auto" w:fill="auto"/>
                  <w:noWrap w:val="0"/>
                  <w:vAlign w:val="center"/>
                </w:tcPr>
                <w:p w14:paraId="2BD8DACE">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施工区域周围设置围挡</w:t>
                  </w:r>
                </w:p>
              </w:tc>
              <w:tc>
                <w:tcPr>
                  <w:tcW w:w="1496" w:type="dxa"/>
                  <w:shd w:val="clear" w:color="auto" w:fill="auto"/>
                  <w:noWrap w:val="0"/>
                  <w:vAlign w:val="top"/>
                </w:tcPr>
                <w:p w14:paraId="56814E0F">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0.5</w:t>
                  </w:r>
                </w:p>
              </w:tc>
            </w:tr>
            <w:tr w14:paraId="71FED4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35FC8FA2">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dxa"/>
                  <w:vMerge w:val="continue"/>
                  <w:noWrap w:val="0"/>
                  <w:vAlign w:val="center"/>
                </w:tcPr>
                <w:p w14:paraId="587FB559">
                  <w:pPr>
                    <w:pStyle w:val="99"/>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p>
              </w:tc>
              <w:tc>
                <w:tcPr>
                  <w:tcW w:w="1573" w:type="dxa"/>
                  <w:shd w:val="clear" w:color="auto" w:fill="auto"/>
                  <w:noWrap w:val="0"/>
                  <w:vAlign w:val="top"/>
                </w:tcPr>
                <w:p w14:paraId="082DDF6F">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噪声处理</w:t>
                  </w:r>
                </w:p>
              </w:tc>
              <w:tc>
                <w:tcPr>
                  <w:tcW w:w="3836" w:type="dxa"/>
                  <w:shd w:val="clear" w:color="auto" w:fill="auto"/>
                  <w:noWrap w:val="0"/>
                  <w:vAlign w:val="top"/>
                </w:tcPr>
                <w:p w14:paraId="6F392E40">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施工区域周围设置围挡</w:t>
                  </w:r>
                </w:p>
              </w:tc>
              <w:tc>
                <w:tcPr>
                  <w:tcW w:w="1496" w:type="dxa"/>
                  <w:shd w:val="clear" w:color="auto" w:fill="auto"/>
                  <w:noWrap w:val="0"/>
                  <w:vAlign w:val="top"/>
                </w:tcPr>
                <w:p w14:paraId="26885D4F">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0.5</w:t>
                  </w:r>
                </w:p>
              </w:tc>
            </w:tr>
            <w:tr w14:paraId="143CCD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68CA1227">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497" w:type="dxa"/>
                  <w:vMerge w:val="continue"/>
                  <w:noWrap w:val="0"/>
                  <w:vAlign w:val="center"/>
                </w:tcPr>
                <w:p w14:paraId="789003A5">
                  <w:pPr>
                    <w:pStyle w:val="99"/>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p>
              </w:tc>
              <w:tc>
                <w:tcPr>
                  <w:tcW w:w="1573" w:type="dxa"/>
                  <w:shd w:val="clear" w:color="auto" w:fill="auto"/>
                  <w:noWrap w:val="0"/>
                  <w:vAlign w:val="top"/>
                </w:tcPr>
                <w:p w14:paraId="1D3F2A59">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废水处理</w:t>
                  </w:r>
                </w:p>
              </w:tc>
              <w:tc>
                <w:tcPr>
                  <w:tcW w:w="3836" w:type="dxa"/>
                  <w:shd w:val="clear" w:color="auto" w:fill="auto"/>
                  <w:noWrap w:val="0"/>
                  <w:vAlign w:val="top"/>
                </w:tcPr>
                <w:p w14:paraId="432AC5B6">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临时沉淀池</w:t>
                  </w:r>
                </w:p>
              </w:tc>
              <w:tc>
                <w:tcPr>
                  <w:tcW w:w="1496" w:type="dxa"/>
                  <w:shd w:val="clear" w:color="auto" w:fill="auto"/>
                  <w:noWrap w:val="0"/>
                  <w:vAlign w:val="top"/>
                </w:tcPr>
                <w:p w14:paraId="042C51CA">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0.2</w:t>
                  </w:r>
                </w:p>
              </w:tc>
            </w:tr>
            <w:tr w14:paraId="3C8DD5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58B0C52B">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497" w:type="dxa"/>
                  <w:vMerge w:val="continue"/>
                  <w:noWrap w:val="0"/>
                  <w:vAlign w:val="center"/>
                </w:tcPr>
                <w:p w14:paraId="7392D9C1">
                  <w:pPr>
                    <w:pStyle w:val="99"/>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p>
              </w:tc>
              <w:tc>
                <w:tcPr>
                  <w:tcW w:w="1573" w:type="dxa"/>
                  <w:shd w:val="clear" w:color="auto" w:fill="auto"/>
                  <w:noWrap w:val="0"/>
                  <w:vAlign w:val="top"/>
                </w:tcPr>
                <w:p w14:paraId="2F872734">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固废处理</w:t>
                  </w:r>
                </w:p>
              </w:tc>
              <w:tc>
                <w:tcPr>
                  <w:tcW w:w="3836" w:type="dxa"/>
                  <w:shd w:val="clear" w:color="auto" w:fill="auto"/>
                  <w:noWrap w:val="0"/>
                  <w:vAlign w:val="top"/>
                </w:tcPr>
                <w:p w14:paraId="0ADCC407">
                  <w:pPr>
                    <w:pStyle w:val="148"/>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eastAsia="宋体" w:cs="Times New Roman"/>
                      <w:color w:val="auto"/>
                      <w:kern w:val="2"/>
                      <w:sz w:val="18"/>
                      <w:szCs w:val="18"/>
                      <w:highlight w:val="none"/>
                      <w:lang w:val="en-US" w:eastAsia="zh-CN" w:bidi="ar-SA"/>
                    </w:rPr>
                    <w:t>建筑垃圾清运</w:t>
                  </w:r>
                </w:p>
              </w:tc>
              <w:tc>
                <w:tcPr>
                  <w:tcW w:w="1496" w:type="dxa"/>
                  <w:shd w:val="clear" w:color="auto" w:fill="auto"/>
                  <w:noWrap w:val="0"/>
                  <w:vAlign w:val="top"/>
                </w:tcPr>
                <w:p w14:paraId="6C788C24">
                  <w:pPr>
                    <w:pStyle w:val="1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0.5</w:t>
                  </w:r>
                </w:p>
              </w:tc>
            </w:tr>
            <w:tr w14:paraId="7D16AB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5C026F65">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497" w:type="dxa"/>
                  <w:vMerge w:val="restart"/>
                  <w:noWrap w:val="0"/>
                  <w:vAlign w:val="center"/>
                </w:tcPr>
                <w:p w14:paraId="28824ECF">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运营期</w:t>
                  </w:r>
                </w:p>
              </w:tc>
              <w:tc>
                <w:tcPr>
                  <w:tcW w:w="1573" w:type="dxa"/>
                  <w:noWrap w:val="0"/>
                  <w:vAlign w:val="center"/>
                </w:tcPr>
                <w:p w14:paraId="24E721E4">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废气治理</w:t>
                  </w:r>
                </w:p>
              </w:tc>
              <w:tc>
                <w:tcPr>
                  <w:tcW w:w="3836" w:type="dxa"/>
                  <w:noWrap w:val="0"/>
                  <w:vAlign w:val="center"/>
                </w:tcPr>
                <w:p w14:paraId="011ACB48">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热风炉</w:t>
                  </w:r>
                  <w:r>
                    <w:rPr>
                      <w:rFonts w:hint="default" w:ascii="Times New Roman" w:hAnsi="Times New Roman" w:eastAsia="宋体" w:cs="Times New Roman"/>
                      <w:color w:val="auto"/>
                      <w:sz w:val="18"/>
                      <w:szCs w:val="18"/>
                      <w:highlight w:val="none"/>
                      <w:lang w:val="en-US"/>
                    </w:rPr>
                    <w:t>布袋除尘器</w:t>
                  </w:r>
                </w:p>
              </w:tc>
              <w:tc>
                <w:tcPr>
                  <w:tcW w:w="1496" w:type="dxa"/>
                  <w:noWrap w:val="0"/>
                  <w:vAlign w:val="center"/>
                </w:tcPr>
                <w:p w14:paraId="56F58840">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r>
            <w:tr w14:paraId="4784AF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7F509AFF">
                  <w:pPr>
                    <w:pStyle w:val="99"/>
                    <w:keepNext w:val="0"/>
                    <w:keepLines w:val="0"/>
                    <w:widowControl/>
                    <w:suppressLineNumbers w:val="0"/>
                    <w:tabs>
                      <w:tab w:val="center" w:pos="276"/>
                      <w:tab w:val="left" w:pos="423"/>
                    </w:tabs>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497" w:type="dxa"/>
                  <w:vMerge w:val="continue"/>
                  <w:noWrap w:val="0"/>
                  <w:vAlign w:val="center"/>
                </w:tcPr>
                <w:p w14:paraId="5D872F67">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p>
              </w:tc>
              <w:tc>
                <w:tcPr>
                  <w:tcW w:w="1573" w:type="dxa"/>
                  <w:noWrap w:val="0"/>
                  <w:vAlign w:val="center"/>
                </w:tcPr>
                <w:p w14:paraId="0C7BCEB2">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噪声</w:t>
                  </w:r>
                </w:p>
              </w:tc>
              <w:tc>
                <w:tcPr>
                  <w:tcW w:w="3836" w:type="dxa"/>
                  <w:noWrap w:val="0"/>
                  <w:vAlign w:val="center"/>
                </w:tcPr>
                <w:p w14:paraId="50AD0B6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隔声</w:t>
                  </w:r>
                  <w:r>
                    <w:rPr>
                      <w:rFonts w:hint="default" w:ascii="Times New Roman" w:hAnsi="Times New Roman" w:cs="Times New Roman"/>
                      <w:color w:val="auto"/>
                      <w:sz w:val="18"/>
                      <w:szCs w:val="18"/>
                      <w:highlight w:val="none"/>
                      <w:lang w:val="en-US" w:eastAsia="zh-CN"/>
                    </w:rPr>
                    <w:t>等</w:t>
                  </w:r>
                  <w:r>
                    <w:rPr>
                      <w:rFonts w:hint="default" w:ascii="Times New Roman" w:hAnsi="Times New Roman" w:cs="Times New Roman"/>
                      <w:color w:val="auto"/>
                      <w:sz w:val="18"/>
                      <w:szCs w:val="18"/>
                      <w:highlight w:val="none"/>
                    </w:rPr>
                    <w:t>措施</w:t>
                  </w:r>
                </w:p>
              </w:tc>
              <w:tc>
                <w:tcPr>
                  <w:tcW w:w="1496" w:type="dxa"/>
                  <w:noWrap w:val="0"/>
                  <w:vAlign w:val="center"/>
                </w:tcPr>
                <w:p w14:paraId="02D611F2">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r>
            <w:tr w14:paraId="6151CB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1E2303D5">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497" w:type="dxa"/>
                  <w:vMerge w:val="continue"/>
                  <w:noWrap w:val="0"/>
                  <w:vAlign w:val="center"/>
                </w:tcPr>
                <w:p w14:paraId="3ACE0F5C">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p>
              </w:tc>
              <w:tc>
                <w:tcPr>
                  <w:tcW w:w="1573" w:type="dxa"/>
                  <w:noWrap w:val="0"/>
                  <w:vAlign w:val="center"/>
                </w:tcPr>
                <w:p w14:paraId="4F47A911">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固废处理</w:t>
                  </w:r>
                </w:p>
              </w:tc>
              <w:tc>
                <w:tcPr>
                  <w:tcW w:w="3836" w:type="dxa"/>
                  <w:noWrap w:val="0"/>
                  <w:vAlign w:val="center"/>
                </w:tcPr>
                <w:p w14:paraId="43972DB2">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热风炉灰渣仓，生物质料仓</w:t>
                  </w:r>
                </w:p>
              </w:tc>
              <w:tc>
                <w:tcPr>
                  <w:tcW w:w="1496" w:type="dxa"/>
                  <w:noWrap w:val="0"/>
                  <w:vAlign w:val="center"/>
                </w:tcPr>
                <w:p w14:paraId="70AB69CE">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32D70D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4915DC13">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497" w:type="dxa"/>
                  <w:vMerge w:val="continue"/>
                  <w:noWrap w:val="0"/>
                  <w:vAlign w:val="center"/>
                </w:tcPr>
                <w:p w14:paraId="59EA59AA">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p>
              </w:tc>
              <w:tc>
                <w:tcPr>
                  <w:tcW w:w="1573" w:type="dxa"/>
                  <w:noWrap w:val="0"/>
                  <w:vAlign w:val="center"/>
                </w:tcPr>
                <w:p w14:paraId="65086A77">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环境管理</w:t>
                  </w:r>
                </w:p>
              </w:tc>
              <w:tc>
                <w:tcPr>
                  <w:tcW w:w="3836" w:type="dxa"/>
                  <w:noWrap w:val="0"/>
                  <w:vAlign w:val="center"/>
                </w:tcPr>
                <w:p w14:paraId="115B216B">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厂区环境管理</w:t>
                  </w:r>
                </w:p>
              </w:tc>
              <w:tc>
                <w:tcPr>
                  <w:tcW w:w="1496" w:type="dxa"/>
                  <w:noWrap w:val="0"/>
                  <w:vAlign w:val="center"/>
                </w:tcPr>
                <w:p w14:paraId="31F0B15E">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4E3AB3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0A09DB06">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497" w:type="dxa"/>
                  <w:vMerge w:val="continue"/>
                  <w:noWrap w:val="0"/>
                  <w:vAlign w:val="center"/>
                </w:tcPr>
                <w:p w14:paraId="426D92A4">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p>
              </w:tc>
              <w:tc>
                <w:tcPr>
                  <w:tcW w:w="1573" w:type="dxa"/>
                  <w:noWrap w:val="0"/>
                  <w:vAlign w:val="center"/>
                </w:tcPr>
                <w:p w14:paraId="66ED1F2A">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监测费用</w:t>
                  </w:r>
                </w:p>
              </w:tc>
              <w:tc>
                <w:tcPr>
                  <w:tcW w:w="3836" w:type="dxa"/>
                  <w:noWrap w:val="0"/>
                  <w:vAlign w:val="center"/>
                </w:tcPr>
                <w:p w14:paraId="523071F2">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厂区废气</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噪声自行监测</w:t>
                  </w:r>
                </w:p>
              </w:tc>
              <w:tc>
                <w:tcPr>
                  <w:tcW w:w="1496" w:type="dxa"/>
                  <w:noWrap w:val="0"/>
                  <w:vAlign w:val="center"/>
                </w:tcPr>
                <w:p w14:paraId="16AFD67A">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2B18A2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9" w:type="dxa"/>
                  <w:noWrap w:val="0"/>
                  <w:vAlign w:val="center"/>
                </w:tcPr>
                <w:p w14:paraId="7F197EE6">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97" w:type="dxa"/>
                  <w:vMerge w:val="continue"/>
                  <w:noWrap w:val="0"/>
                  <w:vAlign w:val="center"/>
                </w:tcPr>
                <w:p w14:paraId="25DBBCBE">
                  <w:pPr>
                    <w:pStyle w:val="99"/>
                    <w:keepNext w:val="0"/>
                    <w:keepLines w:val="0"/>
                    <w:widowControl/>
                    <w:suppressLineNumbers w:val="0"/>
                    <w:spacing w:before="0" w:beforeAutospacing="0" w:after="0" w:afterAutospacing="0" w:line="240" w:lineRule="auto"/>
                    <w:ind w:left="0" w:right="0"/>
                    <w:jc w:val="center"/>
                    <w:rPr>
                      <w:rFonts w:hint="eastAsia" w:cs="Times New Roman"/>
                      <w:color w:val="auto"/>
                      <w:sz w:val="18"/>
                      <w:szCs w:val="18"/>
                      <w:highlight w:val="none"/>
                      <w:lang w:val="en-US" w:eastAsia="zh-CN"/>
                    </w:rPr>
                  </w:pPr>
                </w:p>
              </w:tc>
              <w:tc>
                <w:tcPr>
                  <w:tcW w:w="5409" w:type="dxa"/>
                  <w:gridSpan w:val="2"/>
                  <w:noWrap w:val="0"/>
                  <w:vAlign w:val="center"/>
                </w:tcPr>
                <w:p w14:paraId="46367860">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496" w:type="dxa"/>
                  <w:noWrap w:val="0"/>
                  <w:vAlign w:val="center"/>
                </w:tcPr>
                <w:p w14:paraId="28706CFC">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p>
              </w:tc>
            </w:tr>
            <w:tr w14:paraId="0EABE5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55" w:type="dxa"/>
                  <w:gridSpan w:val="4"/>
                  <w:noWrap w:val="0"/>
                  <w:vAlign w:val="center"/>
                </w:tcPr>
                <w:p w14:paraId="6EDB3E54">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环保投资（万元）</w:t>
                  </w:r>
                </w:p>
              </w:tc>
              <w:tc>
                <w:tcPr>
                  <w:tcW w:w="1496" w:type="dxa"/>
                  <w:noWrap w:val="0"/>
                  <w:vAlign w:val="center"/>
                </w:tcPr>
                <w:p w14:paraId="5C0D1B2C">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27.7</w:t>
                  </w:r>
                </w:p>
              </w:tc>
            </w:tr>
            <w:tr w14:paraId="5990F8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55" w:type="dxa"/>
                  <w:gridSpan w:val="4"/>
                  <w:noWrap w:val="0"/>
                  <w:vAlign w:val="center"/>
                </w:tcPr>
                <w:p w14:paraId="383C8C73">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总投资（万元）</w:t>
                  </w:r>
                </w:p>
              </w:tc>
              <w:tc>
                <w:tcPr>
                  <w:tcW w:w="1496" w:type="dxa"/>
                  <w:noWrap w:val="0"/>
                  <w:vAlign w:val="center"/>
                </w:tcPr>
                <w:p w14:paraId="735DD8EC">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117.95</w:t>
                  </w:r>
                </w:p>
              </w:tc>
            </w:tr>
            <w:tr w14:paraId="4FE523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55" w:type="dxa"/>
                  <w:gridSpan w:val="4"/>
                  <w:noWrap w:val="0"/>
                  <w:vAlign w:val="center"/>
                </w:tcPr>
                <w:p w14:paraId="3A83FD16">
                  <w:pPr>
                    <w:pStyle w:val="8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占总投资比例（%）</w:t>
                  </w:r>
                </w:p>
              </w:tc>
              <w:tc>
                <w:tcPr>
                  <w:tcW w:w="1496" w:type="dxa"/>
                  <w:noWrap w:val="0"/>
                  <w:vAlign w:val="center"/>
                </w:tcPr>
                <w:p w14:paraId="66DA8FE9">
                  <w:pPr>
                    <w:pStyle w:val="99"/>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23.5</w:t>
                  </w:r>
                </w:p>
              </w:tc>
            </w:tr>
          </w:tbl>
          <w:p w14:paraId="6130F876">
            <w:pPr>
              <w:pStyle w:val="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4E201C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22" w:type="dxa"/>
            <w:vAlign w:val="center"/>
          </w:tcPr>
          <w:p w14:paraId="0BDD06F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14:paraId="3C764C9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220" w:type="dxa"/>
            <w:vAlign w:val="center"/>
          </w:tcPr>
          <w:p w14:paraId="778D86A8">
            <w:pPr>
              <w:keepNext w:val="0"/>
              <w:keepLines w:val="0"/>
              <w:numPr>
                <w:ilvl w:val="0"/>
                <w:numId w:val="0"/>
              </w:numPr>
              <w:suppressLineNumbers w:val="0"/>
              <w:spacing w:before="0" w:beforeAutospacing="0" w:after="0" w:afterAutospacing="0" w:line="360" w:lineRule="auto"/>
              <w:ind w:left="0" w:leftChars="0" w:right="0" w:rightChars="0"/>
              <w:rPr>
                <w:rFonts w:hint="default"/>
                <w:b/>
                <w:bCs/>
                <w:color w:val="auto"/>
                <w:szCs w:val="21"/>
                <w:highlight w:val="none"/>
              </w:rPr>
            </w:pPr>
            <w:r>
              <w:rPr>
                <w:rFonts w:hint="eastAsia" w:ascii="Times New Roman" w:hAnsi="Times New Roman" w:eastAsia="宋体" w:cs="Times New Roman"/>
                <w:b/>
                <w:bCs/>
                <w:color w:val="auto"/>
                <w:kern w:val="2"/>
                <w:sz w:val="21"/>
                <w:szCs w:val="21"/>
                <w:lang w:val="en-US" w:eastAsia="zh-CN" w:bidi="ar-SA"/>
              </w:rPr>
              <w:t>一、</w:t>
            </w:r>
            <w:r>
              <w:rPr>
                <w:rFonts w:hint="default"/>
                <w:b/>
                <w:bCs/>
                <w:color w:val="auto"/>
                <w:szCs w:val="21"/>
                <w:highlight w:val="none"/>
              </w:rPr>
              <w:t>施工期工艺流程分析</w:t>
            </w:r>
          </w:p>
          <w:p w14:paraId="69F3311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新建1座500t/d烘干塔，1台</w:t>
            </w:r>
            <w:r>
              <w:rPr>
                <w:rFonts w:hint="eastAsia" w:cs="Times New Roman"/>
                <w:b w:val="0"/>
                <w:bCs w:val="0"/>
                <w:color w:val="auto"/>
                <w:sz w:val="21"/>
                <w:szCs w:val="21"/>
                <w:highlight w:val="none"/>
                <w:lang w:val="en-US" w:eastAsia="zh-CN"/>
              </w:rPr>
              <w:t>720万Kcal/h</w:t>
            </w:r>
            <w:r>
              <w:rPr>
                <w:rFonts w:hint="eastAsia" w:ascii="Times New Roman" w:hAnsi="Times New Roman" w:eastAsia="宋体" w:cs="Times New Roman"/>
                <w:b w:val="0"/>
                <w:bCs w:val="0"/>
                <w:color w:val="auto"/>
                <w:sz w:val="21"/>
                <w:szCs w:val="21"/>
                <w:highlight w:val="none"/>
                <w:lang w:val="en-US" w:eastAsia="zh-CN"/>
              </w:rPr>
              <w:t>燃生物质热风炉</w:t>
            </w:r>
            <w:r>
              <w:rPr>
                <w:rFonts w:hint="eastAsia" w:cs="Times New Roman"/>
                <w:b w:val="0"/>
                <w:bCs w:val="0"/>
                <w:color w:val="auto"/>
                <w:sz w:val="21"/>
                <w:szCs w:val="21"/>
                <w:highlight w:val="none"/>
                <w:lang w:val="en-US" w:eastAsia="zh-CN"/>
              </w:rPr>
              <w:t>，1座潮粮仓，1座干粮仓。</w:t>
            </w:r>
          </w:p>
          <w:p w14:paraId="4980F04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default"/>
                <w:color w:val="auto"/>
                <w:sz w:val="21"/>
                <w:szCs w:val="24"/>
                <w:highlight w:val="none"/>
              </w:rPr>
              <w:t>拟建项目施工期主要分为场地平整、基础工程、主体工程、装饰工程、安装工程等，其建设过程中产生的噪声、扬尘、施工废气、固体废物、施工废水等污染物，其污染物排放量随工序的施工强度变化而变化，施工期结束后环境影响也随之消除。</w:t>
            </w:r>
          </w:p>
          <w:p w14:paraId="151CA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default"/>
                <w:color w:val="auto"/>
                <w:sz w:val="21"/>
                <w:szCs w:val="24"/>
                <w:highlight w:val="none"/>
              </w:rPr>
              <w:t>施工期的具体工艺流程及产污环节见下图。</w:t>
            </w:r>
          </w:p>
          <w:p w14:paraId="2C5E0320">
            <w:pPr>
              <w:pStyle w:val="44"/>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drawing>
                <wp:inline distT="0" distB="0" distL="114300" distR="114300">
                  <wp:extent cx="4500880" cy="1442085"/>
                  <wp:effectExtent l="0" t="0" r="13970" b="5715"/>
                  <wp:docPr id="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4"/>
                          <pic:cNvPicPr>
                            <a:picLocks noChangeAspect="1"/>
                          </pic:cNvPicPr>
                        </pic:nvPicPr>
                        <pic:blipFill>
                          <a:blip r:embed="rId10"/>
                          <a:stretch>
                            <a:fillRect/>
                          </a:stretch>
                        </pic:blipFill>
                        <pic:spPr>
                          <a:xfrm>
                            <a:off x="0" y="0"/>
                            <a:ext cx="4500880" cy="1442085"/>
                          </a:xfrm>
                          <a:prstGeom prst="rect">
                            <a:avLst/>
                          </a:prstGeom>
                          <a:noFill/>
                          <a:ln>
                            <a:noFill/>
                          </a:ln>
                        </pic:spPr>
                      </pic:pic>
                    </a:graphicData>
                  </a:graphic>
                </wp:inline>
              </w:drawing>
            </w:r>
          </w:p>
          <w:p w14:paraId="7EB65E24">
            <w:pPr>
              <w:keepNext w:val="0"/>
              <w:keepLines w:val="0"/>
              <w:suppressLineNumbers w:val="0"/>
              <w:spacing w:before="0" w:beforeAutospacing="0" w:after="0" w:afterAutospacing="0" w:line="240" w:lineRule="auto"/>
              <w:ind w:left="0" w:right="0"/>
              <w:jc w:val="center"/>
              <w:rPr>
                <w:rFonts w:hint="default" w:cs="Times New Roman"/>
                <w:b/>
                <w:bCs/>
                <w:snapToGrid w:val="0"/>
                <w:color w:val="auto"/>
                <w:szCs w:val="21"/>
                <w:highlight w:val="none"/>
                <w:lang w:val="en-US" w:eastAsia="zh-CN"/>
              </w:rPr>
            </w:pPr>
            <w:r>
              <w:rPr>
                <w:rFonts w:hint="eastAsia" w:cs="Times New Roman"/>
                <w:b/>
                <w:bCs/>
                <w:snapToGrid w:val="0"/>
                <w:color w:val="auto"/>
                <w:szCs w:val="21"/>
                <w:highlight w:val="none"/>
                <w:lang w:val="en-US" w:eastAsia="zh-CN"/>
              </w:rPr>
              <w:t>图1-1 施工期工艺流程及产污环节图</w:t>
            </w:r>
          </w:p>
          <w:p w14:paraId="0606B9D4">
            <w:pPr>
              <w:pStyle w:val="17"/>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2" w:firstLineChars="200"/>
              <w:textAlignment w:val="auto"/>
              <w:rPr>
                <w:rFonts w:hint="default"/>
                <w:color w:val="auto"/>
                <w:szCs w:val="21"/>
                <w:highlight w:val="none"/>
              </w:rPr>
            </w:pPr>
            <w:r>
              <w:rPr>
                <w:rFonts w:hint="default"/>
                <w:b/>
                <w:bCs/>
                <w:color w:val="auto"/>
                <w:szCs w:val="21"/>
                <w:highlight w:val="none"/>
              </w:rPr>
              <w:t>施工期主要污染工序：</w:t>
            </w:r>
          </w:p>
          <w:p w14:paraId="2D5F015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（1）废气</w:t>
            </w:r>
          </w:p>
          <w:p w14:paraId="780D15D1">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主要为场地平整、基础开挖、建筑材料运输及装卸、弃土堆存等过程产生的扬尘，施工机械和施工运输车辆产生的机动车尾气。</w:t>
            </w:r>
          </w:p>
          <w:p w14:paraId="5E8DAB5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（2）废水</w:t>
            </w:r>
          </w:p>
          <w:p w14:paraId="3D22AB6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主要是在建设施工过程中产生的泥浆废水、混凝土养护废水、各种车辆冲洗废水，施工人员产生的生活污水。</w:t>
            </w:r>
          </w:p>
          <w:p w14:paraId="2AE5448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（3）噪声</w:t>
            </w:r>
          </w:p>
          <w:p w14:paraId="3F18905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主要是施工过程中装载机、推土机、挖掘机、轮式机、起重机、钻机、搅拌机、运输车辆等运行时产生的噪声。</w:t>
            </w:r>
          </w:p>
          <w:p w14:paraId="0A42DA4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4"/>
                <w:highlight w:val="none"/>
              </w:rPr>
            </w:pPr>
            <w:r>
              <w:rPr>
                <w:rFonts w:hint="default"/>
                <w:color w:val="auto"/>
                <w:szCs w:val="24"/>
                <w:highlight w:val="none"/>
              </w:rPr>
              <w:t>（4）固体废物</w:t>
            </w:r>
          </w:p>
          <w:p w14:paraId="53DD96A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color w:val="auto"/>
                <w:szCs w:val="24"/>
                <w:highlight w:val="none"/>
              </w:rPr>
              <w:t>主要为建筑废弃材料和施工人员生活垃圾。</w:t>
            </w:r>
          </w:p>
          <w:p w14:paraId="1F35CD32">
            <w:pPr>
              <w:pStyle w:val="44"/>
              <w:keepNext w:val="0"/>
              <w:keepLines w:val="0"/>
              <w:suppressLineNumbers w:val="0"/>
              <w:spacing w:before="0" w:beforeAutospacing="0" w:after="0" w:afterAutospacing="0"/>
              <w:ind w:left="0" w:right="0"/>
              <w:rPr>
                <w:rFonts w:hint="default"/>
                <w:color w:val="auto"/>
                <w:highlight w:val="none"/>
              </w:rPr>
            </w:pPr>
          </w:p>
          <w:p w14:paraId="02E291F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6DABB174">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113" w:righ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运营期</w:t>
            </w:r>
            <w:r>
              <w:rPr>
                <w:rFonts w:hint="eastAsia" w:cs="Times New Roman"/>
                <w:color w:val="auto"/>
                <w:sz w:val="21"/>
                <w:szCs w:val="21"/>
                <w:highlight w:val="none"/>
                <w:lang w:val="en-US" w:eastAsia="zh-CN"/>
              </w:rPr>
              <w:t>粮食烘干</w:t>
            </w:r>
            <w:r>
              <w:rPr>
                <w:rFonts w:hint="default" w:ascii="Times New Roman" w:hAnsi="Times New Roman" w:cs="Times New Roman"/>
                <w:color w:val="auto"/>
                <w:sz w:val="21"/>
                <w:szCs w:val="21"/>
                <w:highlight w:val="none"/>
              </w:rPr>
              <w:t>工艺流程及产污节点</w:t>
            </w:r>
          </w:p>
          <w:p w14:paraId="5CA03B1E">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1"/>
                <w:szCs w:val="21"/>
                <w:highlight w:val="none"/>
              </w:rPr>
            </w:pPr>
            <w:r>
              <w:rPr>
                <w:rFonts w:hint="default"/>
                <w:color w:val="auto"/>
                <w:highlight w:val="none"/>
              </w:rPr>
              <mc:AlternateContent>
                <mc:Choice Requires="wpc">
                  <w:drawing>
                    <wp:inline distT="0" distB="0" distL="114300" distR="114300">
                      <wp:extent cx="4768215" cy="3094355"/>
                      <wp:effectExtent l="0" t="0" r="0" b="0"/>
                      <wp:docPr id="67" name="画布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直接箭头连接符 11"/>
                              <wps:cNvCnPr>
                                <a:cxnSpLocks noChangeShapeType="1"/>
                              </wps:cNvCnPr>
                              <wps:spPr bwMode="auto">
                                <a:xfrm>
                                  <a:off x="2915221" y="779145"/>
                                  <a:ext cx="0" cy="292100"/>
                                </a:xfrm>
                                <a:prstGeom prst="straightConnector1">
                                  <a:avLst/>
                                </a:prstGeom>
                                <a:noFill/>
                                <a:ln w="9525">
                                  <a:solidFill>
                                    <a:srgbClr val="000000"/>
                                  </a:solidFill>
                                  <a:round/>
                                  <a:tailEnd type="triangle" w="med" len="med"/>
                                </a:ln>
                                <a:effectLst/>
                              </wps:spPr>
                              <wps:bodyPr/>
                            </wps:wsp>
                            <wps:wsp>
                              <wps:cNvPr id="40" name="矩形 40"/>
                              <wps:cNvSpPr/>
                              <wps:spPr>
                                <a:xfrm>
                                  <a:off x="1108075" y="2663826"/>
                                  <a:ext cx="781050" cy="280035"/>
                                </a:xfrm>
                                <a:prstGeom prst="rect">
                                  <a:avLst/>
                                </a:prstGeom>
                                <a:noFill/>
                                <a:ln>
                                  <a:noFill/>
                                </a:ln>
                              </wps:spPr>
                              <wps:txbx>
                                <w:txbxContent>
                                  <w:p w14:paraId="36CFC124">
                                    <w:pPr>
                                      <w:adjustRightInd w:val="0"/>
                                      <w:snapToGrid w:val="0"/>
                                      <w:jc w:val="center"/>
                                      <w:rPr>
                                        <w:rFonts w:ascii="仿宋" w:hAnsi="仿宋" w:eastAsia="仿宋"/>
                                        <w:szCs w:val="21"/>
                                      </w:rPr>
                                    </w:pPr>
                                    <w:r>
                                      <w:rPr>
                                        <w:rFonts w:ascii="仿宋" w:hAnsi="仿宋" w:eastAsia="仿宋"/>
                                        <w:szCs w:val="21"/>
                                      </w:rPr>
                                      <w:t>空气</w:t>
                                    </w:r>
                                  </w:p>
                                </w:txbxContent>
                              </wps:txbx>
                              <wps:bodyPr anchor="ctr" anchorCtr="0" upright="1"/>
                            </wps:wsp>
                            <wps:wsp>
                              <wps:cNvPr id="41" name="直接箭头连接符 41"/>
                              <wps:cNvCnPr>
                                <a:cxnSpLocks noChangeShapeType="1"/>
                              </wps:cNvCnPr>
                              <wps:spPr bwMode="auto">
                                <a:xfrm>
                                  <a:off x="2915221" y="1723391"/>
                                  <a:ext cx="0" cy="292100"/>
                                </a:xfrm>
                                <a:prstGeom prst="straightConnector1">
                                  <a:avLst/>
                                </a:prstGeom>
                                <a:noFill/>
                                <a:ln w="9525">
                                  <a:solidFill>
                                    <a:srgbClr val="000000"/>
                                  </a:solidFill>
                                  <a:round/>
                                  <a:tailEnd type="triangle" w="med" len="med"/>
                                </a:ln>
                                <a:effectLst/>
                              </wps:spPr>
                              <wps:bodyPr/>
                            </wps:wsp>
                            <wps:wsp>
                              <wps:cNvPr id="42" name="直接箭头连接符 42"/>
                              <wps:cNvCnPr>
                                <a:cxnSpLocks noChangeShapeType="1"/>
                              </wps:cNvCnPr>
                              <wps:spPr bwMode="auto">
                                <a:xfrm>
                                  <a:off x="2915221" y="1268730"/>
                                  <a:ext cx="0" cy="292100"/>
                                </a:xfrm>
                                <a:prstGeom prst="straightConnector1">
                                  <a:avLst/>
                                </a:prstGeom>
                                <a:noFill/>
                                <a:ln w="9525">
                                  <a:solidFill>
                                    <a:srgbClr val="000000"/>
                                  </a:solidFill>
                                  <a:round/>
                                  <a:tailEnd type="triangle" w="med" len="med"/>
                                </a:ln>
                                <a:effectLst/>
                              </wps:spPr>
                              <wps:bodyPr/>
                            </wps:wsp>
                            <wps:wsp>
                              <wps:cNvPr id="43" name="矩形 43"/>
                              <wps:cNvSpPr/>
                              <wps:spPr>
                                <a:xfrm>
                                  <a:off x="2320925" y="995045"/>
                                  <a:ext cx="1149350" cy="283845"/>
                                </a:xfrm>
                                <a:prstGeom prst="rect">
                                  <a:avLst/>
                                </a:prstGeom>
                                <a:noFill/>
                                <a:ln w="25400" cap="flat" cmpd="sng">
                                  <a:solidFill>
                                    <a:srgbClr val="000000"/>
                                  </a:solidFill>
                                  <a:prstDash val="solid"/>
                                  <a:round/>
                                  <a:headEnd type="none" w="med" len="med"/>
                                  <a:tailEnd type="none" w="med" len="med"/>
                                </a:ln>
                              </wps:spPr>
                              <wps:txbx>
                                <w:txbxContent>
                                  <w:p w14:paraId="5532480F">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wps:txbx>
                              <wps:bodyPr anchor="ctr" anchorCtr="0" upright="1"/>
                            </wps:wsp>
                            <wps:wsp>
                              <wps:cNvPr id="45" name="矩形 45"/>
                              <wps:cNvSpPr/>
                              <wps:spPr>
                                <a:xfrm>
                                  <a:off x="2320925" y="2131696"/>
                                  <a:ext cx="1149350" cy="293370"/>
                                </a:xfrm>
                                <a:prstGeom prst="rect">
                                  <a:avLst/>
                                </a:prstGeom>
                                <a:noFill/>
                                <a:ln w="25400" cap="flat" cmpd="sng">
                                  <a:solidFill>
                                    <a:srgbClr val="000000"/>
                                  </a:solidFill>
                                  <a:prstDash val="solid"/>
                                  <a:round/>
                                  <a:headEnd type="none" w="med" len="med"/>
                                  <a:tailEnd type="none" w="med" len="med"/>
                                </a:ln>
                              </wps:spPr>
                              <wps:txbx>
                                <w:txbxContent>
                                  <w:p w14:paraId="72F95FCC">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wps:txbx>
                              <wps:bodyPr anchor="ctr" anchorCtr="0" upright="1"/>
                            </wps:wsp>
                            <wps:wsp>
                              <wps:cNvPr id="46" name="矩形 46"/>
                              <wps:cNvSpPr/>
                              <wps:spPr>
                                <a:xfrm>
                                  <a:off x="2320834" y="1560830"/>
                                  <a:ext cx="1148766" cy="296545"/>
                                </a:xfrm>
                                <a:prstGeom prst="rect">
                                  <a:avLst/>
                                </a:prstGeom>
                                <a:noFill/>
                                <a:ln w="25400" cap="flat" cmpd="sng">
                                  <a:solidFill>
                                    <a:srgbClr val="000000"/>
                                  </a:solidFill>
                                  <a:prstDash val="solid"/>
                                  <a:round/>
                                  <a:headEnd type="none" w="med" len="med"/>
                                  <a:tailEnd type="none" w="med" len="med"/>
                                </a:ln>
                              </wps:spPr>
                              <wps:txbx>
                                <w:txbxContent>
                                  <w:p w14:paraId="454EE9F7">
                                    <w:pPr>
                                      <w:adjustRightInd w:val="0"/>
                                      <w:snapToGrid w:val="0"/>
                                      <w:jc w:val="center"/>
                                      <w:rPr>
                                        <w:rFonts w:ascii="仿宋" w:hAnsi="仿宋" w:eastAsia="仿宋"/>
                                        <w:szCs w:val="21"/>
                                      </w:rPr>
                                    </w:pPr>
                                    <w:r>
                                      <w:rPr>
                                        <w:rFonts w:hint="eastAsia" w:ascii="仿宋" w:hAnsi="仿宋" w:eastAsia="仿宋"/>
                                        <w:szCs w:val="21"/>
                                      </w:rPr>
                                      <w:t>烘干</w:t>
                                    </w:r>
                                  </w:p>
                                </w:txbxContent>
                              </wps:txbx>
                              <wps:bodyPr anchor="ctr" anchorCtr="0" upright="1"/>
                            </wps:wsp>
                            <wps:wsp>
                              <wps:cNvPr id="47" name="矩形 47"/>
                              <wps:cNvSpPr/>
                              <wps:spPr>
                                <a:xfrm>
                                  <a:off x="2604771" y="2648586"/>
                                  <a:ext cx="617855" cy="276225"/>
                                </a:xfrm>
                                <a:prstGeom prst="rect">
                                  <a:avLst/>
                                </a:prstGeom>
                                <a:noFill/>
                                <a:ln>
                                  <a:noFill/>
                                </a:ln>
                              </wps:spPr>
                              <wps:txbx>
                                <w:txbxContent>
                                  <w:p w14:paraId="6278D277">
                                    <w:pPr>
                                      <w:jc w:val="center"/>
                                      <w:rPr>
                                        <w:rFonts w:ascii="仿宋" w:hAnsi="仿宋" w:eastAsia="仿宋"/>
                                        <w:szCs w:val="21"/>
                                      </w:rPr>
                                    </w:pPr>
                                    <w:r>
                                      <w:rPr>
                                        <w:rFonts w:hint="eastAsia" w:ascii="仿宋" w:hAnsi="仿宋" w:eastAsia="仿宋"/>
                                        <w:szCs w:val="21"/>
                                      </w:rPr>
                                      <w:t>产品</w:t>
                                    </w:r>
                                  </w:p>
                                </w:txbxContent>
                              </wps:txbx>
                              <wps:bodyPr anchor="ctr" anchorCtr="0" upright="1"/>
                            </wps:wsp>
                            <wps:wsp>
                              <wps:cNvPr id="51" name="矩形 51"/>
                              <wps:cNvSpPr/>
                              <wps:spPr>
                                <a:xfrm>
                                  <a:off x="2320925" y="426085"/>
                                  <a:ext cx="1148715" cy="296545"/>
                                </a:xfrm>
                                <a:prstGeom prst="rect">
                                  <a:avLst/>
                                </a:prstGeom>
                                <a:noFill/>
                                <a:ln w="28575" cap="flat" cmpd="sng">
                                  <a:solidFill>
                                    <a:srgbClr val="000000"/>
                                  </a:solidFill>
                                  <a:prstDash val="solid"/>
                                  <a:round/>
                                  <a:headEnd type="none" w="med" len="med"/>
                                  <a:tailEnd type="none" w="med" len="med"/>
                                </a:ln>
                              </wps:spPr>
                              <wps:txbx>
                                <w:txbxContent>
                                  <w:p w14:paraId="654C8261">
                                    <w:pPr>
                                      <w:adjustRightInd w:val="0"/>
                                      <w:snapToGrid w:val="0"/>
                                      <w:jc w:val="center"/>
                                      <w:rPr>
                                        <w:rFonts w:eastAsia="仿宋"/>
                                        <w:szCs w:val="21"/>
                                      </w:rPr>
                                    </w:pPr>
                                    <w:r>
                                      <w:rPr>
                                        <w:rFonts w:eastAsia="仿宋"/>
                                        <w:szCs w:val="21"/>
                                      </w:rPr>
                                      <w:t>筛选</w:t>
                                    </w:r>
                                  </w:p>
                                </w:txbxContent>
                              </wps:txbx>
                              <wps:bodyPr anchor="ctr" anchorCtr="0" upright="1"/>
                            </wps:wsp>
                            <wps:wsp>
                              <wps:cNvPr id="52" name="直接箭头连接符 52"/>
                              <wps:cNvCnPr>
                                <a:cxnSpLocks noChangeShapeType="1"/>
                              </wps:cNvCnPr>
                              <wps:spPr bwMode="auto">
                                <a:xfrm>
                                  <a:off x="2915221" y="2329816"/>
                                  <a:ext cx="0" cy="292100"/>
                                </a:xfrm>
                                <a:prstGeom prst="straightConnector1">
                                  <a:avLst/>
                                </a:prstGeom>
                                <a:noFill/>
                                <a:ln w="9525">
                                  <a:solidFill>
                                    <a:srgbClr val="000000"/>
                                  </a:solidFill>
                                  <a:round/>
                                  <a:tailEnd type="triangle" w="med" len="med"/>
                                </a:ln>
                                <a:effectLst/>
                              </wps:spPr>
                              <wps:bodyPr/>
                            </wps:wsp>
                            <wps:wsp>
                              <wps:cNvPr id="53" name="矩形 53"/>
                              <wps:cNvSpPr/>
                              <wps:spPr>
                                <a:xfrm>
                                  <a:off x="1013460" y="2127251"/>
                                  <a:ext cx="958215" cy="290830"/>
                                </a:xfrm>
                                <a:prstGeom prst="rect">
                                  <a:avLst/>
                                </a:prstGeom>
                                <a:noFill/>
                                <a:ln w="25400" cap="flat" cmpd="sng">
                                  <a:solidFill>
                                    <a:srgbClr val="000000"/>
                                  </a:solidFill>
                                  <a:prstDash val="solid"/>
                                  <a:round/>
                                  <a:headEnd type="none" w="med" len="med"/>
                                  <a:tailEnd type="none" w="med" len="med"/>
                                </a:ln>
                              </wps:spPr>
                              <wps:txbx>
                                <w:txbxContent>
                                  <w:p w14:paraId="42E440BF">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wps:txbx>
                              <wps:bodyPr anchor="ctr" anchorCtr="0" upright="1"/>
                            </wps:wsp>
                            <wps:wsp>
                              <wps:cNvPr id="225" name="直接箭头连接符 225"/>
                              <wps:cNvCnPr>
                                <a:cxnSpLocks noChangeShapeType="1"/>
                              </wps:cNvCnPr>
                              <wps:spPr bwMode="auto">
                                <a:xfrm>
                                  <a:off x="1971675" y="1711326"/>
                                  <a:ext cx="325770" cy="0"/>
                                </a:xfrm>
                                <a:prstGeom prst="straightConnector1">
                                  <a:avLst/>
                                </a:prstGeom>
                                <a:noFill/>
                                <a:ln w="9525">
                                  <a:solidFill>
                                    <a:srgbClr val="000000"/>
                                  </a:solidFill>
                                  <a:round/>
                                  <a:tailEnd type="triangle" w="med" len="med"/>
                                </a:ln>
                                <a:effectLst/>
                              </wps:spPr>
                              <wps:bodyPr/>
                            </wps:wsp>
                            <wps:wsp>
                              <wps:cNvPr id="226" name="矩形 226"/>
                              <wps:cNvSpPr>
                                <a:spLocks noChangeArrowheads="1"/>
                              </wps:cNvSpPr>
                              <wps:spPr bwMode="auto">
                                <a:xfrm>
                                  <a:off x="3064510" y="2698750"/>
                                  <a:ext cx="1703705" cy="254635"/>
                                </a:xfrm>
                                <a:prstGeom prst="rect">
                                  <a:avLst/>
                                </a:prstGeom>
                                <a:noFill/>
                                <a:ln>
                                  <a:noFill/>
                                </a:ln>
                                <a:effectLst/>
                              </wps:spPr>
                              <wps:txbx>
                                <w:txbxContent>
                                  <w:p w14:paraId="7F428317">
                                    <w:pPr>
                                      <w:jc w:val="center"/>
                                      <w:rPr>
                                        <w:szCs w:val="21"/>
                                      </w:rPr>
                                    </w:pPr>
                                    <w:r>
                                      <w:rPr>
                                        <w:szCs w:val="21"/>
                                      </w:rPr>
                                      <w:t>注：G废气 S固废 N噪声</w:t>
                                    </w:r>
                                  </w:p>
                                </w:txbxContent>
                              </wps:txbx>
                              <wps:bodyPr rot="0" vert="horz" wrap="square" lIns="91440" tIns="45720" rIns="91440" bIns="45720" anchor="ctr" anchorCtr="0" upright="1">
                                <a:noAutofit/>
                              </wps:bodyPr>
                            </wps:wsp>
                            <wps:wsp>
                              <wps:cNvPr id="230" name="直接箭头连接符 230"/>
                              <wps:cNvCnPr>
                                <a:cxnSpLocks noChangeShapeType="1"/>
                              </wps:cNvCnPr>
                              <wps:spPr bwMode="auto">
                                <a:xfrm flipV="1">
                                  <a:off x="1480185" y="2418081"/>
                                  <a:ext cx="1" cy="292100"/>
                                </a:xfrm>
                                <a:prstGeom prst="straightConnector1">
                                  <a:avLst/>
                                </a:prstGeom>
                                <a:noFill/>
                                <a:ln w="9525">
                                  <a:solidFill>
                                    <a:srgbClr val="000000"/>
                                  </a:solidFill>
                                  <a:round/>
                                  <a:tailEnd type="triangle" w="med" len="med"/>
                                </a:ln>
                                <a:effectLst/>
                              </wps:spPr>
                              <wps:bodyPr/>
                            </wps:wsp>
                            <wps:wsp>
                              <wps:cNvPr id="231" name="矩形 231"/>
                              <wps:cNvSpPr>
                                <a:spLocks noChangeArrowheads="1"/>
                              </wps:cNvSpPr>
                              <wps:spPr bwMode="auto">
                                <a:xfrm>
                                  <a:off x="1013460" y="907415"/>
                                  <a:ext cx="958215" cy="332105"/>
                                </a:xfrm>
                                <a:prstGeom prst="rect">
                                  <a:avLst/>
                                </a:prstGeom>
                                <a:noFill/>
                                <a:ln w="25400">
                                  <a:solidFill>
                                    <a:srgbClr val="000000"/>
                                  </a:solidFill>
                                  <a:round/>
                                </a:ln>
                                <a:effectLst/>
                              </wps:spPr>
                              <wps:txbx>
                                <w:txbxContent>
                                  <w:p w14:paraId="0E8449B4">
                                    <w:pPr>
                                      <w:adjustRightInd w:val="0"/>
                                      <w:snapToGrid w:val="0"/>
                                      <w:jc w:val="center"/>
                                      <w:rPr>
                                        <w:rFonts w:eastAsia="仿宋"/>
                                        <w:szCs w:val="21"/>
                                      </w:rPr>
                                    </w:pPr>
                                    <w:r>
                                      <w:rPr>
                                        <w:rFonts w:eastAsia="仿宋"/>
                                        <w:szCs w:val="21"/>
                                      </w:rPr>
                                      <w:t>布袋除尘器</w:t>
                                    </w:r>
                                  </w:p>
                                </w:txbxContent>
                              </wps:txbx>
                              <wps:bodyPr rot="0" vert="horz" wrap="square" lIns="91440" tIns="45720" rIns="91440" bIns="45720" anchor="ctr" anchorCtr="0" upright="1">
                                <a:noAutofit/>
                              </wps:bodyPr>
                            </wps:wsp>
                            <wps:wsp>
                              <wps:cNvPr id="237" name="直接箭头连接符 237"/>
                              <wps:cNvCnPr>
                                <a:cxnSpLocks noChangeShapeType="1"/>
                              </wps:cNvCnPr>
                              <wps:spPr bwMode="auto">
                                <a:xfrm>
                                  <a:off x="3479165" y="1171575"/>
                                  <a:ext cx="187325" cy="6985"/>
                                </a:xfrm>
                                <a:prstGeom prst="straightConnector1">
                                  <a:avLst/>
                                </a:prstGeom>
                                <a:noFill/>
                                <a:ln w="9525">
                                  <a:solidFill>
                                    <a:srgbClr val="000000"/>
                                  </a:solidFill>
                                  <a:round/>
                                  <a:tailEnd type="triangle" w="med" len="med"/>
                                </a:ln>
                                <a:effectLst/>
                              </wps:spPr>
                              <wps:bodyPr/>
                            </wps:wsp>
                            <wps:wsp>
                              <wps:cNvPr id="240" name="直接箭头连接符 240"/>
                              <wps:cNvCnPr>
                                <a:cxnSpLocks noChangeShapeType="1"/>
                              </wps:cNvCnPr>
                              <wps:spPr bwMode="auto">
                                <a:xfrm>
                                  <a:off x="3470871" y="1701801"/>
                                  <a:ext cx="187333" cy="6350"/>
                                </a:xfrm>
                                <a:prstGeom prst="straightConnector1">
                                  <a:avLst/>
                                </a:prstGeom>
                                <a:noFill/>
                                <a:ln w="9525">
                                  <a:solidFill>
                                    <a:srgbClr val="000000"/>
                                  </a:solidFill>
                                  <a:round/>
                                  <a:tailEnd type="triangle" w="med" len="med"/>
                                </a:ln>
                                <a:effectLst/>
                              </wps:spPr>
                              <wps:bodyPr/>
                            </wps:wsp>
                            <wps:wsp>
                              <wps:cNvPr id="244" name="矩形 244"/>
                              <wps:cNvSpPr>
                                <a:spLocks noChangeArrowheads="1"/>
                              </wps:cNvSpPr>
                              <wps:spPr bwMode="auto">
                                <a:xfrm>
                                  <a:off x="3593465" y="1031875"/>
                                  <a:ext cx="708025" cy="283845"/>
                                </a:xfrm>
                                <a:prstGeom prst="rect">
                                  <a:avLst/>
                                </a:prstGeom>
                                <a:noFill/>
                                <a:ln>
                                  <a:noFill/>
                                </a:ln>
                                <a:effectLst/>
                              </wps:spPr>
                              <wps:txbx>
                                <w:txbxContent>
                                  <w:p w14:paraId="322C3385">
                                    <w:pPr>
                                      <w:adjustRightInd w:val="0"/>
                                      <w:snapToGrid w:val="0"/>
                                      <w:jc w:val="center"/>
                                      <w:rPr>
                                        <w:szCs w:val="21"/>
                                      </w:rPr>
                                    </w:pPr>
                                    <w:r>
                                      <w:rPr>
                                        <w:szCs w:val="21"/>
                                      </w:rPr>
                                      <w:t>N、</w:t>
                                    </w:r>
                                    <w:r>
                                      <w:rPr>
                                        <w:rFonts w:eastAsia="Arial Unicode MS"/>
                                        <w:sz w:val="18"/>
                                        <w:szCs w:val="18"/>
                                      </w:rPr>
                                      <w:t>G</w:t>
                                    </w:r>
                                  </w:p>
                                  <w:p w14:paraId="7F23AF63">
                                    <w:pPr>
                                      <w:adjustRightInd w:val="0"/>
                                      <w:snapToGrid w:val="0"/>
                                      <w:jc w:val="center"/>
                                      <w:rPr>
                                        <w:szCs w:val="21"/>
                                      </w:rPr>
                                    </w:pPr>
                                  </w:p>
                                </w:txbxContent>
                              </wps:txbx>
                              <wps:bodyPr rot="0" vert="horz" wrap="square" lIns="91440" tIns="45720" rIns="91440" bIns="45720" anchor="ctr" anchorCtr="0" upright="1">
                                <a:noAutofit/>
                              </wps:bodyPr>
                            </wps:wsp>
                            <wps:wsp>
                              <wps:cNvPr id="252" name="矩形 252"/>
                              <wps:cNvSpPr>
                                <a:spLocks noChangeArrowheads="1"/>
                              </wps:cNvSpPr>
                              <wps:spPr bwMode="auto">
                                <a:xfrm>
                                  <a:off x="0" y="919480"/>
                                  <a:ext cx="848995" cy="288290"/>
                                </a:xfrm>
                                <a:prstGeom prst="rect">
                                  <a:avLst/>
                                </a:prstGeom>
                                <a:noFill/>
                                <a:ln>
                                  <a:noFill/>
                                </a:ln>
                                <a:effectLst/>
                              </wps:spPr>
                              <wps:txbx>
                                <w:txbxContent>
                                  <w:p w14:paraId="4189B37D">
                                    <w:pPr>
                                      <w:adjustRightInd w:val="0"/>
                                      <w:snapToGrid w:val="0"/>
                                      <w:jc w:val="center"/>
                                      <w:rPr>
                                        <w:szCs w:val="21"/>
                                      </w:rPr>
                                    </w:pPr>
                                    <w:r>
                                      <w:rPr>
                                        <w:szCs w:val="21"/>
                                      </w:rPr>
                                      <w:t>G、S、N</w:t>
                                    </w:r>
                                  </w:p>
                                </w:txbxContent>
                              </wps:txbx>
                              <wps:bodyPr rot="0" vert="horz" wrap="square" lIns="91440" tIns="45720" rIns="91440" bIns="45720" anchor="ctr" anchorCtr="0" upright="1">
                                <a:noAutofit/>
                              </wps:bodyPr>
                            </wps:wsp>
                            <wps:wsp>
                              <wps:cNvPr id="3167" name="矩形 3167"/>
                              <wps:cNvSpPr>
                                <a:spLocks noChangeArrowheads="1"/>
                              </wps:cNvSpPr>
                              <wps:spPr bwMode="auto">
                                <a:xfrm>
                                  <a:off x="3658870" y="2124075"/>
                                  <a:ext cx="587375" cy="295910"/>
                                </a:xfrm>
                                <a:prstGeom prst="rect">
                                  <a:avLst/>
                                </a:prstGeom>
                                <a:noFill/>
                                <a:ln>
                                  <a:noFill/>
                                </a:ln>
                                <a:effectLst/>
                              </wps:spPr>
                              <wps:txbx>
                                <w:txbxContent>
                                  <w:p w14:paraId="30598EDE">
                                    <w:pPr>
                                      <w:adjustRightInd w:val="0"/>
                                      <w:snapToGrid w:val="0"/>
                                      <w:rPr>
                                        <w:szCs w:val="21"/>
                                      </w:rPr>
                                    </w:pPr>
                                    <w:r>
                                      <w:rPr>
                                        <w:szCs w:val="21"/>
                                      </w:rPr>
                                      <w:t>N</w:t>
                                    </w:r>
                                    <w:r>
                                      <w:rPr>
                                        <w:rFonts w:hint="eastAsia"/>
                                        <w:szCs w:val="21"/>
                                      </w:rPr>
                                      <w:t>、G</w:t>
                                    </w:r>
                                  </w:p>
                                </w:txbxContent>
                              </wps:txbx>
                              <wps:bodyPr rot="0" vert="horz" wrap="square" lIns="91440" tIns="45720" rIns="91440" bIns="45720" anchor="ctr" anchorCtr="0" upright="1">
                                <a:noAutofit/>
                              </wps:bodyPr>
                            </wps:wsp>
                            <wps:wsp>
                              <wps:cNvPr id="54" name="矩形 54"/>
                              <wps:cNvSpPr>
                                <a:spLocks noChangeArrowheads="1"/>
                              </wps:cNvSpPr>
                              <wps:spPr bwMode="auto">
                                <a:xfrm>
                                  <a:off x="220980" y="2127885"/>
                                  <a:ext cx="593090" cy="314325"/>
                                </a:xfrm>
                                <a:prstGeom prst="rect">
                                  <a:avLst/>
                                </a:prstGeom>
                                <a:noFill/>
                                <a:ln>
                                  <a:noFill/>
                                </a:ln>
                                <a:effectLst/>
                              </wps:spPr>
                              <wps:txbx>
                                <w:txbxContent>
                                  <w:p w14:paraId="005D3A0D">
                                    <w:pPr>
                                      <w:jc w:val="center"/>
                                      <w:rPr>
                                        <w:szCs w:val="21"/>
                                      </w:rPr>
                                    </w:pPr>
                                    <w:r>
                                      <w:rPr>
                                        <w:szCs w:val="21"/>
                                      </w:rPr>
                                      <w:t>S、N</w:t>
                                    </w:r>
                                  </w:p>
                                </w:txbxContent>
                              </wps:txbx>
                              <wps:bodyPr rot="0" vert="horz" wrap="square" lIns="91440" tIns="45720" rIns="91440" bIns="45720" anchor="ctr" anchorCtr="0" upright="1">
                                <a:noAutofit/>
                              </wps:bodyPr>
                            </wps:wsp>
                            <wps:wsp>
                              <wps:cNvPr id="55" name="矩形 55"/>
                              <wps:cNvSpPr>
                                <a:spLocks noChangeArrowheads="1"/>
                              </wps:cNvSpPr>
                              <wps:spPr bwMode="auto">
                                <a:xfrm>
                                  <a:off x="3658204" y="1538605"/>
                                  <a:ext cx="708057" cy="290830"/>
                                </a:xfrm>
                                <a:prstGeom prst="rect">
                                  <a:avLst/>
                                </a:prstGeom>
                                <a:noFill/>
                                <a:ln>
                                  <a:noFill/>
                                </a:ln>
                                <a:effectLst/>
                              </wps:spPr>
                              <wps:txbx>
                                <w:txbxContent>
                                  <w:p w14:paraId="0445890F">
                                    <w:pPr>
                                      <w:adjustRightInd w:val="0"/>
                                      <w:snapToGrid w:val="0"/>
                                      <w:rPr>
                                        <w:szCs w:val="21"/>
                                      </w:rPr>
                                    </w:pPr>
                                    <w:r>
                                      <w:rPr>
                                        <w:szCs w:val="21"/>
                                      </w:rPr>
                                      <w:t>N、G</w:t>
                                    </w:r>
                                  </w:p>
                                </w:txbxContent>
                              </wps:txbx>
                              <wps:bodyPr rot="0" vert="horz" wrap="square" lIns="91440" tIns="45720" rIns="91440" bIns="45720" anchor="ctr" anchorCtr="0" upright="1">
                                <a:noAutofit/>
                              </wps:bodyPr>
                            </wps:wsp>
                            <wps:wsp>
                              <wps:cNvPr id="56" name="直接箭头连接符 56"/>
                              <wps:cNvCnPr>
                                <a:cxnSpLocks noChangeShapeType="1"/>
                              </wps:cNvCnPr>
                              <wps:spPr bwMode="auto">
                                <a:xfrm>
                                  <a:off x="3471545" y="2272665"/>
                                  <a:ext cx="186690" cy="6350"/>
                                </a:xfrm>
                                <a:prstGeom prst="straightConnector1">
                                  <a:avLst/>
                                </a:prstGeom>
                                <a:noFill/>
                                <a:ln w="9525">
                                  <a:solidFill>
                                    <a:srgbClr val="000000"/>
                                  </a:solidFill>
                                  <a:round/>
                                  <a:tailEnd type="triangle" w="med" len="med"/>
                                </a:ln>
                                <a:effectLst/>
                              </wps:spPr>
                              <wps:bodyPr/>
                            </wps:wsp>
                            <wps:wsp>
                              <wps:cNvPr id="57" name="直接箭头连接符 57"/>
                              <wps:cNvCnPr>
                                <a:cxnSpLocks noChangeShapeType="1"/>
                              </wps:cNvCnPr>
                              <wps:spPr bwMode="auto">
                                <a:xfrm flipH="1">
                                  <a:off x="814070" y="2294891"/>
                                  <a:ext cx="160019" cy="1"/>
                                </a:xfrm>
                                <a:prstGeom prst="straightConnector1">
                                  <a:avLst/>
                                </a:prstGeom>
                                <a:noFill/>
                                <a:ln w="9525">
                                  <a:solidFill>
                                    <a:srgbClr val="000000"/>
                                  </a:solidFill>
                                  <a:round/>
                                  <a:tailEnd type="triangle" w="med" len="med"/>
                                </a:ln>
                                <a:effectLst/>
                              </wps:spPr>
                              <wps:bodyPr/>
                            </wps:wsp>
                            <wps:wsp>
                              <wps:cNvPr id="38" name="直接箭头连接符 38"/>
                              <wps:cNvCnPr>
                                <a:cxnSpLocks noChangeShapeType="1"/>
                              </wps:cNvCnPr>
                              <wps:spPr bwMode="auto">
                                <a:xfrm flipH="1">
                                  <a:off x="838200" y="1071245"/>
                                  <a:ext cx="159384" cy="1"/>
                                </a:xfrm>
                                <a:prstGeom prst="straightConnector1">
                                  <a:avLst/>
                                </a:prstGeom>
                                <a:noFill/>
                                <a:ln w="9525">
                                  <a:solidFill>
                                    <a:srgbClr val="000000"/>
                                  </a:solidFill>
                                  <a:round/>
                                  <a:tailEnd type="triangle" w="med" len="med"/>
                                </a:ln>
                                <a:effectLst/>
                              </wps:spPr>
                              <wps:bodyPr/>
                            </wps:wsp>
                            <wps:wsp>
                              <wps:cNvPr id="58" name="矩形 58"/>
                              <wps:cNvSpPr/>
                              <wps:spPr>
                                <a:xfrm>
                                  <a:off x="2487296" y="0"/>
                                  <a:ext cx="845185" cy="276225"/>
                                </a:xfrm>
                                <a:prstGeom prst="rect">
                                  <a:avLst/>
                                </a:prstGeom>
                                <a:noFill/>
                                <a:ln>
                                  <a:noFill/>
                                </a:ln>
                              </wps:spPr>
                              <wps:txbx>
                                <w:txbxContent>
                                  <w:p w14:paraId="02F14314">
                                    <w:pPr>
                                      <w:pStyle w:val="29"/>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wps:txbx>
                              <wps:bodyPr anchor="ctr" anchorCtr="0" upright="1"/>
                            </wps:wsp>
                            <wps:wsp>
                              <wps:cNvPr id="59" name="直接箭头连接符 59"/>
                              <wps:cNvCnPr/>
                              <wps:spPr>
                                <a:xfrm>
                                  <a:off x="2905761" y="233680"/>
                                  <a:ext cx="0" cy="183515"/>
                                </a:xfrm>
                                <a:prstGeom prst="straightConnector1">
                                  <a:avLst/>
                                </a:prstGeom>
                                <a:ln w="9525" cap="flat" cmpd="sng">
                                  <a:solidFill>
                                    <a:srgbClr val="000000"/>
                                  </a:solidFill>
                                  <a:prstDash val="solid"/>
                                  <a:round/>
                                  <a:headEnd type="none" w="med" len="med"/>
                                  <a:tailEnd type="triangle" w="med" len="med"/>
                                </a:ln>
                              </wps:spPr>
                              <wps:bodyPr/>
                            </wps:wsp>
                            <wps:wsp>
                              <wps:cNvPr id="60" name="矩形 60"/>
                              <wps:cNvSpPr>
                                <a:spLocks noChangeArrowheads="1"/>
                              </wps:cNvSpPr>
                              <wps:spPr bwMode="auto">
                                <a:xfrm>
                                  <a:off x="3635375" y="384810"/>
                                  <a:ext cx="746760" cy="379095"/>
                                </a:xfrm>
                                <a:prstGeom prst="rect">
                                  <a:avLst/>
                                </a:prstGeom>
                                <a:noFill/>
                                <a:ln>
                                  <a:noFill/>
                                </a:ln>
                                <a:effectLst/>
                              </wps:spPr>
                              <wps:txbx>
                                <w:txbxContent>
                                  <w:p w14:paraId="5DD8A5A4">
                                    <w:pPr>
                                      <w:pStyle w:val="29"/>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wps:txbx>
                              <wps:bodyPr rot="0" vert="horz" wrap="square" lIns="91440" tIns="45720" rIns="91440" bIns="45720" anchor="ctr" anchorCtr="0" upright="1">
                                <a:noAutofit/>
                              </wps:bodyPr>
                            </wps:wsp>
                            <wps:wsp>
                              <wps:cNvPr id="61" name="直接箭头连接符 61"/>
                              <wps:cNvCnPr>
                                <a:cxnSpLocks noChangeShapeType="1"/>
                              </wps:cNvCnPr>
                              <wps:spPr bwMode="auto">
                                <a:xfrm>
                                  <a:off x="3467735" y="586740"/>
                                  <a:ext cx="187325" cy="6350"/>
                                </a:xfrm>
                                <a:prstGeom prst="straightConnector1">
                                  <a:avLst/>
                                </a:prstGeom>
                                <a:noFill/>
                                <a:ln w="9525">
                                  <a:solidFill>
                                    <a:srgbClr val="000000"/>
                                  </a:solidFill>
                                  <a:round/>
                                  <a:tailEnd type="triangle" w="med" len="med"/>
                                </a:ln>
                                <a:effectLst/>
                              </wps:spPr>
                              <wps:bodyPr/>
                            </wps:wsp>
                            <wps:wsp>
                              <wps:cNvPr id="62" name="矩形 62"/>
                              <wps:cNvSpPr>
                                <a:spLocks noChangeArrowheads="1"/>
                              </wps:cNvSpPr>
                              <wps:spPr bwMode="auto">
                                <a:xfrm>
                                  <a:off x="1013460" y="1543050"/>
                                  <a:ext cx="958215" cy="303530"/>
                                </a:xfrm>
                                <a:prstGeom prst="rect">
                                  <a:avLst/>
                                </a:prstGeom>
                                <a:noFill/>
                                <a:ln w="25400">
                                  <a:solidFill>
                                    <a:srgbClr val="000000"/>
                                  </a:solidFill>
                                  <a:round/>
                                </a:ln>
                                <a:effectLst/>
                              </wps:spPr>
                              <wps:txbx>
                                <w:txbxContent>
                                  <w:p w14:paraId="265391DE">
                                    <w:pPr>
                                      <w:adjustRightInd w:val="0"/>
                                      <w:snapToGrid w:val="0"/>
                                      <w:jc w:val="center"/>
                                      <w:rPr>
                                        <w:rFonts w:eastAsia="仿宋"/>
                                        <w:szCs w:val="21"/>
                                      </w:rPr>
                                    </w:pPr>
                                    <w:r>
                                      <w:rPr>
                                        <w:rFonts w:hint="eastAsia" w:eastAsia="仿宋"/>
                                        <w:szCs w:val="21"/>
                                      </w:rPr>
                                      <w:t>换热器</w:t>
                                    </w:r>
                                  </w:p>
                                </w:txbxContent>
                              </wps:txbx>
                              <wps:bodyPr rot="0" vert="horz" wrap="square" lIns="91440" tIns="45720" rIns="91440" bIns="45720" anchor="ctr" anchorCtr="0" upright="1">
                                <a:noAutofit/>
                              </wps:bodyPr>
                            </wps:wsp>
                            <wps:wsp>
                              <wps:cNvPr id="63" name="直接箭头连接符 63"/>
                              <wps:cNvCnPr>
                                <a:cxnSpLocks noChangeShapeType="1"/>
                              </wps:cNvCnPr>
                              <wps:spPr bwMode="auto">
                                <a:xfrm flipV="1">
                                  <a:off x="1505585" y="1245870"/>
                                  <a:ext cx="1" cy="292100"/>
                                </a:xfrm>
                                <a:prstGeom prst="straightConnector1">
                                  <a:avLst/>
                                </a:prstGeom>
                                <a:noFill/>
                                <a:ln w="9525">
                                  <a:solidFill>
                                    <a:srgbClr val="000000"/>
                                  </a:solidFill>
                                  <a:round/>
                                  <a:tailEnd type="triangle" w="med" len="med"/>
                                </a:ln>
                                <a:effectLst/>
                              </wps:spPr>
                              <wps:bodyPr/>
                            </wps:wsp>
                            <wps:wsp>
                              <wps:cNvPr id="64" name="直接箭头连接符 64"/>
                              <wps:cNvCnPr>
                                <a:cxnSpLocks noChangeShapeType="1"/>
                              </wps:cNvCnPr>
                              <wps:spPr bwMode="auto">
                                <a:xfrm flipV="1">
                                  <a:off x="1487170" y="1835151"/>
                                  <a:ext cx="0" cy="292100"/>
                                </a:xfrm>
                                <a:prstGeom prst="straightConnector1">
                                  <a:avLst/>
                                </a:prstGeom>
                                <a:noFill/>
                                <a:ln w="9525">
                                  <a:solidFill>
                                    <a:srgbClr val="000000"/>
                                  </a:solidFill>
                                  <a:round/>
                                  <a:tailEnd type="triangle" w="med" len="med"/>
                                </a:ln>
                                <a:effectLst/>
                              </wps:spPr>
                              <wps:bodyPr/>
                            </wps:wsp>
                            <wps:wsp>
                              <wps:cNvPr id="65" name="直接箭头连接符 65"/>
                              <wps:cNvCnPr>
                                <a:cxnSpLocks noChangeShapeType="1"/>
                              </wps:cNvCnPr>
                              <wps:spPr bwMode="auto">
                                <a:xfrm flipH="1">
                                  <a:off x="838200" y="1691006"/>
                                  <a:ext cx="160019" cy="0"/>
                                </a:xfrm>
                                <a:prstGeom prst="straightConnector1">
                                  <a:avLst/>
                                </a:prstGeom>
                                <a:noFill/>
                                <a:ln w="9525">
                                  <a:solidFill>
                                    <a:srgbClr val="000000"/>
                                  </a:solidFill>
                                  <a:round/>
                                  <a:tailEnd type="triangle" w="med" len="med"/>
                                </a:ln>
                                <a:effectLst/>
                              </wps:spPr>
                              <wps:bodyPr/>
                            </wps:wsp>
                            <wps:wsp>
                              <wps:cNvPr id="66" name="矩形 66"/>
                              <wps:cNvSpPr>
                                <a:spLocks noChangeArrowheads="1"/>
                              </wps:cNvSpPr>
                              <wps:spPr bwMode="auto">
                                <a:xfrm>
                                  <a:off x="351155" y="1537970"/>
                                  <a:ext cx="593090" cy="314325"/>
                                </a:xfrm>
                                <a:prstGeom prst="rect">
                                  <a:avLst/>
                                </a:prstGeom>
                                <a:noFill/>
                                <a:ln>
                                  <a:noFill/>
                                </a:ln>
                                <a:effectLst/>
                              </wps:spPr>
                              <wps:txbx>
                                <w:txbxContent>
                                  <w:p w14:paraId="0A39E906">
                                    <w:pPr>
                                      <w:jc w:val="center"/>
                                      <w:rPr>
                                        <w:szCs w:val="21"/>
                                      </w:rPr>
                                    </w:pPr>
                                    <w:r>
                                      <w:rPr>
                                        <w:szCs w:val="21"/>
                                      </w:rPr>
                                      <w:t>N</w:t>
                                    </w:r>
                                  </w:p>
                                </w:txbxContent>
                              </wps:txbx>
                              <wps:bodyPr rot="0" vert="horz" wrap="square" lIns="91440" tIns="45720" rIns="91440" bIns="45720" anchor="ctr" anchorCtr="0" upright="1">
                                <a:noAutofit/>
                              </wps:bodyPr>
                            </wps:wsp>
                          </wpc:wpc>
                        </a:graphicData>
                      </a:graphic>
                    </wp:inline>
                  </w:drawing>
                </mc:Choice>
                <mc:Fallback>
                  <w:pict>
                    <v:group id="_x0000_s1026" o:spid="_x0000_s1026" o:spt="203" style="height:243.65pt;width:375.45pt;" coordsize="4768215,3094355" editas="canvas"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">
                      <o:lock v:ext="edit" aspectratio="f"/>
                      <v:shape id="_x0000_s1026" o:spid="_x0000_s1026" style="position:absolute;left:0;top:0;height:3094355;width:4768215;" filled="f" stroked="f" coordsize="21600,21600"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">
                        <v:fill on="f" focussize="0,0"/>
                        <v:stroke on="f"/>
                        <v:imagedata o:title=""/>
                        <o:lock v:ext="edit" aspectratio="t"/>
                      </v:shape>
                      <v:shape id="_x0000_s1026" o:spid="_x0000_s1026" o:spt="32" type="#_x0000_t32" style="position:absolute;left:2915221;top:779145;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x6U6eCECAAAGBAAADgAAAAAAAAABACAAAAAnAQAAZHJzL2Uyb0RvYy54bWxQSwUGAAAAAAYABgBZ&#10;AQAAugUAAAAA&#10;">
                        <v:fill on="f" focussize="0,0"/>
                        <v:stroke color="#000000" joinstyle="round" endarrow="block"/>
                        <v:imagedata o:title=""/>
                        <o:lock v:ext="edit" aspectratio="f"/>
                      </v:shape>
                      <v:rect id="_x0000_s1026" o:spid="_x0000_s1026" o:spt="1" style="position:absolute;left:1108075;top:2663826;height:280035;width:78105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GO+3kC+AQAAaQMAAA4AAAAAAAAAAQAgAAAAIgEAAGRycy9lMm9Eb2MueG1sUEsF&#10;BgAAAAAGAAYAWQEAAFIFAAAAAA==&#10;">
                        <v:fill on="f" focussize="0,0"/>
                        <v:stroke on="f"/>
                        <v:imagedata o:title=""/>
                        <o:lock v:ext="edit" aspectratio="f"/>
                        <v:textbox>
                          <w:txbxContent>
                            <w:p w14:paraId="36CFC124">
                              <w:pPr>
                                <w:adjustRightInd w:val="0"/>
                                <w:snapToGrid w:val="0"/>
                                <w:jc w:val="center"/>
                                <w:rPr>
                                  <w:rFonts w:ascii="仿宋" w:hAnsi="仿宋" w:eastAsia="仿宋"/>
                                  <w:szCs w:val="21"/>
                                </w:rPr>
                              </w:pPr>
                              <w:r>
                                <w:rPr>
                                  <w:rFonts w:ascii="仿宋" w:hAnsi="仿宋" w:eastAsia="仿宋"/>
                                  <w:szCs w:val="21"/>
                                </w:rPr>
                                <w:t>空气</w:t>
                              </w:r>
                            </w:p>
                          </w:txbxContent>
                        </v:textbox>
                      </v:rect>
                      <v:shape id="_x0000_s1026" o:spid="_x0000_s1026" o:spt="32" type="#_x0000_t32" style="position:absolute;left:2915221;top:1723391;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Nk9YGciAgAABwQAAA4AAAAAAAAAAQAgAAAAJwEAAGRycy9lMm9Eb2MueG1sUEsFBgAAAAAGAAYA&#10;WQEAALsFAAAAAA==&#10;">
                        <v:fill on="f" focussize="0,0"/>
                        <v:stroke color="#000000" joinstyle="round" endarrow="block"/>
                        <v:imagedata o:title=""/>
                        <o:lock v:ext="edit" aspectratio="f"/>
                      </v:shape>
                      <v:shape id="_x0000_s1026" o:spid="_x0000_s1026" o:spt="32" type="#_x0000_t32" style="position:absolute;left:2915221;top:1268730;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EsJc3s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2320925;top:995045;height:283845;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L8aM4sXAgAAKQQA&#10;AA4AAAAAAAAAAQAgAAAAJgEAAGRycy9lMm9Eb2MueG1sUEsFBgAAAAAGAAYAWQEAAK8FAAAAAA==&#10;">
                        <v:fill on="f" focussize="0,0"/>
                        <v:stroke weight="2pt" color="#000000" joinstyle="round"/>
                        <v:imagedata o:title=""/>
                        <o:lock v:ext="edit" aspectratio="f"/>
                        <v:textbox>
                          <w:txbxContent>
                            <w:p w14:paraId="5532480F">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v:textbox>
                      </v:rect>
                      <v:rect id="_x0000_s1026" o:spid="_x0000_s1026" o:spt="1" style="position:absolute;left:2320925;top:2131696;height:293370;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0H1SRYCAAAqBAAA&#10;DgAAAAAAAAABACAAAAAmAQAAZHJzL2Uyb0RvYy54bWxQSwUGAAAAAAYABgBZAQAArgUAAAAA&#10;">
                        <v:fill on="f" focussize="0,0"/>
                        <v:stroke weight="2pt" color="#000000" joinstyle="round"/>
                        <v:imagedata o:title=""/>
                        <o:lock v:ext="edit" aspectratio="f"/>
                        <v:textbox>
                          <w:txbxContent>
                            <w:p w14:paraId="72F95FCC">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v:textbox>
                      </v:rect>
                      <v:rect id="_x0000_s1026" o:spid="_x0000_s1026" o:spt="1" style="position:absolute;left:2320834;top:1560830;height:296545;width:1148766;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pc1aBYCAAAqBAAA&#10;DgAAAAAAAAABACAAAAAmAQAAZHJzL2Uyb0RvYy54bWxQSwUGAAAAAAYABgBZAQAArgUAAAAA&#10;">
                        <v:fill on="f" focussize="0,0"/>
                        <v:stroke weight="2pt" color="#000000" joinstyle="round"/>
                        <v:imagedata o:title=""/>
                        <o:lock v:ext="edit" aspectratio="f"/>
                        <v:textbox>
                          <w:txbxContent>
                            <w:p w14:paraId="454EE9F7">
                              <w:pPr>
                                <w:adjustRightInd w:val="0"/>
                                <w:snapToGrid w:val="0"/>
                                <w:jc w:val="center"/>
                                <w:rPr>
                                  <w:rFonts w:ascii="仿宋" w:hAnsi="仿宋" w:eastAsia="仿宋"/>
                                  <w:szCs w:val="21"/>
                                </w:rPr>
                              </w:pPr>
                              <w:r>
                                <w:rPr>
                                  <w:rFonts w:hint="eastAsia" w:ascii="仿宋" w:hAnsi="仿宋" w:eastAsia="仿宋"/>
                                  <w:szCs w:val="21"/>
                                </w:rPr>
                                <w:t>烘干</w:t>
                              </w:r>
                            </w:p>
                          </w:txbxContent>
                        </v:textbox>
                      </v:rect>
                      <v:rect id="_x0000_s1026" o:spid="_x0000_s1026" o:spt="1" style="position:absolute;left:2604771;top:2648586;height:276225;width:61785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MIYnPa+AQAAaQMAAA4AAAAAAAAAAQAgAAAAIgEAAGRycy9lMm9Eb2MueG1sUEsF&#10;BgAAAAAGAAYAWQEAAFIFAAAAAA==&#10;">
                        <v:fill on="f" focussize="0,0"/>
                        <v:stroke on="f"/>
                        <v:imagedata o:title=""/>
                        <o:lock v:ext="edit" aspectratio="f"/>
                        <v:textbox>
                          <w:txbxContent>
                            <w:p w14:paraId="6278D277">
                              <w:pPr>
                                <w:jc w:val="center"/>
                                <w:rPr>
                                  <w:rFonts w:ascii="仿宋" w:hAnsi="仿宋" w:eastAsia="仿宋"/>
                                  <w:szCs w:val="21"/>
                                </w:rPr>
                              </w:pPr>
                              <w:r>
                                <w:rPr>
                                  <w:rFonts w:hint="eastAsia" w:ascii="仿宋" w:hAnsi="仿宋" w:eastAsia="仿宋"/>
                                  <w:szCs w:val="21"/>
                                </w:rPr>
                                <w:t>产品</w:t>
                              </w:r>
                            </w:p>
                          </w:txbxContent>
                        </v:textbox>
                      </v:rect>
                      <v:rect id="_x0000_s1026" o:spid="_x0000_s1026" o:spt="1" style="position:absolute;left:2320925;top:426085;height:296545;width:1148715;v-text-anchor:middle;" filled="f" stroked="t" coordsize="21600,21600" o:gfxdata="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C+Xea1gAAAAUBAAAPAAAA&#10;AAAAAAEAIAAAACIAAABkcnMvZG93bnJldi54bWxQSwECFAAUAAAACACHTuJA/l1HIxcCAAApBAAA&#10;DgAAAAAAAAABACAAAAAlAQAAZHJzL2Uyb0RvYy54bWxQSwUGAAAAAAYABgBZAQAArgUAAAAA&#10;">
                        <v:fill on="f" focussize="0,0"/>
                        <v:stroke weight="2.25pt" color="#000000" joinstyle="round"/>
                        <v:imagedata o:title=""/>
                        <o:lock v:ext="edit" aspectratio="f"/>
                        <v:textbox>
                          <w:txbxContent>
                            <w:p w14:paraId="654C8261">
                              <w:pPr>
                                <w:adjustRightInd w:val="0"/>
                                <w:snapToGrid w:val="0"/>
                                <w:jc w:val="center"/>
                                <w:rPr>
                                  <w:rFonts w:eastAsia="仿宋"/>
                                  <w:szCs w:val="21"/>
                                </w:rPr>
                              </w:pPr>
                              <w:r>
                                <w:rPr>
                                  <w:rFonts w:eastAsia="仿宋"/>
                                  <w:szCs w:val="21"/>
                                </w:rPr>
                                <w:t>筛选</w:t>
                              </w:r>
                            </w:p>
                          </w:txbxContent>
                        </v:textbox>
                      </v:rect>
                      <v:shape id="_x0000_s1026" o:spid="_x0000_s1026" o:spt="32" type="#_x0000_t32" style="position:absolute;left:2915221;top:2329816;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GkpdhY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1013460;top:2127251;height:2908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MOVsIIXAgAAKQQA&#10;AA4AAAAAAAAAAQAgAAAAJgEAAGRycy9lMm9Eb2MueG1sUEsFBgAAAAAGAAYAWQEAAK8FAAAAAA==&#10;">
                        <v:fill on="f" focussize="0,0"/>
                        <v:stroke weight="2pt" color="#000000" joinstyle="round"/>
                        <v:imagedata o:title=""/>
                        <o:lock v:ext="edit" aspectratio="f"/>
                        <v:textbox>
                          <w:txbxContent>
                            <w:p w14:paraId="42E440BF">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v:textbox>
                      </v:rect>
                      <v:shape id="_x0000_s1026" o:spid="_x0000_s1026" o:spt="32" type="#_x0000_t32" style="position:absolute;left:1971675;top:1711326;height:0;width:32577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zPwEhiECAAAJBAAADgAAAAAAAAABACAAAAAnAQAAZHJzL2Uyb0RvYy54bWxQSwUGAAAAAAYABgBZ&#10;AQAAugUAAAAA&#10;">
                        <v:fill on="f" focussize="0,0"/>
                        <v:stroke color="#000000" joinstyle="round" endarrow="block"/>
                        <v:imagedata o:title=""/>
                        <o:lock v:ext="edit" aspectratio="f"/>
                      </v:shape>
                      <v:rect id="_x0000_s1026" o:spid="_x0000_s1026" o:spt="1" style="position:absolute;left:3064510;top:2698750;height:254635;width:170370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A8/3Yh&#10;AgAAKAQAAA4AAAAAAAAAAQAgAAAAIgEAAGRycy9lMm9Eb2MueG1sUEsFBgAAAAAGAAYAWQEAALUF&#10;AAAAAA==&#10;">
                        <v:fill on="f" focussize="0,0"/>
                        <v:stroke on="f"/>
                        <v:imagedata o:title=""/>
                        <o:lock v:ext="edit" aspectratio="f"/>
                        <v:textbox>
                          <w:txbxContent>
                            <w:p w14:paraId="7F428317">
                              <w:pPr>
                                <w:jc w:val="center"/>
                                <w:rPr>
                                  <w:szCs w:val="21"/>
                                </w:rPr>
                              </w:pPr>
                              <w:r>
                                <w:rPr>
                                  <w:szCs w:val="21"/>
                                </w:rPr>
                                <w:t>注：G废气 S固废 N噪声</w:t>
                              </w:r>
                            </w:p>
                          </w:txbxContent>
                        </v:textbox>
                      </v:rect>
                      <v:shape id="_x0000_s1026" o:spid="_x0000_s1026" o:spt="32" type="#_x0000_t32" style="position:absolute;left:1480185;top:2418081;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5D3INJwIAABMEAAAOAAAAAAAAAAEAIAAAACYBAABkcnMvZTJvRG9jLnhtbFBLBQYAAAAA&#10;BgAGAFkBAAC/BQAAAAA=&#10;">
                        <v:fill on="f" focussize="0,0"/>
                        <v:stroke color="#000000" joinstyle="round" endarrow="block"/>
                        <v:imagedata o:title=""/>
                        <o:lock v:ext="edit" aspectratio="f"/>
                      </v:shape>
                      <v:rect id="_x0000_s1026" o:spid="_x0000_s1026" o:spt="1" style="position:absolute;left:1013460;top:907415;height:332105;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GPpVjBBAgAAYwQAAA4AAAAAAAAAAQAgAAAA&#10;JgEAAGRycy9lMm9Eb2MueG1sUEsFBgAAAAAGAAYAWQEAANkFAAAAAA==&#10;">
                        <v:fill on="f" focussize="0,0"/>
                        <v:stroke weight="2pt" color="#000000" joinstyle="round"/>
                        <v:imagedata o:title=""/>
                        <o:lock v:ext="edit" aspectratio="f"/>
                        <v:textbox>
                          <w:txbxContent>
                            <w:p w14:paraId="0E8449B4">
                              <w:pPr>
                                <w:adjustRightInd w:val="0"/>
                                <w:snapToGrid w:val="0"/>
                                <w:jc w:val="center"/>
                                <w:rPr>
                                  <w:rFonts w:eastAsia="仿宋"/>
                                  <w:szCs w:val="21"/>
                                </w:rPr>
                              </w:pPr>
                              <w:r>
                                <w:rPr>
                                  <w:rFonts w:eastAsia="仿宋"/>
                                  <w:szCs w:val="21"/>
                                </w:rPr>
                                <w:t>布袋除尘器</w:t>
                              </w:r>
                            </w:p>
                          </w:txbxContent>
                        </v:textbox>
                      </v:rect>
                      <v:shape id="_x0000_s1026" o:spid="_x0000_s1026" o:spt="32" type="#_x0000_t32" style="position:absolute;left:3479165;top:1171575;height:6985;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Jw7rtgAAAAFAQAADwAAAAAAAAABACAAAAAiAAAAZHJzL2Rvd25yZXYueG1sUEsBAhQAFAAAAAgA&#10;h07iQMNXzpMlAgAADAQAAA4AAAAAAAAAAQAgAAAAJwEAAGRycy9lMm9Eb2MueG1sUEsFBgAAAAAG&#10;AAYAWQEAAL4FAAAAAA==&#10;">
                        <v:fill on="f" focussize="0,0"/>
                        <v:stroke color="#000000" joinstyle="round" endarrow="block"/>
                        <v:imagedata o:title=""/>
                        <o:lock v:ext="edit" aspectratio="f"/>
                      </v:shape>
                      <v:shape id="_x0000_s1026" o:spid="_x0000_s1026" o:spt="32" type="#_x0000_t32" style="position:absolute;left:3470871;top:1701801;height:6350;width:187333;"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HScvAkoAgAADAQAAA4AAAAAAAAAAQAgAAAAJwEAAGRycy9lMm9Eb2MueG1sUEsFBgAA&#10;AAAGAAYAWQEAAMEFAAAAAA==&#10;">
                        <v:fill on="f" focussize="0,0"/>
                        <v:stroke color="#000000" joinstyle="round" endarrow="block"/>
                        <v:imagedata o:title=""/>
                        <o:lock v:ext="edit" aspectratio="f"/>
                      </v:shape>
                      <v:rect id="_x0000_s1026" o:spid="_x0000_s1026" o:spt="1" style="position:absolute;left:3593465;top:1031875;height:283845;width:70802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LQDLHAh&#10;AgAAJwQAAA4AAAAAAAAAAQAgAAAAIgEAAGRycy9lMm9Eb2MueG1sUEsFBgAAAAAGAAYAWQEAALUF&#10;AAAAAA==&#10;">
                        <v:fill on="f" focussize="0,0"/>
                        <v:stroke on="f"/>
                        <v:imagedata o:title=""/>
                        <o:lock v:ext="edit" aspectratio="f"/>
                        <v:textbox>
                          <w:txbxContent>
                            <w:p w14:paraId="322C3385">
                              <w:pPr>
                                <w:adjustRightInd w:val="0"/>
                                <w:snapToGrid w:val="0"/>
                                <w:jc w:val="center"/>
                                <w:rPr>
                                  <w:szCs w:val="21"/>
                                </w:rPr>
                              </w:pPr>
                              <w:r>
                                <w:rPr>
                                  <w:szCs w:val="21"/>
                                </w:rPr>
                                <w:t>N、</w:t>
                              </w:r>
                              <w:r>
                                <w:rPr>
                                  <w:rFonts w:eastAsia="Arial Unicode MS"/>
                                  <w:sz w:val="18"/>
                                  <w:szCs w:val="18"/>
                                </w:rPr>
                                <w:t>G</w:t>
                              </w:r>
                            </w:p>
                            <w:p w14:paraId="7F23AF63">
                              <w:pPr>
                                <w:adjustRightInd w:val="0"/>
                                <w:snapToGrid w:val="0"/>
                                <w:jc w:val="center"/>
                                <w:rPr>
                                  <w:szCs w:val="21"/>
                                </w:rPr>
                              </w:pPr>
                            </w:p>
                          </w:txbxContent>
                        </v:textbox>
                      </v:rect>
                      <v:rect id="_x0000_s1026" o:spid="_x0000_s1026" o:spt="1" style="position:absolute;left:0;top:919480;height:288290;width:84899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loNMAAAAFAQAADwAAAAAA&#10;AAABACAAAAAiAAAAZHJzL2Rvd25yZXYueG1sUEsBAhQAFAAAAAgAh07iQGFGN04YAgAAIAQAAA4A&#10;AAAAAAAAAQAgAAAAIgEAAGRycy9lMm9Eb2MueG1sUEsFBgAAAAAGAAYAWQEAAKwFAAAAAA==&#10;">
                        <v:fill on="f" focussize="0,0"/>
                        <v:stroke on="f"/>
                        <v:imagedata o:title=""/>
                        <o:lock v:ext="edit" aspectratio="f"/>
                        <v:textbox>
                          <w:txbxContent>
                            <w:p w14:paraId="4189B37D">
                              <w:pPr>
                                <w:adjustRightInd w:val="0"/>
                                <w:snapToGrid w:val="0"/>
                                <w:jc w:val="center"/>
                                <w:rPr>
                                  <w:szCs w:val="21"/>
                                </w:rPr>
                              </w:pPr>
                              <w:r>
                                <w:rPr>
                                  <w:szCs w:val="21"/>
                                </w:rPr>
                                <w:t>G、S、N</w:t>
                              </w:r>
                            </w:p>
                          </w:txbxContent>
                        </v:textbox>
                      </v:rect>
                      <v:rect id="_x0000_s1026" o:spid="_x0000_s1026" o:spt="1" style="position:absolute;left:3658870;top:2124075;height:295910;width:58737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GaNP/Ah&#10;AgAAKQQAAA4AAAAAAAAAAQAgAAAAIgEAAGRycy9lMm9Eb2MueG1sUEsFBgAAAAAGAAYAWQEAALUF&#10;AAAAAA==&#10;">
                        <v:fill on="f" focussize="0,0"/>
                        <v:stroke on="f"/>
                        <v:imagedata o:title=""/>
                        <o:lock v:ext="edit" aspectratio="f"/>
                        <v:textbox>
                          <w:txbxContent>
                            <w:p w14:paraId="30598EDE">
                              <w:pPr>
                                <w:adjustRightInd w:val="0"/>
                                <w:snapToGrid w:val="0"/>
                                <w:rPr>
                                  <w:szCs w:val="21"/>
                                </w:rPr>
                              </w:pPr>
                              <w:r>
                                <w:rPr>
                                  <w:szCs w:val="21"/>
                                </w:rPr>
                                <w:t>N</w:t>
                              </w:r>
                              <w:r>
                                <w:rPr>
                                  <w:rFonts w:hint="eastAsia"/>
                                  <w:szCs w:val="21"/>
                                </w:rPr>
                                <w:t>、G</w:t>
                              </w:r>
                            </w:p>
                          </w:txbxContent>
                        </v:textbox>
                      </v:rect>
                      <v:rect id="_x0000_s1026" o:spid="_x0000_s1026" o:spt="1" style="position:absolute;left:220980;top:2127885;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w+loNMAAAAFAQAA&#10;DwAAAAAAAAABACAAAAAiAAAAZHJzL2Rvd25yZXYueG1sUEsBAhQAFAAAAAgAh07iQAvIZ3ceAgAA&#10;JAQAAA4AAAAAAAAAAQAgAAAAIgEAAGRycy9lMm9Eb2MueG1sUEsFBgAAAAAGAAYAWQEAALIFAAAA&#10;AA==&#10;">
                        <v:fill on="f" focussize="0,0"/>
                        <v:stroke on="f"/>
                        <v:imagedata o:title=""/>
                        <o:lock v:ext="edit" aspectratio="f"/>
                        <v:textbox>
                          <w:txbxContent>
                            <w:p w14:paraId="005D3A0D">
                              <w:pPr>
                                <w:jc w:val="center"/>
                                <w:rPr>
                                  <w:szCs w:val="21"/>
                                </w:rPr>
                              </w:pPr>
                              <w:r>
                                <w:rPr>
                                  <w:szCs w:val="21"/>
                                </w:rPr>
                                <w:t>S、N</w:t>
                              </w:r>
                            </w:p>
                          </w:txbxContent>
                        </v:textbox>
                      </v:rect>
                      <v:rect id="_x0000_s1026" o:spid="_x0000_s1026" o:spt="1" style="position:absolute;left:3658204;top:1538605;height:290830;width:708057;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cUtlgh&#10;AgAAJQQAAA4AAAAAAAAAAQAgAAAAIgEAAGRycy9lMm9Eb2MueG1sUEsFBgAAAAAGAAYAWQEAALUF&#10;AAAAAA==&#10;">
                        <v:fill on="f" focussize="0,0"/>
                        <v:stroke on="f"/>
                        <v:imagedata o:title=""/>
                        <o:lock v:ext="edit" aspectratio="f"/>
                        <v:textbox>
                          <w:txbxContent>
                            <w:p w14:paraId="0445890F">
                              <w:pPr>
                                <w:adjustRightInd w:val="0"/>
                                <w:snapToGrid w:val="0"/>
                                <w:rPr>
                                  <w:szCs w:val="21"/>
                                </w:rPr>
                              </w:pPr>
                              <w:r>
                                <w:rPr>
                                  <w:szCs w:val="21"/>
                                </w:rPr>
                                <w:t>N、G</w:t>
                              </w:r>
                            </w:p>
                          </w:txbxContent>
                        </v:textbox>
                      </v:rect>
                      <v:shape id="_x0000_s1026" o:spid="_x0000_s1026" o:spt="32" type="#_x0000_t32" style="position:absolute;left:3471545;top:2272665;height:6350;width:18669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FVtI1goAgAACgQAAA4AAAAAAAAAAQAgAAAAJwEAAGRycy9lMm9Eb2MueG1sUEsFBgAA&#10;AAAGAAYAWQEAAMEFAAAAAA==&#10;">
                        <v:fill on="f" focussize="0,0"/>
                        <v:stroke color="#000000" joinstyle="round" endarrow="block"/>
                        <v:imagedata o:title=""/>
                        <o:lock v:ext="edit" aspectratio="f"/>
                      </v:shape>
                      <v:shape id="_x0000_s1026" o:spid="_x0000_s1026" o:spt="32" type="#_x0000_t32" style="position:absolute;left:814070;top:2294891;flip:x;height:1;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AAT0NcAAAAFAQAADwAAAAAAAAABACAAAAAiAAAAZHJzL2Rvd25yZXYueG1sUEsBAhQAFAAA&#10;AAgAh07iQNwoRjMpAgAAEAQAAA4AAAAAAAAAAQAgAAAAJgEAAGRycy9lMm9Eb2MueG1sUEsFBgAA&#10;AAAGAAYAWQEAAMEFAAAAAA==&#10;">
                        <v:fill on="f" focussize="0,0"/>
                        <v:stroke color="#000000" joinstyle="round" endarrow="block"/>
                        <v:imagedata o:title=""/>
                        <o:lock v:ext="edit" aspectratio="f"/>
                      </v:shape>
                      <v:shape id="_x0000_s1026" o:spid="_x0000_s1026" o:spt="32" type="#_x0000_t32" style="position:absolute;left:838200;top:1071245;flip:x;height:1;width:159384;"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B7ybYU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2487296;top:0;height:276225;width:84518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w+loNMAAAAFAQAADwAAAAAAAAABACAAAAAiAAAAZHJzL2Rvd25yZXYueG1sUEsBAhQAFAAAAAgA&#10;h07iQCqKzvm4AQAAYwMAAA4AAAAAAAAAAQAgAAAAIgEAAGRycy9lMm9Eb2MueG1sUEsFBgAAAAAG&#10;AAYAWQEAAEwFAAAAAA==&#10;">
                        <v:fill on="f" focussize="0,0"/>
                        <v:stroke on="f"/>
                        <v:imagedata o:title=""/>
                        <o:lock v:ext="edit" aspectratio="f"/>
                        <v:textbox>
                          <w:txbxContent>
                            <w:p w14:paraId="02F14314">
                              <w:pPr>
                                <w:pStyle w:val="29"/>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v:textbox>
                      </v:rect>
                      <v:shape id="_x0000_s1026" o:spid="_x0000_s1026" o:spt="32" type="#_x0000_t32" style="position:absolute;left:2905761;top:233680;height:183515;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MnDuu2AAAAAUBAAAPAAAA&#10;AAAAAAEAIAAAACIAAABkcnMvZG93bnJldi54bWxQSwECFAAUAAAACACHTuJA4k1c1xUCAAAGBAAA&#10;DgAAAAAAAAABACAAAAAnAQAAZHJzL2Uyb0RvYy54bWxQSwUGAAAAAAYABgBZAQAArgUAAAAA&#10;">
                        <v:fill on="f" focussize="0,0"/>
                        <v:stroke color="#000000" joinstyle="round" endarrow="block"/>
                        <v:imagedata o:title=""/>
                        <o:lock v:ext="edit" aspectratio="f"/>
                      </v:shape>
                      <v:rect id="_x0000_s1026" o:spid="_x0000_s1026" o:spt="1" style="position:absolute;left:3635375;top:384810;height:379095;width:74676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PpaDTAAAABQEAAA8A&#10;AAAAAAAAAQAgAAAAIgAAAGRycy9kb3ducmV2LnhtbFBLAQIUABQAAAAIAIdO4kC7ofEkHAIAACQE&#10;AAAOAAAAAAAAAAEAIAAAACIBAABkcnMvZTJvRG9jLnhtbFBLBQYAAAAABgAGAFkBAACwBQAAAAA=&#10;">
                        <v:fill on="f" focussize="0,0"/>
                        <v:stroke on="f"/>
                        <v:imagedata o:title=""/>
                        <o:lock v:ext="edit" aspectratio="f"/>
                        <v:textbox>
                          <w:txbxContent>
                            <w:p w14:paraId="5DD8A5A4">
                              <w:pPr>
                                <w:pStyle w:val="29"/>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v:textbox>
                      </v:rect>
                      <v:shape id="_x0000_s1026" o:spid="_x0000_s1026" o:spt="32" type="#_x0000_t32" style="position:absolute;left:3467735;top:586740;height:6350;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yc&#10;O67YAAAABQEAAA8AAAAAAAAAAQAgAAAAIgAAAGRycy9kb3ducmV2LnhtbFBLAQIUABQAAAAIAIdO&#10;4kCTdS2oIwIAAAkEAAAOAAAAAAAAAAEAIAAAACcBAABkcnMvZTJvRG9jLnhtbFBLBQYAAAAABgAG&#10;AFkBAAC8BQAAAAA=&#10;">
                        <v:fill on="f" focussize="0,0"/>
                        <v:stroke color="#000000" joinstyle="round" endarrow="block"/>
                        <v:imagedata o:title=""/>
                        <o:lock v:ext="edit" aspectratio="f"/>
                      </v:shape>
                      <v:rect id="_x0000_s1026" o:spid="_x0000_s1026" o:spt="1" style="position:absolute;left:1013460;top:1543050;height:3035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OmzltVBAgAAYgQAAA4AAAAAAAAAAQAgAAAA&#10;JgEAAGRycy9lMm9Eb2MueG1sUEsFBgAAAAAGAAYAWQEAANkFAAAAAA==&#10;">
                        <v:fill on="f" focussize="0,0"/>
                        <v:stroke weight="2pt" color="#000000" joinstyle="round"/>
                        <v:imagedata o:title=""/>
                        <o:lock v:ext="edit" aspectratio="f"/>
                        <v:textbox>
                          <w:txbxContent>
                            <w:p w14:paraId="265391DE">
                              <w:pPr>
                                <w:adjustRightInd w:val="0"/>
                                <w:snapToGrid w:val="0"/>
                                <w:jc w:val="center"/>
                                <w:rPr>
                                  <w:rFonts w:eastAsia="仿宋"/>
                                  <w:szCs w:val="21"/>
                                </w:rPr>
                              </w:pPr>
                              <w:r>
                                <w:rPr>
                                  <w:rFonts w:hint="eastAsia" w:eastAsia="仿宋"/>
                                  <w:szCs w:val="21"/>
                                </w:rPr>
                                <w:t>换热器</w:t>
                              </w:r>
                            </w:p>
                          </w:txbxContent>
                        </v:textbox>
                      </v:rect>
                      <v:shape id="_x0000_s1026" o:spid="_x0000_s1026" o:spt="32" type="#_x0000_t32" style="position:absolute;left:1505585;top:1245870;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AAT0NcAAAAFAQAADwAAAAAAAAABACAAAAAiAAAAZHJzL2Rvd25yZXYueG1sUEsBAhQAFAAAAAgA&#10;h07iQEKp1gQmAgAAEQQAAA4AAAAAAAAAAQAgAAAAJgEAAGRycy9lMm9Eb2MueG1sUEsFBgAAAAAG&#10;AAYAWQEAAL4FAAAAAA==&#10;">
                        <v:fill on="f" focussize="0,0"/>
                        <v:stroke color="#000000" joinstyle="round" endarrow="block"/>
                        <v:imagedata o:title=""/>
                        <o:lock v:ext="edit" aspectratio="f"/>
                      </v:shape>
                      <v:shape id="_x0000_s1026" o:spid="_x0000_s1026" o:spt="32" type="#_x0000_t32" style="position:absolute;left:1487170;top:1835151;flip:y;height:292100;width:0;"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wFyesJwIAABEEAAAOAAAAAAAAAAEAIAAAACYBAABkcnMvZTJvRG9jLnhtbFBLBQYAAAAA&#10;BgAGAFkBAAC/BQAAAAA=&#10;">
                        <v:fill on="f" focussize="0,0"/>
                        <v:stroke color="#000000" joinstyle="round" endarrow="block"/>
                        <v:imagedata o:title=""/>
                        <o:lock v:ext="edit" aspectratio="f"/>
                      </v:shape>
                      <v:shape id="_x0000_s1026" o:spid="_x0000_s1026" o:spt="32" type="#_x0000_t32" style="position:absolute;left:838200;top:1691006;flip:x;height:0;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C7NdjP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351155;top:1537970;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sPpaDTAAAABQEA&#10;AA8AAAAAAAAAAQAgAAAAIgAAAGRycy9kb3ducmV2LnhtbFBLAQIUABQAAAAIAIdO4kA89bbcHwIA&#10;ACQEAAAOAAAAAAAAAAEAIAAAACIBAABkcnMvZTJvRG9jLnhtbFBLBQYAAAAABgAGAFkBAACzBQAA&#10;AAA=&#10;">
                        <v:fill on="f" focussize="0,0"/>
                        <v:stroke on="f"/>
                        <v:imagedata o:title=""/>
                        <o:lock v:ext="edit" aspectratio="f"/>
                        <v:textbox>
                          <w:txbxContent>
                            <w:p w14:paraId="0A39E906">
                              <w:pPr>
                                <w:jc w:val="center"/>
                                <w:rPr>
                                  <w:szCs w:val="21"/>
                                </w:rPr>
                              </w:pPr>
                              <w:r>
                                <w:rPr>
                                  <w:szCs w:val="21"/>
                                </w:rPr>
                                <w:t>N</w:t>
                              </w:r>
                            </w:p>
                          </w:txbxContent>
                        </v:textbox>
                      </v:rect>
                      <w10:wrap type="none"/>
                      <w10:anchorlock/>
                    </v:group>
                  </w:pict>
                </mc:Fallback>
              </mc:AlternateContent>
            </w:r>
          </w:p>
          <w:p w14:paraId="06374A9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2粮食烘干工艺</w:t>
            </w:r>
            <w:r>
              <w:rPr>
                <w:rFonts w:hint="default" w:ascii="Times New Roman" w:hAnsi="Times New Roman" w:eastAsia="宋体" w:cs="Times New Roman"/>
                <w:b/>
                <w:bCs/>
                <w:snapToGrid w:val="0"/>
                <w:color w:val="auto"/>
                <w:szCs w:val="21"/>
                <w:highlight w:val="none"/>
              </w:rPr>
              <w:t>流程及产污环节图</w:t>
            </w:r>
          </w:p>
          <w:p w14:paraId="3E9ADA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1"/>
                <w:sz w:val="21"/>
                <w:szCs w:val="21"/>
                <w:highlight w:val="none"/>
                <w:lang w:eastAsia="zh-CN"/>
              </w:rPr>
            </w:pPr>
            <w:r>
              <w:rPr>
                <w:rFonts w:hint="eastAsia" w:ascii="宋体" w:hAnsi="宋体" w:eastAsia="宋体" w:cs="宋体"/>
                <w:b/>
                <w:bCs/>
                <w:color w:val="auto"/>
                <w:kern w:val="21"/>
                <w:sz w:val="21"/>
                <w:szCs w:val="21"/>
                <w:highlight w:val="none"/>
                <w:lang w:eastAsia="zh-CN"/>
              </w:rPr>
              <w:t>工艺流程简述：</w:t>
            </w:r>
          </w:p>
          <w:p w14:paraId="4198ED39">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（1）进出仓工艺流程</w:t>
            </w:r>
          </w:p>
          <w:p w14:paraId="325E6235">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湿粮经汽车运输至厂区内，称量后经输送</w:t>
            </w:r>
            <w:r>
              <w:rPr>
                <w:rFonts w:hint="eastAsia" w:cs="Times New Roman"/>
                <w:color w:val="auto"/>
                <w:spacing w:val="0"/>
                <w:sz w:val="21"/>
                <w:szCs w:val="21"/>
                <w:highlight w:val="none"/>
                <w:lang w:val="en-US" w:eastAsia="zh-CN"/>
              </w:rPr>
              <w:t>带</w:t>
            </w:r>
            <w:r>
              <w:rPr>
                <w:rFonts w:hint="default" w:ascii="Times New Roman" w:hAnsi="Times New Roman" w:eastAsia="宋体" w:cs="Times New Roman"/>
                <w:color w:val="auto"/>
                <w:spacing w:val="0"/>
                <w:sz w:val="21"/>
                <w:szCs w:val="21"/>
                <w:highlight w:val="none"/>
              </w:rPr>
              <w:t>送至</w:t>
            </w:r>
            <w:r>
              <w:rPr>
                <w:rFonts w:hint="eastAsia" w:cs="Times New Roman"/>
                <w:color w:val="auto"/>
                <w:spacing w:val="0"/>
                <w:sz w:val="21"/>
                <w:szCs w:val="21"/>
                <w:highlight w:val="none"/>
                <w:lang w:val="en-US" w:eastAsia="zh-CN"/>
              </w:rPr>
              <w:t>筛分机</w:t>
            </w:r>
            <w:r>
              <w:rPr>
                <w:rFonts w:hint="default" w:ascii="Times New Roman" w:hAnsi="Times New Roman" w:eastAsia="宋体" w:cs="Times New Roman"/>
                <w:color w:val="auto"/>
                <w:spacing w:val="0"/>
                <w:sz w:val="21"/>
                <w:szCs w:val="21"/>
                <w:highlight w:val="none"/>
              </w:rPr>
              <w:t>内筛分后，由提升机送至</w:t>
            </w:r>
            <w:r>
              <w:rPr>
                <w:rFonts w:hint="eastAsia" w:cs="Times New Roman"/>
                <w:color w:val="auto"/>
                <w:spacing w:val="0"/>
                <w:sz w:val="21"/>
                <w:szCs w:val="21"/>
                <w:highlight w:val="none"/>
                <w:lang w:val="en-US" w:eastAsia="zh-CN"/>
              </w:rPr>
              <w:t>潮粮仓，烘干时再由提升机送至</w:t>
            </w:r>
            <w:r>
              <w:rPr>
                <w:rFonts w:hint="default" w:ascii="Times New Roman" w:hAnsi="Times New Roman" w:eastAsia="宋体" w:cs="Times New Roman"/>
                <w:color w:val="auto"/>
                <w:spacing w:val="0"/>
                <w:sz w:val="21"/>
                <w:szCs w:val="21"/>
                <w:highlight w:val="none"/>
              </w:rPr>
              <w:t>烘干塔内进行烘干，烘干塔配有1台</w:t>
            </w:r>
            <w:r>
              <w:rPr>
                <w:rFonts w:hint="eastAsia" w:cs="Times New Roman"/>
                <w:color w:val="auto"/>
                <w:spacing w:val="0"/>
                <w:sz w:val="21"/>
                <w:szCs w:val="21"/>
                <w:highlight w:val="none"/>
                <w:lang w:val="en-US" w:eastAsia="zh-CN"/>
              </w:rPr>
              <w:t>720万Kcal/h</w:t>
            </w:r>
            <w:r>
              <w:rPr>
                <w:rFonts w:hint="default" w:ascii="Times New Roman" w:hAnsi="Times New Roman" w:eastAsia="宋体" w:cs="Times New Roman"/>
                <w:color w:val="auto"/>
                <w:spacing w:val="0"/>
                <w:sz w:val="21"/>
                <w:szCs w:val="21"/>
                <w:highlight w:val="none"/>
              </w:rPr>
              <w:t>的</w:t>
            </w:r>
            <w:r>
              <w:rPr>
                <w:rFonts w:hint="eastAsia" w:cs="Times New Roman"/>
                <w:color w:val="auto"/>
                <w:spacing w:val="0"/>
                <w:sz w:val="21"/>
                <w:szCs w:val="21"/>
                <w:highlight w:val="none"/>
                <w:lang w:val="en-US" w:eastAsia="zh-CN"/>
              </w:rPr>
              <w:t>燃生物质</w:t>
            </w:r>
            <w:r>
              <w:rPr>
                <w:rFonts w:hint="default" w:ascii="Times New Roman" w:hAnsi="Times New Roman" w:eastAsia="宋体" w:cs="Times New Roman"/>
                <w:color w:val="auto"/>
                <w:spacing w:val="0"/>
                <w:sz w:val="21"/>
                <w:szCs w:val="21"/>
                <w:highlight w:val="none"/>
              </w:rPr>
              <w:t>热风炉，热风炉产生的热量经过换热器将冷空气加热，热空气通过热风机经管道送入烘干塔，热空气与塔内的湿粮接触，层层蒸发掉粮食内多余的水份，烘干后干燥的</w:t>
            </w:r>
            <w:r>
              <w:rPr>
                <w:rFonts w:hint="eastAsia" w:cs="Times New Roman"/>
                <w:color w:val="auto"/>
                <w:spacing w:val="0"/>
                <w:sz w:val="21"/>
                <w:szCs w:val="21"/>
                <w:highlight w:val="none"/>
                <w:lang w:val="en-US" w:eastAsia="zh-CN"/>
              </w:rPr>
              <w:t>玉米</w:t>
            </w:r>
            <w:r>
              <w:rPr>
                <w:rFonts w:hint="default" w:ascii="Times New Roman" w:hAnsi="Times New Roman" w:eastAsia="宋体" w:cs="Times New Roman"/>
                <w:color w:val="auto"/>
                <w:spacing w:val="0"/>
                <w:sz w:val="21"/>
                <w:szCs w:val="21"/>
                <w:highlight w:val="none"/>
              </w:rPr>
              <w:t>进入</w:t>
            </w:r>
            <w:r>
              <w:rPr>
                <w:rFonts w:hint="eastAsia" w:cs="Times New Roman"/>
                <w:color w:val="auto"/>
                <w:spacing w:val="0"/>
                <w:sz w:val="21"/>
                <w:szCs w:val="21"/>
                <w:highlight w:val="none"/>
                <w:lang w:val="en-US" w:eastAsia="zh-CN"/>
              </w:rPr>
              <w:t>干粮仓或库房，</w:t>
            </w:r>
            <w:r>
              <w:rPr>
                <w:rFonts w:hint="default" w:ascii="Times New Roman" w:hAnsi="Times New Roman" w:eastAsia="宋体" w:cs="Times New Roman"/>
                <w:color w:val="auto"/>
                <w:spacing w:val="0"/>
                <w:sz w:val="21"/>
                <w:szCs w:val="21"/>
                <w:highlight w:val="none"/>
              </w:rPr>
              <w:t>储存</w:t>
            </w:r>
            <w:r>
              <w:rPr>
                <w:rFonts w:hint="eastAsia"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外售</w:t>
            </w:r>
            <w:r>
              <w:rPr>
                <w:rFonts w:hint="default" w:ascii="Times New Roman" w:hAnsi="Times New Roman" w:eastAsia="宋体" w:cs="Times New Roman"/>
                <w:color w:val="auto"/>
                <w:spacing w:val="0"/>
                <w:sz w:val="21"/>
                <w:szCs w:val="21"/>
                <w:highlight w:val="none"/>
              </w:rPr>
              <w:t>。</w:t>
            </w:r>
          </w:p>
          <w:p w14:paraId="02AD3220">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（2）热气输送至烘干塔流程</w:t>
            </w:r>
          </w:p>
          <w:p w14:paraId="2FB035C8">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冷空气由鼓风机送至燃</w:t>
            </w:r>
            <w:r>
              <w:rPr>
                <w:rFonts w:hint="eastAsia" w:cs="Times New Roman"/>
                <w:color w:val="auto"/>
                <w:spacing w:val="0"/>
                <w:sz w:val="21"/>
                <w:szCs w:val="21"/>
                <w:highlight w:val="none"/>
                <w:lang w:val="en-US" w:eastAsia="zh-CN"/>
              </w:rPr>
              <w:t>生物质</w:t>
            </w:r>
            <w:r>
              <w:rPr>
                <w:rFonts w:hint="default" w:ascii="Times New Roman" w:hAnsi="Times New Roman" w:eastAsia="宋体" w:cs="Times New Roman"/>
                <w:color w:val="auto"/>
                <w:spacing w:val="0"/>
                <w:sz w:val="21"/>
                <w:szCs w:val="21"/>
                <w:highlight w:val="none"/>
              </w:rPr>
              <w:t>热风炉内，经热风炉加热后形成高温烟气，冷空气经换热器与高温烟气进行热交换后，变为热空气，经风机送至烘干塔内进行烘干粮食，烘干后的热空气由塔顶排放，交换后的烟气经</w:t>
            </w:r>
            <w:r>
              <w:rPr>
                <w:rFonts w:hint="eastAsia" w:cs="Times New Roman"/>
                <w:color w:val="auto"/>
                <w:sz w:val="21"/>
                <w:szCs w:val="21"/>
                <w:highlight w:val="none"/>
                <w:lang w:eastAsia="zh-CN"/>
              </w:rPr>
              <w:t>烟囱</w:t>
            </w:r>
            <w:r>
              <w:rPr>
                <w:rFonts w:hint="default" w:ascii="Times New Roman" w:hAnsi="Times New Roman" w:eastAsia="宋体" w:cs="Times New Roman"/>
                <w:color w:val="auto"/>
                <w:spacing w:val="0"/>
                <w:sz w:val="21"/>
                <w:szCs w:val="21"/>
                <w:highlight w:val="none"/>
              </w:rPr>
              <w:t>排放。</w:t>
            </w:r>
          </w:p>
          <w:p w14:paraId="5688EBB0">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（3）烘干塔内工艺流程</w:t>
            </w:r>
          </w:p>
          <w:p w14:paraId="417E99A5">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在干燥段内，由于粮食自重，自上而下流动，热风进入，朝上方向穿过粮层，热风在穿过粮层时，与粮粒间进行湿热传递，热风将热量转给粮粒，使之温度升高，与粮食接触温度最高不超过60℃，粮粒受热升温，水分蒸发到空气中，干燥介质携带着水汽变成废气经烘干塔口排出。在这个过程中，粮食温度升得越高，水分就蒸发得越快。为保证粮食的品质，即加工性和食用性，干燥段内粮食温升和干燥时间是受到严格控制的，其原则是既要降低粮食的水分，又不能损害粮食的品质。在烘干段内没有布置通风角状管的部位为缓苏段，烘干的热粮向下流动到缓苏段，缓苏段内不通热风，其主要作用是减缓在干燥过程中粮粒内形成的应力，促进谷粒内部水分逐渐向外移动，使粮粒表面和内部的水分趋于平衡。缓苏工艺实施既有利于下一阶段的干燥，又能确保烘后粮的品质。</w:t>
            </w:r>
          </w:p>
          <w:p w14:paraId="23683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9</w:t>
            </w:r>
            <w:r>
              <w:rPr>
                <w:rFonts w:hint="default" w:ascii="Times New Roman" w:hAnsi="Times New Roman" w:eastAsia="宋体" w:cs="Times New Roman"/>
                <w:color w:val="auto"/>
                <w:spacing w:val="0"/>
                <w:sz w:val="21"/>
                <w:szCs w:val="21"/>
                <w:highlight w:val="none"/>
                <w:lang w:val="en-US" w:eastAsia="zh-CN"/>
              </w:rPr>
              <w:t>。</w:t>
            </w:r>
          </w:p>
          <w:p w14:paraId="622F17DB">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9</w:t>
            </w:r>
            <w:r>
              <w:rPr>
                <w:rFonts w:hint="default" w:ascii="Times New Roman" w:hAnsi="Times New Roman" w:eastAsia="宋体" w:cs="Times New Roman"/>
                <w:b/>
                <w:bCs/>
                <w:color w:val="auto"/>
                <w:spacing w:val="0"/>
                <w:kern w:val="0"/>
                <w:sz w:val="21"/>
                <w:szCs w:val="21"/>
                <w:highlight w:val="none"/>
                <w:lang w:val="en-US" w:eastAsia="zh-CN" w:bidi="ar-SA"/>
              </w:rPr>
              <w:t xml:space="preserve"> 本项目运营期工程主要排污节点一览表</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514"/>
              <w:gridCol w:w="1576"/>
              <w:gridCol w:w="1028"/>
              <w:gridCol w:w="3250"/>
            </w:tblGrid>
            <w:tr w14:paraId="579B34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tcBorders>
                    <w:tl2br w:val="nil"/>
                    <w:tr2bl w:val="nil"/>
                  </w:tcBorders>
                  <w:noWrap w:val="0"/>
                  <w:vAlign w:val="center"/>
                </w:tcPr>
                <w:p w14:paraId="5E90AC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514" w:type="dxa"/>
                  <w:tcBorders>
                    <w:tl2br w:val="nil"/>
                    <w:tr2bl w:val="nil"/>
                  </w:tcBorders>
                  <w:noWrap w:val="0"/>
                  <w:vAlign w:val="center"/>
                </w:tcPr>
                <w:p w14:paraId="23CCB2C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576" w:type="dxa"/>
                  <w:tcBorders>
                    <w:tl2br w:val="nil"/>
                    <w:tr2bl w:val="nil"/>
                  </w:tcBorders>
                  <w:noWrap w:val="0"/>
                  <w:vAlign w:val="center"/>
                </w:tcPr>
                <w:p w14:paraId="14126A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28" w:type="dxa"/>
                  <w:tcBorders>
                    <w:tl2br w:val="nil"/>
                    <w:tr2bl w:val="nil"/>
                  </w:tcBorders>
                  <w:noWrap w:val="0"/>
                  <w:vAlign w:val="center"/>
                </w:tcPr>
                <w:p w14:paraId="76F287D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250" w:type="dxa"/>
                  <w:tcBorders>
                    <w:tl2br w:val="nil"/>
                    <w:tr2bl w:val="nil"/>
                  </w:tcBorders>
                  <w:noWrap w:val="0"/>
                  <w:vAlign w:val="center"/>
                </w:tcPr>
                <w:p w14:paraId="42C17B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290EED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restart"/>
                  <w:tcBorders>
                    <w:tl2br w:val="nil"/>
                    <w:tr2bl w:val="nil"/>
                  </w:tcBorders>
                  <w:noWrap w:val="0"/>
                  <w:vAlign w:val="center"/>
                </w:tcPr>
                <w:p w14:paraId="63A599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废气</w:t>
                  </w:r>
                </w:p>
              </w:tc>
              <w:tc>
                <w:tcPr>
                  <w:tcW w:w="1514" w:type="dxa"/>
                  <w:tcBorders>
                    <w:tl2br w:val="nil"/>
                    <w:tr2bl w:val="nil"/>
                  </w:tcBorders>
                  <w:noWrap w:val="0"/>
                  <w:vAlign w:val="center"/>
                </w:tcPr>
                <w:p w14:paraId="06FA02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DA001</w:t>
                  </w:r>
                  <w:r>
                    <w:rPr>
                      <w:rFonts w:hint="eastAsia" w:ascii="Times New Roman" w:hAnsi="Times New Roman" w:cs="Times New Roman"/>
                      <w:color w:val="auto"/>
                      <w:sz w:val="18"/>
                      <w:szCs w:val="18"/>
                      <w:highlight w:val="none"/>
                      <w:lang w:eastAsia="zh-CN"/>
                    </w:rPr>
                    <w:t>）</w:t>
                  </w:r>
                </w:p>
              </w:tc>
              <w:tc>
                <w:tcPr>
                  <w:tcW w:w="1576" w:type="dxa"/>
                  <w:tcBorders>
                    <w:tl2br w:val="nil"/>
                    <w:tr2bl w:val="nil"/>
                  </w:tcBorders>
                  <w:noWrap w:val="0"/>
                  <w:vAlign w:val="center"/>
                </w:tcPr>
                <w:p w14:paraId="07157894">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颗粒物</w:t>
                  </w:r>
                  <w:r>
                    <w:rPr>
                      <w:rFonts w:hint="default"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eastAsia="zh-CN"/>
                    </w:rPr>
                    <w:t>烟气黑度</w:t>
                  </w: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1028" w:type="dxa"/>
                  <w:vMerge w:val="restart"/>
                  <w:tcBorders>
                    <w:tl2br w:val="nil"/>
                    <w:tr2bl w:val="nil"/>
                  </w:tcBorders>
                  <w:noWrap w:val="0"/>
                  <w:vAlign w:val="center"/>
                </w:tcPr>
                <w:p w14:paraId="16B2E57F">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0C0163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r>
            <w:tr w14:paraId="53A122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470B07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4" w:type="dxa"/>
                  <w:tcBorders>
                    <w:tl2br w:val="nil"/>
                    <w:tr2bl w:val="nil"/>
                  </w:tcBorders>
                  <w:noWrap w:val="0"/>
                  <w:vAlign w:val="center"/>
                </w:tcPr>
                <w:p w14:paraId="48BDA380">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运输、筛分、</w:t>
                  </w:r>
                </w:p>
                <w:p w14:paraId="3AE0DA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储存</w:t>
                  </w:r>
                </w:p>
              </w:tc>
              <w:tc>
                <w:tcPr>
                  <w:tcW w:w="1576" w:type="dxa"/>
                  <w:tcBorders>
                    <w:tl2br w:val="nil"/>
                    <w:tr2bl w:val="nil"/>
                  </w:tcBorders>
                  <w:noWrap w:val="0"/>
                  <w:vAlign w:val="center"/>
                </w:tcPr>
                <w:p w14:paraId="59E33AA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tcBorders>
                    <w:tl2br w:val="nil"/>
                    <w:tr2bl w:val="nil"/>
                  </w:tcBorders>
                  <w:noWrap w:val="0"/>
                  <w:vAlign w:val="center"/>
                </w:tcPr>
                <w:p w14:paraId="1104BD5A">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tcBorders>
                    <w:tl2br w:val="nil"/>
                    <w:tr2bl w:val="nil"/>
                  </w:tcBorders>
                  <w:noWrap w:val="0"/>
                  <w:vAlign w:val="center"/>
                </w:tcPr>
                <w:p w14:paraId="690B35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仓及成品入库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eastAsia" w:ascii="Times New Roman" w:hAnsi="Times New Roman" w:cs="Times New Roman"/>
                      <w:color w:val="auto"/>
                      <w:sz w:val="18"/>
                      <w:szCs w:val="18"/>
                      <w:highlight w:val="none"/>
                      <w:lang w:eastAsia="zh-CN"/>
                    </w:rPr>
                    <w:t>；清粮采用全密闭</w:t>
                  </w:r>
                  <w:r>
                    <w:rPr>
                      <w:rFonts w:hint="eastAsia" w:ascii="Times New Roman" w:hAnsi="Times New Roman" w:cs="Times New Roman"/>
                      <w:color w:val="auto"/>
                      <w:sz w:val="18"/>
                      <w:szCs w:val="18"/>
                      <w:highlight w:val="none"/>
                      <w:lang w:val="en-US" w:eastAsia="zh-CN"/>
                    </w:rPr>
                    <w:t>清选</w:t>
                  </w:r>
                  <w:r>
                    <w:rPr>
                      <w:rFonts w:hint="eastAsia" w:ascii="Times New Roman" w:hAnsi="Times New Roman" w:cs="Times New Roman"/>
                      <w:color w:val="auto"/>
                      <w:sz w:val="18"/>
                      <w:szCs w:val="18"/>
                      <w:highlight w:val="none"/>
                      <w:lang w:eastAsia="zh-CN"/>
                    </w:rPr>
                    <w:t>筛，产生的粉尘经设备自带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r>
                    <w:rPr>
                      <w:rFonts w:hint="default" w:ascii="Times New Roman" w:hAnsi="Times New Roman" w:cs="Times New Roman"/>
                      <w:color w:val="auto"/>
                      <w:sz w:val="18"/>
                      <w:szCs w:val="18"/>
                      <w:highlight w:val="none"/>
                      <w:lang w:eastAsia="zh-CN"/>
                    </w:rPr>
                    <w:t>。</w:t>
                  </w:r>
                </w:p>
              </w:tc>
            </w:tr>
            <w:tr w14:paraId="114465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67527D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4" w:type="dxa"/>
                  <w:tcBorders>
                    <w:tl2br w:val="nil"/>
                    <w:tr2bl w:val="nil"/>
                  </w:tcBorders>
                  <w:noWrap w:val="0"/>
                  <w:vAlign w:val="center"/>
                </w:tcPr>
                <w:p w14:paraId="454315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eastAsia" w:ascii="宋体" w:hAnsi="宋体" w:eastAsia="宋体" w:cs="宋体"/>
                      <w:bCs/>
                      <w:color w:val="auto"/>
                      <w:kern w:val="0"/>
                      <w:sz w:val="18"/>
                      <w:szCs w:val="18"/>
                      <w:highlight w:val="none"/>
                      <w:lang w:val="en-US" w:eastAsia="zh-CN"/>
                    </w:rPr>
                    <w:t>热风炉房</w:t>
                  </w:r>
                </w:p>
              </w:tc>
              <w:tc>
                <w:tcPr>
                  <w:tcW w:w="1576" w:type="dxa"/>
                  <w:tcBorders>
                    <w:tl2br w:val="nil"/>
                    <w:tr2bl w:val="nil"/>
                  </w:tcBorders>
                  <w:noWrap w:val="0"/>
                  <w:vAlign w:val="center"/>
                </w:tcPr>
                <w:p w14:paraId="2483802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tcBorders>
                    <w:tl2br w:val="nil"/>
                    <w:tr2bl w:val="nil"/>
                  </w:tcBorders>
                  <w:noWrap w:val="0"/>
                  <w:vAlign w:val="center"/>
                </w:tcPr>
                <w:p w14:paraId="128B1B67">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tcBorders>
                    <w:tl2br w:val="nil"/>
                    <w:tr2bl w:val="nil"/>
                  </w:tcBorders>
                  <w:noWrap w:val="0"/>
                  <w:vAlign w:val="center"/>
                </w:tcPr>
                <w:p w14:paraId="1FCE59E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洒水降尘</w:t>
                  </w:r>
                </w:p>
              </w:tc>
            </w:tr>
            <w:tr w14:paraId="59C7E8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tcBorders>
                    <w:tl2br w:val="nil"/>
                    <w:tr2bl w:val="nil"/>
                  </w:tcBorders>
                  <w:noWrap w:val="0"/>
                  <w:vAlign w:val="center"/>
                </w:tcPr>
                <w:p w14:paraId="1D7162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514" w:type="dxa"/>
                  <w:tcBorders>
                    <w:tl2br w:val="nil"/>
                    <w:tr2bl w:val="nil"/>
                  </w:tcBorders>
                  <w:noWrap w:val="0"/>
                  <w:vAlign w:val="center"/>
                </w:tcPr>
                <w:p w14:paraId="3D6A174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eastAsia="zh-CN"/>
                    </w:rPr>
                    <w:t>生活污水</w:t>
                  </w:r>
                </w:p>
              </w:tc>
              <w:tc>
                <w:tcPr>
                  <w:tcW w:w="1576" w:type="dxa"/>
                  <w:tcBorders>
                    <w:tl2br w:val="nil"/>
                    <w:tr2bl w:val="nil"/>
                  </w:tcBorders>
                  <w:noWrap w:val="0"/>
                  <w:vAlign w:val="center"/>
                </w:tcPr>
                <w:p w14:paraId="59D705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SS</w:t>
                  </w:r>
                  <w:r>
                    <w:rPr>
                      <w:rFonts w:hint="default" w:ascii="Times New Roman" w:hAnsi="Times New Roman" w:eastAsia="宋体" w:cs="Times New Roman"/>
                      <w:color w:val="auto"/>
                      <w:kern w:val="21"/>
                      <w:sz w:val="18"/>
                      <w:szCs w:val="18"/>
                      <w:highlight w:val="none"/>
                    </w:rPr>
                    <w:t>、</w:t>
                  </w:r>
                  <w:r>
                    <w:rPr>
                      <w:rFonts w:hint="default" w:ascii="Times New Roman" w:hAnsi="Times New Roman" w:eastAsia="宋体" w:cs="Times New Roman"/>
                      <w:color w:val="auto"/>
                      <w:sz w:val="18"/>
                      <w:szCs w:val="18"/>
                      <w:highlight w:val="none"/>
                    </w:rPr>
                    <w:t>pH、</w:t>
                  </w:r>
                  <w:r>
                    <w:rPr>
                      <w:rFonts w:hint="default" w:ascii="Times New Roman" w:hAnsi="Times New Roman" w:eastAsia="宋体" w:cs="Times New Roman"/>
                      <w:color w:val="auto"/>
                      <w:kern w:val="21"/>
                      <w:sz w:val="18"/>
                      <w:szCs w:val="18"/>
                      <w:highlight w:val="none"/>
                      <w:lang w:val="en-US" w:eastAsia="zh-CN"/>
                    </w:rPr>
                    <w:t>BOD</w:t>
                  </w:r>
                  <w:r>
                    <w:rPr>
                      <w:rFonts w:hint="default" w:ascii="Times New Roman" w:hAnsi="Times New Roman" w:eastAsia="宋体" w:cs="Times New Roman"/>
                      <w:color w:val="auto"/>
                      <w:kern w:val="21"/>
                      <w:sz w:val="18"/>
                      <w:szCs w:val="18"/>
                      <w:highlight w:val="none"/>
                      <w:vertAlign w:val="subscript"/>
                      <w:lang w:val="en-US" w:eastAsia="zh-CN"/>
                    </w:rPr>
                    <w:t>5</w:t>
                  </w:r>
                </w:p>
              </w:tc>
              <w:tc>
                <w:tcPr>
                  <w:tcW w:w="1028" w:type="dxa"/>
                  <w:tcBorders>
                    <w:tl2br w:val="nil"/>
                    <w:tr2bl w:val="nil"/>
                  </w:tcBorders>
                  <w:noWrap w:val="0"/>
                  <w:vAlign w:val="center"/>
                </w:tcPr>
                <w:p w14:paraId="6651C7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cs="Times New Roman"/>
                      <w:color w:val="auto"/>
                      <w:spacing w:val="0"/>
                      <w:sz w:val="18"/>
                      <w:szCs w:val="18"/>
                      <w:highlight w:val="none"/>
                    </w:rPr>
                    <w:t>间断</w:t>
                  </w:r>
                </w:p>
              </w:tc>
              <w:tc>
                <w:tcPr>
                  <w:tcW w:w="3250" w:type="dxa"/>
                  <w:tcBorders>
                    <w:tl2br w:val="nil"/>
                    <w:tr2bl w:val="nil"/>
                  </w:tcBorders>
                  <w:noWrap w:val="0"/>
                  <w:vAlign w:val="center"/>
                </w:tcPr>
                <w:p w14:paraId="0AAD74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cs="Times New Roman"/>
                      <w:color w:val="auto"/>
                      <w:sz w:val="18"/>
                      <w:szCs w:val="18"/>
                      <w:highlight w:val="none"/>
                      <w:lang w:eastAsia="zh-CN"/>
                    </w:rPr>
                    <w:t>排入</w:t>
                  </w:r>
                  <w:r>
                    <w:rPr>
                      <w:rFonts w:hint="eastAsia" w:cs="Times New Roman"/>
                      <w:color w:val="auto"/>
                      <w:kern w:val="0"/>
                      <w:sz w:val="18"/>
                      <w:szCs w:val="18"/>
                      <w:highlight w:val="none"/>
                      <w:lang w:val="en-US" w:eastAsia="zh-CN"/>
                    </w:rPr>
                    <w:t>防渗旱厕</w:t>
                  </w:r>
                  <w:r>
                    <w:rPr>
                      <w:rFonts w:hint="default" w:ascii="Times New Roman" w:hAnsi="Times New Roman" w:cs="Times New Roman"/>
                      <w:color w:val="auto"/>
                      <w:sz w:val="18"/>
                      <w:szCs w:val="18"/>
                      <w:highlight w:val="none"/>
                      <w:lang w:eastAsia="zh-CN"/>
                    </w:rPr>
                    <w:t>，定期清掏，外运堆肥，</w:t>
                  </w:r>
                  <w:r>
                    <w:rPr>
                      <w:rFonts w:hint="default" w:ascii="Times New Roman" w:hAnsi="Times New Roman" w:cs="Times New Roman"/>
                      <w:color w:val="auto"/>
                      <w:sz w:val="18"/>
                      <w:szCs w:val="18"/>
                      <w:highlight w:val="none"/>
                      <w:lang w:val="en-US" w:eastAsia="zh-CN"/>
                    </w:rPr>
                    <w:t>不外排</w:t>
                  </w:r>
                </w:p>
              </w:tc>
            </w:tr>
            <w:tr w14:paraId="1E65AD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tcBorders>
                    <w:tl2br w:val="nil"/>
                    <w:tr2bl w:val="nil"/>
                  </w:tcBorders>
                  <w:noWrap w:val="0"/>
                  <w:vAlign w:val="center"/>
                </w:tcPr>
                <w:p w14:paraId="14B224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514" w:type="dxa"/>
                  <w:tcBorders>
                    <w:tl2br w:val="nil"/>
                    <w:tr2bl w:val="nil"/>
                  </w:tcBorders>
                  <w:noWrap w:val="0"/>
                  <w:vAlign w:val="center"/>
                </w:tcPr>
                <w:p w14:paraId="460189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576" w:type="dxa"/>
                  <w:tcBorders>
                    <w:tl2br w:val="nil"/>
                    <w:tr2bl w:val="nil"/>
                  </w:tcBorders>
                  <w:noWrap w:val="0"/>
                  <w:vAlign w:val="center"/>
                </w:tcPr>
                <w:p w14:paraId="2DA8AF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28" w:type="dxa"/>
                  <w:tcBorders>
                    <w:tl2br w:val="nil"/>
                    <w:tr2bl w:val="nil"/>
                  </w:tcBorders>
                  <w:noWrap w:val="0"/>
                  <w:vAlign w:val="center"/>
                </w:tcPr>
                <w:p w14:paraId="483B60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22BB01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低噪声设备，采取</w:t>
                  </w:r>
                  <w:r>
                    <w:rPr>
                      <w:rFonts w:hint="eastAsia" w:cs="Times New Roman"/>
                      <w:color w:val="auto"/>
                      <w:sz w:val="18"/>
                      <w:szCs w:val="18"/>
                      <w:highlight w:val="none"/>
                      <w:lang w:val="en-US" w:eastAsia="zh-CN"/>
                    </w:rPr>
                    <w:t>基础</w:t>
                  </w:r>
                  <w:r>
                    <w:rPr>
                      <w:rFonts w:hint="default" w:ascii="Times New Roman" w:hAnsi="Times New Roman" w:eastAsia="宋体" w:cs="Times New Roman"/>
                      <w:color w:val="auto"/>
                      <w:sz w:val="18"/>
                      <w:szCs w:val="18"/>
                      <w:highlight w:val="none"/>
                    </w:rPr>
                    <w:t>减振、隔声</w:t>
                  </w:r>
                  <w:r>
                    <w:rPr>
                      <w:rFonts w:hint="eastAsia" w:cs="Times New Roman"/>
                      <w:color w:val="auto"/>
                      <w:sz w:val="18"/>
                      <w:szCs w:val="18"/>
                      <w:highlight w:val="none"/>
                      <w:lang w:val="en-US" w:eastAsia="zh-CN"/>
                    </w:rPr>
                    <w:t>等</w:t>
                  </w:r>
                </w:p>
              </w:tc>
            </w:tr>
            <w:tr w14:paraId="34A2EC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restart"/>
                  <w:tcBorders>
                    <w:tl2br w:val="nil"/>
                    <w:tr2bl w:val="nil"/>
                  </w:tcBorders>
                  <w:noWrap w:val="0"/>
                  <w:vAlign w:val="center"/>
                </w:tcPr>
                <w:p w14:paraId="79664B8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固体废物</w:t>
                  </w:r>
                </w:p>
              </w:tc>
              <w:tc>
                <w:tcPr>
                  <w:tcW w:w="1514" w:type="dxa"/>
                  <w:tcBorders>
                    <w:tl2br w:val="nil"/>
                    <w:tr2bl w:val="nil"/>
                  </w:tcBorders>
                  <w:noWrap w:val="0"/>
                  <w:vAlign w:val="center"/>
                </w:tcPr>
                <w:p w14:paraId="604CE9E0">
                  <w:pPr>
                    <w:pStyle w:val="131"/>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生活</w:t>
                  </w:r>
                </w:p>
              </w:tc>
              <w:tc>
                <w:tcPr>
                  <w:tcW w:w="1576" w:type="dxa"/>
                  <w:tcBorders>
                    <w:tl2br w:val="nil"/>
                    <w:tr2bl w:val="nil"/>
                  </w:tcBorders>
                  <w:noWrap w:val="0"/>
                  <w:vAlign w:val="center"/>
                </w:tcPr>
                <w:p w14:paraId="5BC87759">
                  <w:pPr>
                    <w:pStyle w:val="131"/>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生活垃圾</w:t>
                  </w:r>
                </w:p>
              </w:tc>
              <w:tc>
                <w:tcPr>
                  <w:tcW w:w="1028" w:type="dxa"/>
                  <w:tcBorders>
                    <w:tl2br w:val="nil"/>
                    <w:tr2bl w:val="nil"/>
                  </w:tcBorders>
                  <w:noWrap w:val="0"/>
                  <w:vAlign w:val="center"/>
                </w:tcPr>
                <w:p w14:paraId="6FCD2C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cs="Times New Roman"/>
                      <w:color w:val="auto"/>
                      <w:spacing w:val="0"/>
                      <w:sz w:val="18"/>
                      <w:szCs w:val="18"/>
                      <w:highlight w:val="none"/>
                    </w:rPr>
                    <w:t>间断</w:t>
                  </w:r>
                </w:p>
              </w:tc>
              <w:tc>
                <w:tcPr>
                  <w:tcW w:w="3250" w:type="dxa"/>
                  <w:tcBorders>
                    <w:tl2br w:val="nil"/>
                    <w:tr2bl w:val="nil"/>
                  </w:tcBorders>
                  <w:noWrap w:val="0"/>
                  <w:vAlign w:val="center"/>
                </w:tcPr>
                <w:p w14:paraId="59D3319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市政部门</w:t>
                  </w:r>
                  <w:r>
                    <w:rPr>
                      <w:rFonts w:hint="eastAsia" w:cs="Times New Roman"/>
                      <w:color w:val="auto"/>
                      <w:kern w:val="2"/>
                      <w:sz w:val="18"/>
                      <w:szCs w:val="18"/>
                      <w:highlight w:val="none"/>
                      <w:lang w:val="en-US" w:eastAsia="zh-CN" w:bidi="ar-SA"/>
                    </w:rPr>
                    <w:t>统一处理</w:t>
                  </w:r>
                </w:p>
              </w:tc>
            </w:tr>
            <w:tr w14:paraId="04B22F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6F64B57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514" w:type="dxa"/>
                  <w:vMerge w:val="restart"/>
                  <w:tcBorders>
                    <w:tl2br w:val="nil"/>
                    <w:tr2bl w:val="nil"/>
                  </w:tcBorders>
                  <w:noWrap w:val="0"/>
                  <w:vAlign w:val="center"/>
                </w:tcPr>
                <w:p w14:paraId="5EA41CD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热风炉</w:t>
                  </w:r>
                </w:p>
              </w:tc>
              <w:tc>
                <w:tcPr>
                  <w:tcW w:w="1576" w:type="dxa"/>
                  <w:tcBorders>
                    <w:tl2br w:val="nil"/>
                    <w:tr2bl w:val="nil"/>
                  </w:tcBorders>
                  <w:noWrap w:val="0"/>
                  <w:vAlign w:val="center"/>
                </w:tcPr>
                <w:p w14:paraId="37EF0C3F">
                  <w:pPr>
                    <w:pStyle w:val="131"/>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灰渣、</w:t>
                  </w:r>
                  <w:r>
                    <w:rPr>
                      <w:rFonts w:hint="eastAsia" w:cs="Times New Roman"/>
                      <w:color w:val="auto"/>
                      <w:sz w:val="18"/>
                      <w:szCs w:val="18"/>
                      <w:highlight w:val="none"/>
                      <w:lang w:val="en-US" w:eastAsia="zh-CN"/>
                    </w:rPr>
                    <w:t>除尘器收尘灰</w:t>
                  </w:r>
                </w:p>
              </w:tc>
              <w:tc>
                <w:tcPr>
                  <w:tcW w:w="1028" w:type="dxa"/>
                  <w:vMerge w:val="restart"/>
                  <w:tcBorders>
                    <w:tl2br w:val="nil"/>
                    <w:tr2bl w:val="nil"/>
                  </w:tcBorders>
                  <w:noWrap w:val="0"/>
                  <w:vAlign w:val="center"/>
                </w:tcPr>
                <w:p w14:paraId="2EEC9C9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tcBorders>
                    <w:tl2br w:val="nil"/>
                    <w:tr2bl w:val="nil"/>
                  </w:tcBorders>
                  <w:noWrap w:val="0"/>
                  <w:vAlign w:val="center"/>
                </w:tcPr>
                <w:p w14:paraId="050E4E3A">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存储于灰渣间，每10天清运1次，不在厂区长期储存，外售综合利用</w:t>
                  </w:r>
                </w:p>
              </w:tc>
            </w:tr>
            <w:tr w14:paraId="520A7B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0B9517B4">
                  <w:pPr>
                    <w:keepNext w:val="0"/>
                    <w:keepLines w:val="0"/>
                    <w:pageBreakBefore w:val="0"/>
                    <w:suppressLineNumbers w:val="0"/>
                    <w:tabs>
                      <w:tab w:val="left" w:pos="327"/>
                    </w:tabs>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514" w:type="dxa"/>
                  <w:vMerge w:val="continue"/>
                  <w:tcBorders>
                    <w:tl2br w:val="nil"/>
                    <w:tr2bl w:val="nil"/>
                  </w:tcBorders>
                  <w:noWrap w:val="0"/>
                  <w:vAlign w:val="center"/>
                </w:tcPr>
                <w:p w14:paraId="172C2EF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18"/>
                      <w:szCs w:val="18"/>
                      <w:highlight w:val="none"/>
                      <w:lang w:val="en-US" w:eastAsia="zh-CN" w:bidi="ar-SA"/>
                    </w:rPr>
                  </w:pPr>
                </w:p>
              </w:tc>
              <w:tc>
                <w:tcPr>
                  <w:tcW w:w="1576" w:type="dxa"/>
                  <w:tcBorders>
                    <w:tl2br w:val="nil"/>
                    <w:tr2bl w:val="nil"/>
                  </w:tcBorders>
                  <w:noWrap w:val="0"/>
                  <w:vAlign w:val="center"/>
                </w:tcPr>
                <w:p w14:paraId="0C3EB8F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废布袋</w:t>
                  </w:r>
                </w:p>
              </w:tc>
              <w:tc>
                <w:tcPr>
                  <w:tcW w:w="1028" w:type="dxa"/>
                  <w:vMerge w:val="continue"/>
                  <w:tcBorders>
                    <w:tl2br w:val="nil"/>
                    <w:tr2bl w:val="nil"/>
                  </w:tcBorders>
                  <w:noWrap w:val="0"/>
                  <w:vAlign w:val="center"/>
                </w:tcPr>
                <w:p w14:paraId="50D425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250" w:type="dxa"/>
                  <w:tcBorders>
                    <w:tl2br w:val="nil"/>
                    <w:tr2bl w:val="nil"/>
                  </w:tcBorders>
                  <w:noWrap w:val="0"/>
                  <w:vAlign w:val="center"/>
                </w:tcPr>
                <w:p w14:paraId="35FA4803">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eastAsia" w:ascii="宋体" w:hAnsi="宋体" w:cs="宋体"/>
                      <w:color w:val="auto"/>
                      <w:sz w:val="18"/>
                      <w:szCs w:val="18"/>
                    </w:rPr>
                    <w:t>由除尘器厂家更换后直接带走</w:t>
                  </w:r>
                </w:p>
              </w:tc>
            </w:tr>
            <w:tr w14:paraId="1DBD94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14D2E3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4" w:type="dxa"/>
                  <w:tcBorders>
                    <w:tl2br w:val="nil"/>
                    <w:tr2bl w:val="nil"/>
                  </w:tcBorders>
                  <w:noWrap w:val="0"/>
                  <w:vAlign w:val="center"/>
                </w:tcPr>
                <w:p w14:paraId="3B3E2CF6">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工艺粉尘</w:t>
                  </w:r>
                </w:p>
              </w:tc>
              <w:tc>
                <w:tcPr>
                  <w:tcW w:w="1576" w:type="dxa"/>
                  <w:tcBorders>
                    <w:tl2br w:val="nil"/>
                    <w:tr2bl w:val="nil"/>
                  </w:tcBorders>
                  <w:noWrap w:val="0"/>
                  <w:vAlign w:val="center"/>
                </w:tcPr>
                <w:p w14:paraId="18B52C91">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p>
              </w:tc>
              <w:tc>
                <w:tcPr>
                  <w:tcW w:w="1028" w:type="dxa"/>
                  <w:vMerge w:val="continue"/>
                  <w:tcBorders>
                    <w:tl2br w:val="nil"/>
                    <w:tr2bl w:val="nil"/>
                  </w:tcBorders>
                  <w:noWrap w:val="0"/>
                  <w:vAlign w:val="center"/>
                </w:tcPr>
                <w:p w14:paraId="1FE947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250" w:type="dxa"/>
                  <w:tcBorders>
                    <w:tl2br w:val="nil"/>
                    <w:tr2bl w:val="nil"/>
                  </w:tcBorders>
                  <w:noWrap w:val="0"/>
                  <w:vAlign w:val="center"/>
                </w:tcPr>
                <w:p w14:paraId="6336B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kern w:val="2"/>
                      <w:sz w:val="18"/>
                      <w:szCs w:val="18"/>
                      <w:highlight w:val="none"/>
                      <w:lang w:val="en-US" w:eastAsia="zh-CN" w:bidi="ar-SA"/>
                    </w:rPr>
                    <w:t>交由环卫部门统一处置</w:t>
                  </w:r>
                </w:p>
              </w:tc>
            </w:tr>
            <w:tr w14:paraId="7426A83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tcBorders>
                    <w:tl2br w:val="nil"/>
                    <w:tr2bl w:val="nil"/>
                  </w:tcBorders>
                  <w:noWrap w:val="0"/>
                  <w:vAlign w:val="center"/>
                </w:tcPr>
                <w:p w14:paraId="1187A4D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1514" w:type="dxa"/>
                  <w:tcBorders>
                    <w:tl2br w:val="nil"/>
                    <w:tr2bl w:val="nil"/>
                  </w:tcBorders>
                  <w:noWrap w:val="0"/>
                  <w:vAlign w:val="center"/>
                </w:tcPr>
                <w:p w14:paraId="7E78B03E">
                  <w:pPr>
                    <w:pStyle w:val="131"/>
                    <w:keepNext w:val="0"/>
                    <w:keepLines w:val="0"/>
                    <w:suppressLineNumbers w:val="0"/>
                    <w:spacing w:before="0" w:beforeAutospacing="0" w:after="0" w:afterAutospacing="0" w:line="240" w:lineRule="auto"/>
                    <w:ind w:left="0" w:right="0"/>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设备维护</w:t>
                  </w:r>
                </w:p>
              </w:tc>
              <w:tc>
                <w:tcPr>
                  <w:tcW w:w="1576" w:type="dxa"/>
                  <w:tcBorders>
                    <w:tl2br w:val="nil"/>
                    <w:tr2bl w:val="nil"/>
                  </w:tcBorders>
                  <w:noWrap w:val="0"/>
                  <w:vAlign w:val="center"/>
                </w:tcPr>
                <w:p w14:paraId="0C24EF30">
                  <w:pPr>
                    <w:pStyle w:val="131"/>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废机油、废弃含油抹布手套。</w:t>
                  </w:r>
                </w:p>
              </w:tc>
              <w:tc>
                <w:tcPr>
                  <w:tcW w:w="1028" w:type="dxa"/>
                  <w:tcBorders>
                    <w:tl2br w:val="nil"/>
                    <w:tr2bl w:val="nil"/>
                  </w:tcBorders>
                  <w:noWrap w:val="0"/>
                  <w:vAlign w:val="center"/>
                </w:tcPr>
                <w:p w14:paraId="5E5A23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间断</w:t>
                  </w:r>
                </w:p>
              </w:tc>
              <w:tc>
                <w:tcPr>
                  <w:tcW w:w="3250" w:type="dxa"/>
                  <w:tcBorders>
                    <w:tl2br w:val="nil"/>
                    <w:tr2bl w:val="nil"/>
                  </w:tcBorders>
                  <w:noWrap w:val="0"/>
                  <w:vAlign w:val="center"/>
                </w:tcPr>
                <w:p w14:paraId="22161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暂存危险废物贮存点，委托有资质单位处理</w:t>
                  </w:r>
                </w:p>
              </w:tc>
            </w:tr>
          </w:tbl>
          <w:p w14:paraId="7AEBE7B3">
            <w:pPr>
              <w:pStyle w:val="32"/>
              <w:keepNext w:val="0"/>
              <w:keepLines w:val="0"/>
              <w:suppressLineNumbers w:val="0"/>
              <w:spacing w:before="0" w:beforeAutospacing="0" w:after="0" w:afterAutospacing="0"/>
              <w:ind w:left="0" w:right="0"/>
              <w:rPr>
                <w:rFonts w:hint="default"/>
                <w:color w:val="auto"/>
                <w:highlight w:val="none"/>
                <w:lang w:val="en-US" w:eastAsia="zh-CN"/>
              </w:rPr>
            </w:pPr>
          </w:p>
        </w:tc>
      </w:tr>
      <w:tr w14:paraId="4A105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2" w:hRule="atLeast"/>
          <w:jc w:val="center"/>
        </w:trPr>
        <w:tc>
          <w:tcPr>
            <w:tcW w:w="822" w:type="dxa"/>
            <w:vAlign w:val="center"/>
          </w:tcPr>
          <w:p w14:paraId="507A3A1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220" w:type="dxa"/>
            <w:vAlign w:val="center"/>
          </w:tcPr>
          <w:p w14:paraId="451286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bCs/>
                <w:color w:val="auto"/>
                <w:szCs w:val="21"/>
                <w:highlight w:val="none"/>
                <w:lang w:val="en-US" w:eastAsia="zh-CN"/>
              </w:rPr>
            </w:pPr>
            <w:r>
              <w:rPr>
                <w:rFonts w:hint="eastAsia"/>
                <w:color w:val="auto"/>
                <w:highlight w:val="none"/>
                <w:lang w:val="en-US" w:eastAsia="zh-CN"/>
              </w:rPr>
              <w:t xml:space="preserve">    鸡东县新向阳粮库有限责任公司现有工程占地面积</w:t>
            </w:r>
            <w:r>
              <w:rPr>
                <w:rFonts w:hint="eastAsia" w:eastAsia="宋体" w:cs="Times New Roman"/>
                <w:b w:val="0"/>
                <w:bCs w:val="0"/>
                <w:color w:val="auto"/>
                <w:kern w:val="21"/>
                <w:sz w:val="21"/>
                <w:szCs w:val="21"/>
                <w:highlight w:val="none"/>
                <w:lang w:val="en-US" w:eastAsia="zh-CN"/>
              </w:rPr>
              <w:t>79259.2</w:t>
            </w:r>
            <w:r>
              <w:rPr>
                <w:rFonts w:hint="eastAsia" w:cs="Times New Roman"/>
                <w:b w:val="0"/>
                <w:bCs w:val="0"/>
                <w:color w:val="auto"/>
                <w:kern w:val="21"/>
                <w:sz w:val="21"/>
                <w:szCs w:val="21"/>
                <w:highlight w:val="none"/>
                <w:lang w:val="en-US" w:eastAsia="zh-CN"/>
              </w:rPr>
              <w:t>m</w:t>
            </w:r>
            <w:r>
              <w:rPr>
                <w:rFonts w:hint="eastAsia" w:cs="Times New Roman"/>
                <w:b w:val="0"/>
                <w:bCs w:val="0"/>
                <w:color w:val="auto"/>
                <w:kern w:val="21"/>
                <w:sz w:val="21"/>
                <w:szCs w:val="21"/>
                <w:highlight w:val="none"/>
                <w:vertAlign w:val="superscript"/>
                <w:lang w:val="en-US" w:eastAsia="zh-CN"/>
              </w:rPr>
              <w:t>2</w:t>
            </w:r>
            <w:r>
              <w:rPr>
                <w:rFonts w:hint="eastAsia" w:cs="Times New Roman"/>
                <w:b w:val="0"/>
                <w:bCs w:val="0"/>
                <w:color w:val="auto"/>
                <w:kern w:val="21"/>
                <w:sz w:val="21"/>
                <w:szCs w:val="21"/>
                <w:highlight w:val="none"/>
                <w:lang w:val="en-US" w:eastAsia="zh-CN"/>
              </w:rPr>
              <w:t>，现有5座钢结构平房仓，9座钢结构立筒仓，4座砖混结构立筒仓，1座办公楼及门卫、化验室、配电室、车库。原有烘干塔及热风炉因设备老化不能使用已于2023年拆除，</w:t>
            </w:r>
            <w:r>
              <w:rPr>
                <w:rFonts w:hint="eastAsia"/>
                <w:bCs/>
                <w:color w:val="auto"/>
                <w:szCs w:val="21"/>
                <w:highlight w:val="none"/>
              </w:rPr>
              <w:t>本项目在编制环境影响报告期间，企业</w:t>
            </w:r>
            <w:r>
              <w:rPr>
                <w:rFonts w:hint="eastAsia"/>
                <w:bCs/>
                <w:color w:val="auto"/>
                <w:szCs w:val="21"/>
                <w:highlight w:val="none"/>
                <w:lang w:val="en-US" w:eastAsia="zh-CN"/>
              </w:rPr>
              <w:t>不进行粮食烘干</w:t>
            </w:r>
            <w:r>
              <w:rPr>
                <w:rFonts w:hint="eastAsia"/>
                <w:bCs/>
                <w:color w:val="auto"/>
                <w:szCs w:val="21"/>
                <w:highlight w:val="none"/>
              </w:rPr>
              <w:t>生产，</w:t>
            </w:r>
            <w:r>
              <w:rPr>
                <w:rFonts w:hint="eastAsia"/>
                <w:bCs/>
                <w:color w:val="auto"/>
                <w:szCs w:val="21"/>
                <w:highlight w:val="none"/>
                <w:lang w:val="en-US" w:eastAsia="zh-CN"/>
              </w:rPr>
              <w:t>仅为成品粮食收购、仓储。</w:t>
            </w:r>
          </w:p>
          <w:p w14:paraId="0C8556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both"/>
              <w:textAlignment w:val="auto"/>
              <w:rPr>
                <w:rFonts w:hint="eastAsia"/>
                <w:b/>
                <w:bCs w:val="0"/>
                <w:color w:val="auto"/>
                <w:szCs w:val="21"/>
                <w:highlight w:val="none"/>
                <w:lang w:val="en-US" w:eastAsia="zh-CN"/>
              </w:rPr>
            </w:pPr>
            <w:r>
              <w:rPr>
                <w:rFonts w:hint="eastAsia" w:ascii="Times New Roman" w:hAnsi="Times New Roman" w:eastAsia="宋体" w:cs="Times New Roman"/>
                <w:b/>
                <w:bCs w:val="0"/>
                <w:color w:val="auto"/>
                <w:kern w:val="2"/>
                <w:sz w:val="21"/>
                <w:szCs w:val="21"/>
                <w:lang w:val="en-US" w:eastAsia="zh-CN" w:bidi="ar-SA"/>
              </w:rPr>
              <w:t>1、</w:t>
            </w:r>
            <w:r>
              <w:rPr>
                <w:rFonts w:hint="eastAsia"/>
                <w:b/>
                <w:bCs w:val="0"/>
                <w:color w:val="auto"/>
                <w:szCs w:val="21"/>
                <w:highlight w:val="none"/>
                <w:lang w:val="en-US" w:eastAsia="zh-CN"/>
              </w:rPr>
              <w:t>环保手续履行情况</w:t>
            </w:r>
          </w:p>
          <w:p w14:paraId="7BD03D0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jc w:val="both"/>
              <w:textAlignment w:val="auto"/>
              <w:rPr>
                <w:rFonts w:hint="eastAsia"/>
                <w:b w:val="0"/>
                <w:bCs/>
                <w:color w:val="auto"/>
                <w:szCs w:val="21"/>
                <w:highlight w:val="none"/>
                <w:lang w:val="en-US" w:eastAsia="zh-CN"/>
              </w:rPr>
            </w:pPr>
            <w:r>
              <w:rPr>
                <w:rFonts w:hint="eastAsia"/>
                <w:b w:val="0"/>
                <w:bCs/>
                <w:color w:val="auto"/>
                <w:szCs w:val="21"/>
                <w:highlight w:val="none"/>
                <w:lang w:val="en-US" w:eastAsia="zh-CN"/>
              </w:rPr>
              <w:t>鸡东县新向阳粮库有限责任公司于2008年9月2日完成建设项目环境影响登记（登记表见附件）</w:t>
            </w:r>
          </w:p>
          <w:p w14:paraId="08DE8B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rFonts w:hint="eastAsia"/>
                <w:b/>
                <w:bCs w:val="0"/>
                <w:color w:val="auto"/>
                <w:szCs w:val="21"/>
                <w:highlight w:val="none"/>
                <w:lang w:val="en-US" w:eastAsia="zh-CN"/>
              </w:rPr>
            </w:pPr>
            <w:r>
              <w:rPr>
                <w:rFonts w:hint="eastAsia" w:ascii="Times New Roman" w:hAnsi="Times New Roman" w:eastAsia="宋体" w:cs="Times New Roman"/>
                <w:b/>
                <w:bCs w:val="0"/>
                <w:color w:val="auto"/>
                <w:kern w:val="2"/>
                <w:sz w:val="21"/>
                <w:szCs w:val="21"/>
                <w:lang w:val="en-US" w:eastAsia="zh-CN" w:bidi="ar-SA"/>
              </w:rPr>
              <w:t>2、</w:t>
            </w:r>
            <w:r>
              <w:rPr>
                <w:rFonts w:hint="eastAsia"/>
                <w:b/>
                <w:bCs w:val="0"/>
                <w:color w:val="auto"/>
                <w:szCs w:val="21"/>
                <w:highlight w:val="none"/>
                <w:lang w:val="en-US" w:eastAsia="zh-CN"/>
              </w:rPr>
              <w:t>现有项目污染情况</w:t>
            </w:r>
          </w:p>
          <w:p w14:paraId="2A323B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jc w:val="both"/>
              <w:textAlignment w:val="auto"/>
              <w:rPr>
                <w:rFonts w:hint="eastAsia"/>
                <w:b w:val="0"/>
                <w:bCs/>
                <w:color w:val="auto"/>
                <w:szCs w:val="21"/>
                <w:highlight w:val="none"/>
                <w:lang w:val="en-US" w:eastAsia="zh-CN"/>
              </w:rPr>
            </w:pPr>
            <w:r>
              <w:rPr>
                <w:rFonts w:hint="eastAsia"/>
                <w:b w:val="0"/>
                <w:bCs/>
                <w:color w:val="auto"/>
                <w:szCs w:val="21"/>
                <w:highlight w:val="none"/>
                <w:lang w:val="en-US" w:eastAsia="zh-CN"/>
              </w:rPr>
              <w:t>（1）废水</w:t>
            </w:r>
          </w:p>
          <w:p w14:paraId="5FDC5FD2">
            <w:pPr>
              <w:keepNext w:val="0"/>
              <w:keepLines w:val="0"/>
              <w:widowControl/>
              <w:suppressLineNumbers w:val="0"/>
              <w:spacing w:before="0" w:beforeAutospacing="0" w:after="0" w:afterAutospacing="0" w:line="360" w:lineRule="auto"/>
              <w:ind w:left="0" w:right="0" w:firstLine="420" w:firstLineChars="200"/>
              <w:rPr>
                <w:rFonts w:hint="eastAsia" w:ascii="Times New Roman" w:hAnsi="Times New Roman" w:eastAsia="宋体" w:cs="Times New Roman"/>
                <w:b w:val="0"/>
                <w:bCs/>
                <w:color w:val="auto"/>
                <w:szCs w:val="21"/>
                <w:highlight w:val="none"/>
                <w:lang w:val="en-US" w:eastAsia="zh-CN"/>
              </w:rPr>
            </w:pPr>
            <w:r>
              <w:rPr>
                <w:rFonts w:hint="eastAsia"/>
                <w:b w:val="0"/>
                <w:bCs/>
                <w:color w:val="auto"/>
                <w:szCs w:val="21"/>
                <w:highlight w:val="none"/>
                <w:lang w:val="en-US" w:eastAsia="zh-CN"/>
              </w:rPr>
              <w:t>现有工程废水为生活污水，生产过程无</w:t>
            </w:r>
            <w:r>
              <w:rPr>
                <w:rFonts w:hint="eastAsia" w:ascii="Times New Roman" w:hAnsi="Times New Roman" w:eastAsia="宋体" w:cs="Times New Roman"/>
                <w:b w:val="0"/>
                <w:bCs/>
                <w:color w:val="auto"/>
                <w:szCs w:val="21"/>
                <w:highlight w:val="none"/>
                <w:lang w:val="en-US" w:eastAsia="zh-CN"/>
              </w:rPr>
              <w:t>废水产生。生活污水排入防渗旱厕，定期清掏外运堆肥，不外排。</w:t>
            </w:r>
          </w:p>
          <w:p w14:paraId="5698C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Cs w:val="21"/>
                <w:highlight w:val="none"/>
                <w:lang w:val="en-US" w:eastAsia="zh-CN"/>
              </w:rPr>
            </w:pPr>
            <w:r>
              <w:rPr>
                <w:rFonts w:hint="eastAsia" w:ascii="Times New Roman" w:hAnsi="Times New Roman" w:eastAsia="宋体" w:cs="Times New Roman"/>
                <w:b w:val="0"/>
                <w:bCs/>
                <w:color w:val="auto"/>
                <w:szCs w:val="21"/>
                <w:highlight w:val="none"/>
                <w:lang w:val="en-US" w:eastAsia="zh-CN"/>
              </w:rPr>
              <w:t>（2）废气</w:t>
            </w:r>
          </w:p>
          <w:p w14:paraId="711EAF3D">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rightChars="0"/>
              <w:textAlignment w:val="auto"/>
              <w:rPr>
                <w:rFonts w:hint="eastAsia" w:ascii="宋体" w:hAnsi="宋体" w:eastAsia="宋体" w:cs="宋体"/>
                <w:b w:val="0"/>
                <w:bCs/>
                <w:color w:val="auto"/>
                <w:kern w:val="2"/>
                <w:sz w:val="21"/>
                <w:szCs w:val="21"/>
                <w:highlight w:val="none"/>
                <w:lang w:val="en-US" w:eastAsia="zh-CN" w:bidi="ar-SA"/>
              </w:rPr>
            </w:pPr>
            <w:r>
              <w:rPr>
                <w:rFonts w:hint="eastAsia"/>
                <w:color w:val="auto"/>
                <w:lang w:val="en-US" w:eastAsia="zh-CN"/>
              </w:rPr>
              <w:t xml:space="preserve">    </w:t>
            </w:r>
            <w:r>
              <w:rPr>
                <w:rFonts w:hint="eastAsia" w:ascii="Times New Roman" w:hAnsi="Times New Roman" w:eastAsia="宋体" w:cs="Times New Roman"/>
                <w:b w:val="0"/>
                <w:bCs/>
                <w:color w:val="auto"/>
                <w:kern w:val="2"/>
                <w:sz w:val="21"/>
                <w:szCs w:val="21"/>
                <w:highlight w:val="none"/>
                <w:lang w:val="en-US" w:eastAsia="zh-CN" w:bidi="ar-SA"/>
              </w:rPr>
              <w:t xml:space="preserve"> </w:t>
            </w:r>
            <w:r>
              <w:rPr>
                <w:rFonts w:hint="eastAsia" w:ascii="宋体" w:hAnsi="宋体" w:eastAsia="宋体" w:cs="宋体"/>
                <w:b w:val="0"/>
                <w:bCs/>
                <w:color w:val="auto"/>
                <w:kern w:val="2"/>
                <w:sz w:val="21"/>
                <w:szCs w:val="21"/>
                <w:highlight w:val="none"/>
                <w:lang w:val="en-US" w:eastAsia="zh-CN" w:bidi="ar-SA"/>
              </w:rPr>
              <w:t>原有1座500t/d烘干塔及1台6t/h燃煤热风炉，因设备老化不能使用已拆除，企业现有工程为成品粮食收购、仓储，</w:t>
            </w:r>
            <w:r>
              <w:rPr>
                <w:rFonts w:hint="eastAsia" w:ascii="宋体" w:hAnsi="宋体" w:cs="宋体"/>
                <w:b w:val="0"/>
                <w:bCs/>
                <w:color w:val="auto"/>
                <w:kern w:val="2"/>
                <w:sz w:val="21"/>
                <w:szCs w:val="21"/>
                <w:highlight w:val="none"/>
                <w:lang w:val="en-US" w:eastAsia="zh-CN" w:bidi="ar-SA"/>
              </w:rPr>
              <w:t>收购的成品粮食需满足行业要求，杂质、粉尘较少，入库后储存周期约为3年左右</w:t>
            </w:r>
            <w:r>
              <w:rPr>
                <w:rFonts w:hint="eastAsia" w:ascii="宋体" w:hAnsi="宋体" w:eastAsia="宋体" w:cs="宋体"/>
                <w:b w:val="0"/>
                <w:bCs/>
                <w:color w:val="auto"/>
                <w:kern w:val="2"/>
                <w:sz w:val="21"/>
                <w:szCs w:val="21"/>
                <w:highlight w:val="none"/>
                <w:lang w:val="en-US" w:eastAsia="zh-CN" w:bidi="ar-SA"/>
              </w:rPr>
              <w:t>，装卸运输</w:t>
            </w:r>
            <w:r>
              <w:rPr>
                <w:rFonts w:hint="eastAsia" w:ascii="宋体" w:hAnsi="宋体" w:cs="宋体"/>
                <w:b w:val="0"/>
                <w:bCs/>
                <w:color w:val="auto"/>
                <w:kern w:val="2"/>
                <w:sz w:val="21"/>
                <w:szCs w:val="21"/>
                <w:highlight w:val="none"/>
                <w:lang w:val="en-US" w:eastAsia="zh-CN" w:bidi="ar-SA"/>
              </w:rPr>
              <w:t>过程</w:t>
            </w:r>
            <w:r>
              <w:rPr>
                <w:rFonts w:hint="eastAsia" w:ascii="宋体" w:hAnsi="宋体" w:eastAsia="宋体" w:cs="宋体"/>
                <w:b w:val="0"/>
                <w:bCs/>
                <w:color w:val="auto"/>
                <w:kern w:val="2"/>
                <w:sz w:val="21"/>
                <w:szCs w:val="21"/>
                <w:highlight w:val="none"/>
                <w:lang w:val="en-US" w:eastAsia="zh-CN" w:bidi="ar-SA"/>
              </w:rPr>
              <w:t>采取粮仓密闭、减小装卸高度等降尘措施，运输过程中采用封闭输送等</w:t>
            </w:r>
            <w:r>
              <w:rPr>
                <w:rFonts w:hint="eastAsia" w:ascii="宋体" w:hAnsi="宋体" w:cs="宋体"/>
                <w:b w:val="0"/>
                <w:bCs/>
                <w:color w:val="auto"/>
                <w:kern w:val="2"/>
                <w:sz w:val="21"/>
                <w:szCs w:val="21"/>
                <w:highlight w:val="none"/>
                <w:lang w:val="en-US" w:eastAsia="zh-CN" w:bidi="ar-SA"/>
              </w:rPr>
              <w:t>，不会产生较大的粉尘排放。</w:t>
            </w:r>
          </w:p>
          <w:p w14:paraId="705FD8DA">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20" w:firstLineChars="0"/>
              <w:textAlignment w:val="auto"/>
              <w:rPr>
                <w:rFonts w:hint="eastAsia" w:ascii="宋体" w:hAnsi="宋体" w:eastAsia="宋体" w:cs="宋体"/>
                <w:b w:val="0"/>
                <w:bCs/>
                <w:color w:val="auto"/>
                <w:kern w:val="2"/>
                <w:sz w:val="21"/>
                <w:szCs w:val="21"/>
                <w:highlight w:val="none"/>
                <w:shd w:val="clear" w:color="auto" w:fill="auto"/>
                <w:lang w:val="en-US" w:eastAsia="zh-CN" w:bidi="ar-SA"/>
              </w:rPr>
            </w:pPr>
            <w:r>
              <w:rPr>
                <w:rFonts w:hint="eastAsia" w:ascii="宋体" w:hAnsi="宋体" w:eastAsia="宋体" w:cs="宋体"/>
                <w:b w:val="0"/>
                <w:bCs/>
                <w:color w:val="auto"/>
                <w:kern w:val="2"/>
                <w:sz w:val="21"/>
                <w:szCs w:val="21"/>
                <w:highlight w:val="none"/>
                <w:shd w:val="clear" w:color="auto" w:fill="auto"/>
                <w:lang w:val="en-US" w:eastAsia="zh-CN" w:bidi="ar-SA"/>
              </w:rPr>
              <w:t>（3）噪声</w:t>
            </w:r>
          </w:p>
          <w:p w14:paraId="6EB5F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color w:val="auto"/>
                <w:lang w:val="en-US" w:eastAsia="zh-CN"/>
              </w:rPr>
              <w:t xml:space="preserve"> </w:t>
            </w:r>
            <w:r>
              <w:rPr>
                <w:rFonts w:hint="eastAsia"/>
                <w:color w:val="auto"/>
                <w:szCs w:val="21"/>
                <w:highlight w:val="none"/>
                <w:lang w:val="en-US" w:eastAsia="zh-CN"/>
              </w:rPr>
              <w:t>现</w:t>
            </w:r>
            <w:r>
              <w:rPr>
                <w:rFonts w:hint="eastAsia" w:ascii="Times New Roman" w:hAnsi="Times New Roman" w:eastAsia="宋体" w:cs="Times New Roman"/>
                <w:b w:val="0"/>
                <w:bCs/>
                <w:color w:val="auto"/>
                <w:kern w:val="2"/>
                <w:sz w:val="21"/>
                <w:szCs w:val="21"/>
                <w:highlight w:val="none"/>
                <w:lang w:val="en-US" w:eastAsia="zh-CN" w:bidi="ar-SA"/>
              </w:rPr>
              <w:t>有工程产生噪声的设备合理布局，粮食输送设备采取降噪、减震措施，厂界噪声达到《工业企业厂界环境噪声排放标准》（GB12348-2008）表1中2类标准（昼间60dB（A）、夜间50dB（A））。</w:t>
            </w:r>
          </w:p>
          <w:p w14:paraId="4BB9AA2A">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20" w:firstLineChars="0"/>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（4）固体废物</w:t>
            </w:r>
          </w:p>
          <w:p w14:paraId="1C0497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宋体" w:hAnsi="宋体" w:eastAsia="宋体" w:cs="宋体"/>
                <w:b w:val="0"/>
                <w:bCs/>
                <w:color w:val="auto"/>
                <w:kern w:val="2"/>
                <w:sz w:val="21"/>
                <w:szCs w:val="21"/>
                <w:highlight w:val="cyan"/>
                <w:lang w:val="en-US" w:eastAsia="zh-CN" w:bidi="ar-SA"/>
              </w:rPr>
            </w:pPr>
            <w:r>
              <w:rPr>
                <w:rFonts w:hint="eastAsia" w:ascii="宋体" w:hAnsi="宋体" w:eastAsia="宋体" w:cs="宋体"/>
                <w:b w:val="0"/>
                <w:bCs/>
                <w:color w:val="auto"/>
                <w:kern w:val="2"/>
                <w:sz w:val="21"/>
                <w:szCs w:val="21"/>
                <w:highlight w:val="none"/>
                <w:lang w:val="en-US" w:eastAsia="zh-CN" w:bidi="ar-SA"/>
              </w:rPr>
              <w:t xml:space="preserve"> </w:t>
            </w:r>
            <w:r>
              <w:rPr>
                <w:rFonts w:hint="eastAsia" w:ascii="宋体" w:hAnsi="宋体" w:cs="宋体"/>
                <w:b w:val="0"/>
                <w:bCs/>
                <w:color w:val="auto"/>
                <w:kern w:val="2"/>
                <w:sz w:val="21"/>
                <w:szCs w:val="21"/>
                <w:highlight w:val="none"/>
                <w:lang w:val="en-US" w:eastAsia="zh-CN" w:bidi="ar-SA"/>
              </w:rPr>
              <w:t>现有工程生活垃圾</w:t>
            </w:r>
            <w:r>
              <w:rPr>
                <w:rFonts w:hint="default" w:ascii="宋体" w:hAnsi="宋体" w:eastAsia="宋体" w:cs="宋体"/>
                <w:b w:val="0"/>
                <w:bCs/>
                <w:color w:val="auto"/>
                <w:kern w:val="2"/>
                <w:sz w:val="21"/>
                <w:szCs w:val="21"/>
                <w:highlight w:val="none"/>
                <w:lang w:val="en-US" w:eastAsia="zh-CN" w:bidi="ar-SA"/>
              </w:rPr>
              <w:t>由市政环卫部门统一清运。</w:t>
            </w:r>
          </w:p>
          <w:p w14:paraId="5ADBCDAA">
            <w:pPr>
              <w:pStyle w:val="3"/>
              <w:keepNext w:val="0"/>
              <w:keepLines w:val="0"/>
              <w:numPr>
                <w:ilvl w:val="0"/>
                <w:numId w:val="0"/>
              </w:numPr>
              <w:suppressLineNumbers w:val="0"/>
              <w:spacing w:before="0" w:beforeAutospacing="0" w:after="0" w:afterAutospacing="0"/>
              <w:ind w:left="0" w:right="0"/>
              <w:rPr>
                <w:rFonts w:hint="default"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4、整改措施</w:t>
            </w:r>
          </w:p>
          <w:p w14:paraId="169E173F">
            <w:pPr>
              <w:keepNext w:val="0"/>
              <w:keepLines w:val="0"/>
              <w:suppressLineNumbers w:val="0"/>
              <w:spacing w:before="0" w:beforeAutospacing="0" w:after="0" w:afterAutospacing="0"/>
              <w:ind w:left="0" w:right="0" w:firstLine="420"/>
              <w:rPr>
                <w:rFonts w:hint="default"/>
                <w:color w:val="auto"/>
                <w:lang w:val="en-US" w:eastAsia="zh-CN"/>
              </w:rPr>
            </w:pPr>
            <w:r>
              <w:rPr>
                <w:rFonts w:hint="eastAsia"/>
                <w:color w:val="auto"/>
                <w:lang w:val="en-US" w:eastAsia="zh-CN"/>
              </w:rPr>
              <w:t>履行环保手续，本次改扩建完成后进行申请排污许可证、建设项目竣工环境保护验收、并开展自行检测。</w:t>
            </w:r>
          </w:p>
        </w:tc>
      </w:tr>
    </w:tbl>
    <w:p w14:paraId="5960E80E">
      <w:pPr>
        <w:pStyle w:val="29"/>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BEADC80">
      <w:pPr>
        <w:pStyle w:val="29"/>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5"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5"/>
    </w:p>
    <w:tbl>
      <w:tblPr>
        <w:tblStyle w:val="35"/>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0"/>
        <w:gridCol w:w="8251"/>
      </w:tblGrid>
      <w:tr w14:paraId="178CFD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4" w:hRule="atLeast"/>
          <w:jc w:val="center"/>
        </w:trPr>
        <w:tc>
          <w:tcPr>
            <w:tcW w:w="452" w:type="pct"/>
            <w:vAlign w:val="center"/>
          </w:tcPr>
          <w:p w14:paraId="39AAFC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14:paraId="159C6E8B">
            <w:pPr>
              <w:keepNext w:val="0"/>
              <w:keepLines w:val="0"/>
              <w:numPr>
                <w:ilvl w:val="0"/>
                <w:numId w:val="0"/>
              </w:numPr>
              <w:suppressLineNumbers w:val="0"/>
              <w:spacing w:before="0" w:beforeAutospacing="0" w:after="0" w:afterAutospacing="0" w:line="360" w:lineRule="auto"/>
              <w:ind w:left="0" w:leftChars="0" w:right="0" w:rightChars="0" w:firstLine="422" w:firstLineChars="200"/>
              <w:rPr>
                <w:rFonts w:hint="default"/>
                <w:b/>
                <w:bCs/>
                <w:color w:val="auto"/>
                <w:highlight w:val="none"/>
              </w:rPr>
            </w:pPr>
            <w:r>
              <w:rPr>
                <w:rFonts w:hint="default" w:ascii="Times New Roman" w:hAnsi="Times New Roman" w:eastAsia="宋体" w:cs="Times New Roman"/>
                <w:b/>
                <w:bCs/>
                <w:color w:val="auto"/>
                <w:kern w:val="2"/>
                <w:sz w:val="21"/>
                <w:szCs w:val="24"/>
                <w:lang w:val="en-US" w:eastAsia="zh-CN" w:bidi="ar-SA"/>
              </w:rPr>
              <w:t>1、</w:t>
            </w:r>
            <w:r>
              <w:rPr>
                <w:rFonts w:hint="default"/>
                <w:b/>
                <w:bCs/>
                <w:color w:val="auto"/>
                <w:highlight w:val="none"/>
              </w:rPr>
              <w:t>大气环境</w:t>
            </w:r>
          </w:p>
          <w:p w14:paraId="3CA82A5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FF0000"/>
                <w:highlight w:val="none"/>
              </w:rPr>
            </w:pPr>
            <w:r>
              <w:rPr>
                <w:rFonts w:hint="default" w:ascii="Times New Roman" w:hAnsi="Times New Roman" w:eastAsia="宋体" w:cs="Times New Roman"/>
                <w:color w:val="FF0000"/>
                <w:highlight w:val="none"/>
                <w:lang w:val="en-US" w:eastAsia="zh-CN"/>
              </w:rPr>
              <w:t>根据</w:t>
            </w:r>
            <w:r>
              <w:rPr>
                <w:rFonts w:hint="eastAsia" w:ascii="Times New Roman" w:hAnsi="Times New Roman" w:eastAsia="宋体" w:cs="Times New Roman"/>
                <w:color w:val="FF0000"/>
                <w:highlight w:val="none"/>
                <w:lang w:val="en-US" w:eastAsia="zh-CN"/>
              </w:rPr>
              <w:t>《2024年黑龙江省生态环境质量状况》（2025年1月）</w:t>
            </w:r>
            <w:r>
              <w:rPr>
                <w:rFonts w:hint="default"/>
                <w:color w:val="FF0000"/>
                <w:highlight w:val="none"/>
              </w:rPr>
              <w:t>中公布的数据。</w:t>
            </w:r>
            <w:r>
              <w:rPr>
                <w:rFonts w:hint="eastAsia"/>
                <w:color w:val="FF0000"/>
                <w:highlight w:val="none"/>
                <w:lang w:val="en-US" w:eastAsia="zh-CN"/>
              </w:rPr>
              <w:t>2024年鸡西市各项污染物年均浓度综合情况如下表。</w:t>
            </w:r>
          </w:p>
          <w:p w14:paraId="7179ED90">
            <w:pPr>
              <w:keepNext w:val="0"/>
              <w:keepLines w:val="0"/>
              <w:suppressLineNumbers w:val="0"/>
              <w:adjustRightInd w:val="0"/>
              <w:snapToGrid w:val="0"/>
              <w:spacing w:before="0" w:beforeAutospacing="0" w:after="0" w:afterAutospacing="0"/>
              <w:ind w:left="0" w:right="0"/>
              <w:jc w:val="center"/>
              <w:rPr>
                <w:rFonts w:hint="default"/>
                <w:b/>
                <w:bCs/>
                <w:color w:val="FF0000"/>
                <w:highlight w:val="none"/>
              </w:rPr>
            </w:pPr>
            <w:r>
              <w:rPr>
                <w:rFonts w:hint="default"/>
                <w:b/>
                <w:bCs/>
                <w:color w:val="FF0000"/>
                <w:highlight w:val="none"/>
              </w:rPr>
              <w:t>表3-</w:t>
            </w:r>
            <w:r>
              <w:rPr>
                <w:rFonts w:hint="eastAsia"/>
                <w:b/>
                <w:bCs/>
                <w:color w:val="FF0000"/>
                <w:highlight w:val="none"/>
                <w:lang w:val="en-US" w:eastAsia="zh-CN"/>
              </w:rPr>
              <w:t>1 鸡西市</w:t>
            </w:r>
            <w:r>
              <w:rPr>
                <w:rFonts w:hint="default"/>
                <w:b/>
                <w:bCs/>
                <w:color w:val="FF0000"/>
                <w:highlight w:val="none"/>
              </w:rPr>
              <w:t>202</w:t>
            </w:r>
            <w:r>
              <w:rPr>
                <w:rFonts w:hint="eastAsia"/>
                <w:b/>
                <w:bCs/>
                <w:color w:val="FF0000"/>
                <w:highlight w:val="none"/>
                <w:lang w:val="en-US" w:eastAsia="zh-CN"/>
              </w:rPr>
              <w:t>4</w:t>
            </w:r>
            <w:r>
              <w:rPr>
                <w:rFonts w:hint="default"/>
                <w:b/>
                <w:bCs/>
                <w:color w:val="FF0000"/>
                <w:highlight w:val="none"/>
              </w:rPr>
              <w:t>年环境空气质量统计表   单位：μg/m</w:t>
            </w:r>
            <w:r>
              <w:rPr>
                <w:rFonts w:hint="default"/>
                <w:b/>
                <w:bCs/>
                <w:color w:val="FF0000"/>
                <w:highlight w:val="none"/>
                <w:vertAlign w:val="superscript"/>
              </w:rPr>
              <w:t>3</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991"/>
              <w:gridCol w:w="1049"/>
              <w:gridCol w:w="829"/>
              <w:gridCol w:w="940"/>
              <w:gridCol w:w="1190"/>
            </w:tblGrid>
            <w:tr w14:paraId="6F2873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2769CB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污染物</w:t>
                  </w:r>
                </w:p>
              </w:tc>
              <w:tc>
                <w:tcPr>
                  <w:tcW w:w="2979" w:type="dxa"/>
                  <w:tcBorders>
                    <w:tl2br w:val="nil"/>
                    <w:tr2bl w:val="nil"/>
                  </w:tcBorders>
                  <w:vAlign w:val="center"/>
                </w:tcPr>
                <w:p w14:paraId="20B731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年评价指标</w:t>
                  </w:r>
                </w:p>
              </w:tc>
              <w:tc>
                <w:tcPr>
                  <w:tcW w:w="1045" w:type="dxa"/>
                  <w:tcBorders>
                    <w:tl2br w:val="nil"/>
                    <w:tr2bl w:val="nil"/>
                  </w:tcBorders>
                  <w:vAlign w:val="center"/>
                </w:tcPr>
                <w:p w14:paraId="23FD54F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现状浓度</w:t>
                  </w:r>
                </w:p>
              </w:tc>
              <w:tc>
                <w:tcPr>
                  <w:tcW w:w="826" w:type="dxa"/>
                  <w:tcBorders>
                    <w:tl2br w:val="nil"/>
                    <w:tr2bl w:val="nil"/>
                  </w:tcBorders>
                  <w:vAlign w:val="center"/>
                </w:tcPr>
                <w:p w14:paraId="0FBDC06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标准值</w:t>
                  </w:r>
                </w:p>
              </w:tc>
              <w:tc>
                <w:tcPr>
                  <w:tcW w:w="936" w:type="dxa"/>
                  <w:tcBorders>
                    <w:tl2br w:val="nil"/>
                    <w:tr2bl w:val="nil"/>
                  </w:tcBorders>
                  <w:vAlign w:val="center"/>
                </w:tcPr>
                <w:p w14:paraId="3EED3F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rPr>
                    <w:t>占标率</w:t>
                  </w:r>
                  <w:r>
                    <w:rPr>
                      <w:rFonts w:hint="default" w:ascii="Times New Roman" w:hAnsi="Times New Roman" w:eastAsia="宋体" w:cs="Times New Roman"/>
                      <w:color w:val="FF0000"/>
                      <w:sz w:val="18"/>
                      <w:szCs w:val="18"/>
                      <w:highlight w:val="none"/>
                      <w:lang w:val="en-US" w:eastAsia="zh-CN"/>
                    </w:rPr>
                    <w:t>%</w:t>
                  </w:r>
                </w:p>
              </w:tc>
              <w:tc>
                <w:tcPr>
                  <w:tcW w:w="1185" w:type="dxa"/>
                  <w:tcBorders>
                    <w:tl2br w:val="nil"/>
                    <w:tr2bl w:val="nil"/>
                  </w:tcBorders>
                  <w:vAlign w:val="center"/>
                </w:tcPr>
                <w:p w14:paraId="11CBA52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达标情况</w:t>
                  </w:r>
                </w:p>
              </w:tc>
            </w:tr>
            <w:tr w14:paraId="73F108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5A6A315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2.5</w:t>
                  </w:r>
                </w:p>
              </w:tc>
              <w:tc>
                <w:tcPr>
                  <w:tcW w:w="2979" w:type="dxa"/>
                  <w:tcBorders>
                    <w:tl2br w:val="nil"/>
                    <w:tr2bl w:val="nil"/>
                  </w:tcBorders>
                  <w:vAlign w:val="center"/>
                </w:tcPr>
                <w:p w14:paraId="3178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45682CA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27</w:t>
                  </w:r>
                </w:p>
              </w:tc>
              <w:tc>
                <w:tcPr>
                  <w:tcW w:w="826" w:type="dxa"/>
                  <w:tcBorders>
                    <w:tl2br w:val="nil"/>
                    <w:tr2bl w:val="nil"/>
                  </w:tcBorders>
                  <w:vAlign w:val="center"/>
                </w:tcPr>
                <w:p w14:paraId="2DBE94E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35</w:t>
                  </w:r>
                </w:p>
              </w:tc>
              <w:tc>
                <w:tcPr>
                  <w:tcW w:w="936" w:type="dxa"/>
                  <w:tcBorders>
                    <w:tl2br w:val="nil"/>
                    <w:tr2bl w:val="nil"/>
                  </w:tcBorders>
                  <w:vAlign w:val="center"/>
                </w:tcPr>
                <w:p w14:paraId="4C9448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77.1</w:t>
                  </w:r>
                </w:p>
              </w:tc>
              <w:tc>
                <w:tcPr>
                  <w:tcW w:w="1185" w:type="dxa"/>
                  <w:tcBorders>
                    <w:tl2br w:val="nil"/>
                    <w:tr2bl w:val="nil"/>
                  </w:tcBorders>
                  <w:vAlign w:val="center"/>
                </w:tcPr>
                <w:p w14:paraId="44E546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达</w:t>
                  </w:r>
                  <w:r>
                    <w:rPr>
                      <w:rFonts w:hint="default" w:ascii="Times New Roman" w:hAnsi="Times New Roman" w:eastAsia="宋体" w:cs="Times New Roman"/>
                      <w:color w:val="FF0000"/>
                      <w:sz w:val="18"/>
                      <w:szCs w:val="18"/>
                      <w:highlight w:val="none"/>
                    </w:rPr>
                    <w:t>标</w:t>
                  </w:r>
                </w:p>
              </w:tc>
            </w:tr>
            <w:tr w14:paraId="2726DE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9B2B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10</w:t>
                  </w:r>
                </w:p>
              </w:tc>
              <w:tc>
                <w:tcPr>
                  <w:tcW w:w="2979" w:type="dxa"/>
                  <w:tcBorders>
                    <w:tl2br w:val="nil"/>
                    <w:tr2bl w:val="nil"/>
                  </w:tcBorders>
                  <w:vAlign w:val="center"/>
                </w:tcPr>
                <w:p w14:paraId="608203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32D68B3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46</w:t>
                  </w:r>
                </w:p>
              </w:tc>
              <w:tc>
                <w:tcPr>
                  <w:tcW w:w="826" w:type="dxa"/>
                  <w:tcBorders>
                    <w:tl2br w:val="nil"/>
                    <w:tr2bl w:val="nil"/>
                  </w:tcBorders>
                  <w:vAlign w:val="center"/>
                </w:tcPr>
                <w:p w14:paraId="3D7424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70</w:t>
                  </w:r>
                </w:p>
              </w:tc>
              <w:tc>
                <w:tcPr>
                  <w:tcW w:w="936" w:type="dxa"/>
                  <w:tcBorders>
                    <w:tl2br w:val="nil"/>
                    <w:tr2bl w:val="nil"/>
                  </w:tcBorders>
                  <w:vAlign w:val="center"/>
                </w:tcPr>
                <w:p w14:paraId="73BFC2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65.7</w:t>
                  </w:r>
                </w:p>
              </w:tc>
              <w:tc>
                <w:tcPr>
                  <w:tcW w:w="1185" w:type="dxa"/>
                  <w:tcBorders>
                    <w:tl2br w:val="nil"/>
                    <w:tr2bl w:val="nil"/>
                  </w:tcBorders>
                  <w:vAlign w:val="center"/>
                </w:tcPr>
                <w:p w14:paraId="774BFCE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4B88B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D2C06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NO</w:t>
                  </w:r>
                  <w:r>
                    <w:rPr>
                      <w:rFonts w:hint="default" w:ascii="Times New Roman" w:hAnsi="Times New Roman" w:eastAsia="宋体" w:cs="Times New Roman"/>
                      <w:color w:val="FF0000"/>
                      <w:sz w:val="18"/>
                      <w:szCs w:val="18"/>
                      <w:highlight w:val="none"/>
                      <w:vertAlign w:val="subscript"/>
                    </w:rPr>
                    <w:t>2</w:t>
                  </w:r>
                </w:p>
              </w:tc>
              <w:tc>
                <w:tcPr>
                  <w:tcW w:w="2979" w:type="dxa"/>
                  <w:tcBorders>
                    <w:tl2br w:val="nil"/>
                    <w:tr2bl w:val="nil"/>
                  </w:tcBorders>
                  <w:vAlign w:val="center"/>
                </w:tcPr>
                <w:p w14:paraId="4A350A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66EF31A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17</w:t>
                  </w:r>
                </w:p>
              </w:tc>
              <w:tc>
                <w:tcPr>
                  <w:tcW w:w="826" w:type="dxa"/>
                  <w:tcBorders>
                    <w:tl2br w:val="nil"/>
                    <w:tr2bl w:val="nil"/>
                  </w:tcBorders>
                  <w:vAlign w:val="center"/>
                </w:tcPr>
                <w:p w14:paraId="47DD731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40</w:t>
                  </w:r>
                </w:p>
              </w:tc>
              <w:tc>
                <w:tcPr>
                  <w:tcW w:w="936" w:type="dxa"/>
                  <w:tcBorders>
                    <w:tl2br w:val="nil"/>
                    <w:tr2bl w:val="nil"/>
                  </w:tcBorders>
                  <w:vAlign w:val="center"/>
                </w:tcPr>
                <w:p w14:paraId="3064A36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42.5</w:t>
                  </w:r>
                </w:p>
              </w:tc>
              <w:tc>
                <w:tcPr>
                  <w:tcW w:w="1185" w:type="dxa"/>
                  <w:tcBorders>
                    <w:tl2br w:val="nil"/>
                    <w:tr2bl w:val="nil"/>
                  </w:tcBorders>
                  <w:vAlign w:val="center"/>
                </w:tcPr>
                <w:p w14:paraId="37C370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2A5C66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414A5F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SO</w:t>
                  </w:r>
                  <w:r>
                    <w:rPr>
                      <w:rFonts w:hint="default" w:ascii="Times New Roman" w:hAnsi="Times New Roman" w:eastAsia="宋体" w:cs="Times New Roman"/>
                      <w:color w:val="FF0000"/>
                      <w:sz w:val="18"/>
                      <w:szCs w:val="18"/>
                      <w:highlight w:val="none"/>
                      <w:vertAlign w:val="subscript"/>
                    </w:rPr>
                    <w:t>2</w:t>
                  </w:r>
                </w:p>
              </w:tc>
              <w:tc>
                <w:tcPr>
                  <w:tcW w:w="2979" w:type="dxa"/>
                  <w:tcBorders>
                    <w:tl2br w:val="nil"/>
                    <w:tr2bl w:val="nil"/>
                  </w:tcBorders>
                  <w:vAlign w:val="center"/>
                </w:tcPr>
                <w:p w14:paraId="4B17F55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tcBorders>
                    <w:tl2br w:val="nil"/>
                    <w:tr2bl w:val="nil"/>
                  </w:tcBorders>
                  <w:vAlign w:val="center"/>
                </w:tcPr>
                <w:p w14:paraId="222DE99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8</w:t>
                  </w:r>
                </w:p>
              </w:tc>
              <w:tc>
                <w:tcPr>
                  <w:tcW w:w="826" w:type="dxa"/>
                  <w:tcBorders>
                    <w:tl2br w:val="nil"/>
                    <w:tr2bl w:val="nil"/>
                  </w:tcBorders>
                  <w:vAlign w:val="center"/>
                </w:tcPr>
                <w:p w14:paraId="44CFFC3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60</w:t>
                  </w:r>
                </w:p>
              </w:tc>
              <w:tc>
                <w:tcPr>
                  <w:tcW w:w="936" w:type="dxa"/>
                  <w:tcBorders>
                    <w:tl2br w:val="nil"/>
                    <w:tr2bl w:val="nil"/>
                  </w:tcBorders>
                  <w:vAlign w:val="center"/>
                </w:tcPr>
                <w:p w14:paraId="43ED8D6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13.3</w:t>
                  </w:r>
                </w:p>
              </w:tc>
              <w:tc>
                <w:tcPr>
                  <w:tcW w:w="1185" w:type="dxa"/>
                  <w:tcBorders>
                    <w:tl2br w:val="nil"/>
                    <w:tr2bl w:val="nil"/>
                  </w:tcBorders>
                  <w:vAlign w:val="center"/>
                </w:tcPr>
                <w:p w14:paraId="5E024E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1EEFD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36D8B1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CO</w:t>
                  </w:r>
                </w:p>
              </w:tc>
              <w:tc>
                <w:tcPr>
                  <w:tcW w:w="2979" w:type="dxa"/>
                  <w:tcBorders>
                    <w:tl2br w:val="nil"/>
                    <w:tr2bl w:val="nil"/>
                  </w:tcBorders>
                  <w:vAlign w:val="center"/>
                </w:tcPr>
                <w:p w14:paraId="097DD8B6">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第95百分位数日平均浓度（</w:t>
                  </w:r>
                  <w:r>
                    <w:rPr>
                      <w:rFonts w:hint="default" w:ascii="Times New Roman" w:hAnsi="Times New Roman" w:eastAsia="宋体" w:cs="Times New Roman"/>
                      <w:color w:val="FF0000"/>
                      <w:sz w:val="18"/>
                      <w:szCs w:val="18"/>
                      <w:highlight w:val="none"/>
                    </w:rPr>
                    <w:t>mg/m</w:t>
                  </w:r>
                  <w:r>
                    <w:rPr>
                      <w:rFonts w:hint="default" w:ascii="Times New Roman" w:hAnsi="Times New Roman" w:eastAsia="宋体" w:cs="Times New Roman"/>
                      <w:color w:val="FF0000"/>
                      <w:sz w:val="18"/>
                      <w:szCs w:val="18"/>
                      <w:highlight w:val="none"/>
                      <w:vertAlign w:val="superscript"/>
                    </w:rPr>
                    <w:t>3</w:t>
                  </w:r>
                  <w:r>
                    <w:rPr>
                      <w:rFonts w:hint="eastAsia" w:ascii="Times New Roman" w:hAnsi="Times New Roman" w:eastAsia="宋体" w:cs="Times New Roman"/>
                      <w:color w:val="FF0000"/>
                      <w:sz w:val="18"/>
                      <w:szCs w:val="18"/>
                      <w:highlight w:val="none"/>
                      <w:vertAlign w:val="baseline"/>
                      <w:lang w:eastAsia="zh-CN"/>
                    </w:rPr>
                    <w:t>）</w:t>
                  </w:r>
                </w:p>
              </w:tc>
              <w:tc>
                <w:tcPr>
                  <w:tcW w:w="1045" w:type="dxa"/>
                  <w:tcBorders>
                    <w:tl2br w:val="nil"/>
                    <w:tr2bl w:val="nil"/>
                  </w:tcBorders>
                  <w:vAlign w:val="center"/>
                </w:tcPr>
                <w:p w14:paraId="338156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w:t>
                  </w:r>
                </w:p>
              </w:tc>
              <w:tc>
                <w:tcPr>
                  <w:tcW w:w="826" w:type="dxa"/>
                  <w:tcBorders>
                    <w:tl2br w:val="nil"/>
                    <w:tr2bl w:val="nil"/>
                  </w:tcBorders>
                  <w:vAlign w:val="center"/>
                </w:tcPr>
                <w:p w14:paraId="3F94EB1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4.0</w:t>
                  </w:r>
                </w:p>
              </w:tc>
              <w:tc>
                <w:tcPr>
                  <w:tcW w:w="936" w:type="dxa"/>
                  <w:tcBorders>
                    <w:tl2br w:val="nil"/>
                    <w:tr2bl w:val="nil"/>
                  </w:tcBorders>
                  <w:vAlign w:val="center"/>
                </w:tcPr>
                <w:p w14:paraId="1697D0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25</w:t>
                  </w:r>
                </w:p>
              </w:tc>
              <w:tc>
                <w:tcPr>
                  <w:tcW w:w="1185" w:type="dxa"/>
                  <w:tcBorders>
                    <w:tl2br w:val="nil"/>
                    <w:tr2bl w:val="nil"/>
                  </w:tcBorders>
                  <w:vAlign w:val="center"/>
                </w:tcPr>
                <w:p w14:paraId="112101D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73BA82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E74D7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O</w:t>
                  </w:r>
                  <w:r>
                    <w:rPr>
                      <w:rFonts w:hint="eastAsia" w:cs="Times New Roman"/>
                      <w:color w:val="FF0000"/>
                      <w:sz w:val="18"/>
                      <w:szCs w:val="18"/>
                      <w:highlight w:val="none"/>
                      <w:vertAlign w:val="subscript"/>
                      <w:lang w:val="en-US" w:eastAsia="zh-CN"/>
                    </w:rPr>
                    <w:t>3</w:t>
                  </w:r>
                </w:p>
              </w:tc>
              <w:tc>
                <w:tcPr>
                  <w:tcW w:w="2979" w:type="dxa"/>
                  <w:tcBorders>
                    <w:tl2br w:val="nil"/>
                    <w:tr2bl w:val="nil"/>
                  </w:tcBorders>
                  <w:vAlign w:val="center"/>
                </w:tcPr>
                <w:p w14:paraId="2DDC4AF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第90</w:t>
                  </w:r>
                  <w:r>
                    <w:rPr>
                      <w:rFonts w:hint="default" w:ascii="Times New Roman" w:hAnsi="Times New Roman" w:eastAsia="宋体" w:cs="Times New Roman"/>
                      <w:color w:val="FF0000"/>
                      <w:sz w:val="18"/>
                      <w:szCs w:val="18"/>
                      <w:highlight w:val="none"/>
                    </w:rPr>
                    <w:t>百分位数8h平均</w:t>
                  </w:r>
                  <w:r>
                    <w:rPr>
                      <w:rFonts w:hint="eastAsia" w:cs="Times New Roman"/>
                      <w:color w:val="FF0000"/>
                      <w:sz w:val="18"/>
                      <w:szCs w:val="18"/>
                      <w:highlight w:val="none"/>
                      <w:lang w:val="en-US" w:eastAsia="zh-CN"/>
                    </w:rPr>
                    <w:t>质量</w:t>
                  </w:r>
                  <w:r>
                    <w:rPr>
                      <w:rFonts w:hint="default" w:ascii="Times New Roman" w:hAnsi="Times New Roman" w:eastAsia="宋体" w:cs="Times New Roman"/>
                      <w:color w:val="FF0000"/>
                      <w:sz w:val="18"/>
                      <w:szCs w:val="18"/>
                      <w:highlight w:val="none"/>
                    </w:rPr>
                    <w:t>浓度</w:t>
                  </w:r>
                </w:p>
              </w:tc>
              <w:tc>
                <w:tcPr>
                  <w:tcW w:w="1045" w:type="dxa"/>
                  <w:tcBorders>
                    <w:tl2br w:val="nil"/>
                    <w:tr2bl w:val="nil"/>
                  </w:tcBorders>
                  <w:vAlign w:val="center"/>
                </w:tcPr>
                <w:p w14:paraId="3F42EE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90</w:t>
                  </w:r>
                </w:p>
              </w:tc>
              <w:tc>
                <w:tcPr>
                  <w:tcW w:w="826" w:type="dxa"/>
                  <w:tcBorders>
                    <w:tl2br w:val="nil"/>
                    <w:tr2bl w:val="nil"/>
                  </w:tcBorders>
                  <w:vAlign w:val="center"/>
                </w:tcPr>
                <w:p w14:paraId="35DA1A5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160</w:t>
                  </w:r>
                </w:p>
              </w:tc>
              <w:tc>
                <w:tcPr>
                  <w:tcW w:w="936" w:type="dxa"/>
                  <w:tcBorders>
                    <w:tl2br w:val="nil"/>
                    <w:tr2bl w:val="nil"/>
                  </w:tcBorders>
                  <w:vAlign w:val="center"/>
                </w:tcPr>
                <w:p w14:paraId="5D32865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56.3</w:t>
                  </w:r>
                </w:p>
              </w:tc>
              <w:tc>
                <w:tcPr>
                  <w:tcW w:w="1185" w:type="dxa"/>
                  <w:tcBorders>
                    <w:tl2br w:val="nil"/>
                    <w:tr2bl w:val="nil"/>
                  </w:tcBorders>
                  <w:vAlign w:val="center"/>
                </w:tcPr>
                <w:p w14:paraId="2C43F8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bl>
          <w:p w14:paraId="77E980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FF0000"/>
                <w:kern w:val="0"/>
                <w:sz w:val="21"/>
                <w:szCs w:val="21"/>
                <w:highlight w:val="none"/>
                <w:lang w:val="en-US" w:eastAsia="zh-CN"/>
              </w:rPr>
            </w:pPr>
            <w:r>
              <w:rPr>
                <w:rFonts w:hint="eastAsia" w:cs="Times New Roman"/>
                <w:color w:val="FF0000"/>
                <w:sz w:val="21"/>
                <w:szCs w:val="21"/>
                <w:highlight w:val="none"/>
                <w:lang w:val="en-US" w:eastAsia="zh-CN"/>
              </w:rPr>
              <w:t>由表3-1可知，2024年鸡西市空气基本污染物中</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2.5</w:t>
            </w:r>
            <w:r>
              <w:rPr>
                <w:rFonts w:hint="eastAsia" w:ascii="Times New Roman" w:hAnsi="Times New Roman"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10</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SO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NO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val="en-US" w:eastAsia="zh-CN"/>
              </w:rPr>
              <w:t>年平均质量浓度</w:t>
            </w:r>
            <w:r>
              <w:rPr>
                <w:rFonts w:hint="eastAsia" w:cs="Times New Roman"/>
                <w:color w:val="FF0000"/>
                <w:sz w:val="21"/>
                <w:szCs w:val="21"/>
                <w:highlight w:val="none"/>
                <w:vertAlign w:val="baseline"/>
                <w:lang w:val="en-US" w:eastAsia="zh-CN"/>
              </w:rPr>
              <w:t>及</w:t>
            </w:r>
            <w:r>
              <w:rPr>
                <w:rFonts w:hint="default" w:ascii="Times New Roman" w:hAnsi="Times New Roman" w:eastAsia="宋体" w:cs="Times New Roman"/>
                <w:color w:val="FF0000"/>
                <w:sz w:val="21"/>
                <w:szCs w:val="21"/>
                <w:highlight w:val="none"/>
              </w:rPr>
              <w:t>CO</w:t>
            </w:r>
            <w:r>
              <w:rPr>
                <w:rFonts w:hint="eastAsia" w:cs="Times New Roman"/>
                <w:color w:val="FF0000"/>
                <w:sz w:val="21"/>
                <w:szCs w:val="21"/>
                <w:highlight w:val="none"/>
                <w:lang w:val="en-US" w:eastAsia="zh-CN"/>
              </w:rPr>
              <w:t>第95百分位数日平均浓度、O</w:t>
            </w:r>
            <w:r>
              <w:rPr>
                <w:rFonts w:hint="eastAsia" w:cs="Times New Roman"/>
                <w:color w:val="FF0000"/>
                <w:sz w:val="21"/>
                <w:szCs w:val="21"/>
                <w:highlight w:val="none"/>
                <w:vertAlign w:val="subscript"/>
                <w:lang w:val="en-US" w:eastAsia="zh-CN"/>
              </w:rPr>
              <w:t>3</w:t>
            </w:r>
            <w:r>
              <w:rPr>
                <w:rFonts w:hint="eastAsia" w:cs="Times New Roman"/>
                <w:color w:val="FF0000"/>
                <w:sz w:val="21"/>
                <w:szCs w:val="21"/>
                <w:highlight w:val="none"/>
                <w:lang w:val="en-US" w:eastAsia="zh-CN"/>
              </w:rPr>
              <w:t>第90</w:t>
            </w:r>
            <w:r>
              <w:rPr>
                <w:rFonts w:hint="default" w:ascii="Times New Roman" w:hAnsi="Times New Roman" w:eastAsia="宋体" w:cs="Times New Roman"/>
                <w:color w:val="FF0000"/>
                <w:sz w:val="21"/>
                <w:szCs w:val="21"/>
                <w:highlight w:val="none"/>
              </w:rPr>
              <w:t>百分位数8h平均</w:t>
            </w:r>
            <w:r>
              <w:rPr>
                <w:rFonts w:hint="eastAsia" w:cs="Times New Roman"/>
                <w:color w:val="FF0000"/>
                <w:sz w:val="21"/>
                <w:szCs w:val="21"/>
                <w:highlight w:val="none"/>
                <w:lang w:val="en-US" w:eastAsia="zh-CN"/>
              </w:rPr>
              <w:t>质量</w:t>
            </w:r>
            <w:r>
              <w:rPr>
                <w:rFonts w:hint="default" w:ascii="Times New Roman" w:hAnsi="Times New Roman" w:eastAsia="宋体" w:cs="Times New Roman"/>
                <w:color w:val="FF0000"/>
                <w:sz w:val="21"/>
                <w:szCs w:val="21"/>
                <w:highlight w:val="none"/>
              </w:rPr>
              <w:t>浓度</w:t>
            </w:r>
            <w:r>
              <w:rPr>
                <w:rFonts w:hint="eastAsia" w:ascii="Times New Roman" w:hAnsi="Times New Roman" w:eastAsia="宋体" w:cs="Times New Roman"/>
                <w:color w:val="FF0000"/>
                <w:sz w:val="21"/>
                <w:szCs w:val="21"/>
                <w:highlight w:val="none"/>
                <w:lang w:val="en-US" w:eastAsia="zh-CN"/>
              </w:rPr>
              <w:t>均</w:t>
            </w:r>
            <w:r>
              <w:rPr>
                <w:rFonts w:hint="eastAsia" w:ascii="Times New Roman" w:hAnsi="Times New Roman" w:eastAsia="宋体" w:cs="Times New Roman"/>
                <w:color w:val="FF0000"/>
                <w:sz w:val="21"/>
                <w:szCs w:val="21"/>
                <w:highlight w:val="none"/>
                <w:vertAlign w:val="baseline"/>
                <w:lang w:val="en-US" w:eastAsia="zh-CN"/>
              </w:rPr>
              <w:t>满足</w:t>
            </w:r>
            <w:r>
              <w:rPr>
                <w:rFonts w:hint="default" w:ascii="Times New Roman" w:hAnsi="Times New Roman" w:cs="Times New Roman"/>
                <w:color w:val="FF0000"/>
                <w:kern w:val="0"/>
                <w:sz w:val="21"/>
                <w:szCs w:val="21"/>
                <w:highlight w:val="none"/>
              </w:rPr>
              <w:t>《环境空气质量标准》（GB3095-2012）中的二级标准</w:t>
            </w:r>
            <w:r>
              <w:rPr>
                <w:rFonts w:hint="eastAsia" w:cs="Times New Roman"/>
                <w:color w:val="FF0000"/>
                <w:kern w:val="0"/>
                <w:sz w:val="21"/>
                <w:szCs w:val="21"/>
                <w:highlight w:val="none"/>
                <w:lang w:eastAsia="zh-CN"/>
              </w:rPr>
              <w:t>，</w:t>
            </w:r>
            <w:r>
              <w:rPr>
                <w:rFonts w:hint="eastAsia" w:ascii="Times New Roman" w:hAnsi="Times New Roman" w:cs="Times New Roman"/>
                <w:color w:val="FF0000"/>
                <w:kern w:val="0"/>
                <w:sz w:val="21"/>
                <w:szCs w:val="21"/>
                <w:highlight w:val="none"/>
                <w:lang w:val="en-US" w:eastAsia="zh-CN"/>
              </w:rPr>
              <w:t>因此判定本项目区域环境空气质量为达标区。</w:t>
            </w:r>
          </w:p>
          <w:p w14:paraId="647A3926">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szCs w:val="21"/>
                <w:highlight w:val="none"/>
                <w:lang w:val="en-US" w:eastAsia="zh-CN"/>
              </w:rPr>
              <w:t>其他</w:t>
            </w:r>
            <w:r>
              <w:rPr>
                <w:rFonts w:hint="default" w:ascii="Times New Roman" w:hAnsi="Times New Roman" w:cs="Times New Roman"/>
                <w:color w:val="auto"/>
                <w:szCs w:val="21"/>
                <w:highlight w:val="none"/>
              </w:rPr>
              <w:t>污染物</w:t>
            </w:r>
            <w:r>
              <w:rPr>
                <w:rFonts w:hint="eastAsia" w:ascii="Times New Roman" w:hAnsi="Times New Roman" w:cs="Times New Roman"/>
                <w:color w:val="auto"/>
                <w:szCs w:val="21"/>
                <w:highlight w:val="none"/>
                <w:lang w:eastAsia="zh-CN"/>
              </w:rPr>
              <w:t>：</w:t>
            </w:r>
          </w:p>
          <w:p w14:paraId="0BCBEC43">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r>
              <w:rPr>
                <w:rFonts w:hint="eastAsia"/>
                <w:color w:val="auto"/>
                <w:kern w:val="0"/>
                <w:sz w:val="21"/>
                <w:szCs w:val="21"/>
                <w:highlight w:val="none"/>
                <w:lang w:val="en-US" w:eastAsia="zh-CN"/>
              </w:rPr>
              <w:t>鸡西市常年主导风向为西风，</w:t>
            </w:r>
            <w:r>
              <w:rPr>
                <w:rFonts w:hint="default"/>
                <w:color w:val="auto"/>
                <w:kern w:val="0"/>
                <w:sz w:val="21"/>
                <w:szCs w:val="21"/>
                <w:highlight w:val="none"/>
              </w:rPr>
              <w:t>本项目委托</w:t>
            </w:r>
            <w:r>
              <w:rPr>
                <w:rFonts w:hint="eastAsia"/>
                <w:color w:val="auto"/>
                <w:sz w:val="21"/>
                <w:szCs w:val="21"/>
                <w:highlight w:val="none"/>
                <w:lang w:val="en-US" w:eastAsia="zh-CN"/>
              </w:rPr>
              <w:t>鸡西晟源环境检测</w:t>
            </w:r>
            <w:r>
              <w:rPr>
                <w:rFonts w:hint="default"/>
                <w:color w:val="auto"/>
                <w:sz w:val="21"/>
                <w:szCs w:val="21"/>
                <w:highlight w:val="none"/>
              </w:rPr>
              <w:t>有限公司对</w:t>
            </w:r>
            <w:r>
              <w:rPr>
                <w:rFonts w:hint="eastAsia"/>
                <w:color w:val="auto"/>
                <w:sz w:val="21"/>
                <w:szCs w:val="21"/>
                <w:highlight w:val="none"/>
                <w:lang w:val="en-US" w:eastAsia="zh-CN"/>
              </w:rPr>
              <w:t>TSP</w:t>
            </w:r>
            <w:r>
              <w:rPr>
                <w:rFonts w:hint="default"/>
                <w:color w:val="auto"/>
                <w:sz w:val="21"/>
                <w:szCs w:val="21"/>
                <w:highlight w:val="none"/>
              </w:rPr>
              <w:t>环境空气质量进行监测，监测时间202</w:t>
            </w:r>
            <w:r>
              <w:rPr>
                <w:rFonts w:hint="eastAsia"/>
                <w:color w:val="auto"/>
                <w:sz w:val="21"/>
                <w:szCs w:val="21"/>
                <w:highlight w:val="none"/>
                <w:lang w:val="en-US" w:eastAsia="zh-CN"/>
              </w:rPr>
              <w:t>4</w:t>
            </w:r>
            <w:r>
              <w:rPr>
                <w:rFonts w:hint="default"/>
                <w:color w:val="auto"/>
                <w:sz w:val="21"/>
                <w:szCs w:val="21"/>
                <w:highlight w:val="none"/>
              </w:rPr>
              <w:t>年</w:t>
            </w:r>
            <w:r>
              <w:rPr>
                <w:rFonts w:hint="eastAsia"/>
                <w:color w:val="auto"/>
                <w:sz w:val="21"/>
                <w:szCs w:val="21"/>
                <w:highlight w:val="none"/>
                <w:lang w:val="en-US" w:eastAsia="zh-CN"/>
              </w:rPr>
              <w:t>12</w:t>
            </w:r>
            <w:r>
              <w:rPr>
                <w:rFonts w:hint="default"/>
                <w:color w:val="auto"/>
                <w:sz w:val="21"/>
                <w:szCs w:val="21"/>
                <w:highlight w:val="none"/>
              </w:rPr>
              <w:t>月</w:t>
            </w:r>
            <w:r>
              <w:rPr>
                <w:rFonts w:hint="eastAsia"/>
                <w:color w:val="auto"/>
                <w:sz w:val="21"/>
                <w:szCs w:val="21"/>
                <w:highlight w:val="none"/>
                <w:lang w:val="en-US" w:eastAsia="zh-CN"/>
              </w:rPr>
              <w:t>20</w:t>
            </w:r>
            <w:r>
              <w:rPr>
                <w:rFonts w:hint="default"/>
                <w:color w:val="auto"/>
                <w:sz w:val="21"/>
                <w:szCs w:val="21"/>
                <w:highlight w:val="none"/>
              </w:rPr>
              <w:t>日-</w:t>
            </w:r>
            <w:r>
              <w:rPr>
                <w:rFonts w:hint="eastAsia"/>
                <w:color w:val="auto"/>
                <w:sz w:val="21"/>
                <w:szCs w:val="21"/>
                <w:highlight w:val="none"/>
                <w:lang w:val="en-US" w:eastAsia="zh-CN"/>
              </w:rPr>
              <w:t>12</w:t>
            </w:r>
            <w:r>
              <w:rPr>
                <w:rFonts w:hint="default"/>
                <w:color w:val="auto"/>
                <w:sz w:val="21"/>
                <w:szCs w:val="21"/>
                <w:highlight w:val="none"/>
              </w:rPr>
              <w:t>月</w:t>
            </w:r>
            <w:r>
              <w:rPr>
                <w:rFonts w:hint="eastAsia"/>
                <w:color w:val="auto"/>
                <w:sz w:val="21"/>
                <w:szCs w:val="21"/>
                <w:highlight w:val="none"/>
                <w:lang w:val="en-US" w:eastAsia="zh-CN"/>
              </w:rPr>
              <w:t>22</w:t>
            </w:r>
            <w:r>
              <w:rPr>
                <w:rFonts w:hint="default"/>
                <w:color w:val="auto"/>
                <w:sz w:val="21"/>
                <w:szCs w:val="21"/>
                <w:highlight w:val="none"/>
              </w:rPr>
              <w:t>日。</w:t>
            </w:r>
            <w:r>
              <w:rPr>
                <w:rFonts w:hint="eastAsia"/>
                <w:color w:val="auto"/>
                <w:kern w:val="0"/>
                <w:sz w:val="21"/>
                <w:szCs w:val="21"/>
                <w:highlight w:val="none"/>
              </w:rPr>
              <w:t>监测点位见图3-1</w:t>
            </w:r>
            <w:r>
              <w:rPr>
                <w:rFonts w:hint="default"/>
                <w:color w:val="auto"/>
                <w:sz w:val="21"/>
                <w:szCs w:val="21"/>
                <w:highlight w:val="none"/>
              </w:rPr>
              <w:t>。</w:t>
            </w:r>
          </w:p>
          <w:p w14:paraId="1E128772">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kern w:val="0"/>
                <w:highlight w:val="none"/>
                <w:lang w:eastAsia="zh-CN"/>
              </w:rPr>
            </w:pPr>
            <w:r>
              <w:rPr>
                <w:rFonts w:hint="default"/>
                <w:color w:val="auto"/>
              </w:rPr>
              <w:drawing>
                <wp:anchor distT="0" distB="0" distL="114300" distR="114300" simplePos="0" relativeHeight="251678720" behindDoc="0" locked="0" layoutInCell="1" allowOverlap="1">
                  <wp:simplePos x="0" y="0"/>
                  <wp:positionH relativeFrom="column">
                    <wp:posOffset>4436110</wp:posOffset>
                  </wp:positionH>
                  <wp:positionV relativeFrom="paragraph">
                    <wp:posOffset>4445</wp:posOffset>
                  </wp:positionV>
                  <wp:extent cx="629285" cy="596900"/>
                  <wp:effectExtent l="0" t="0" r="18415" b="12700"/>
                  <wp:wrapNone/>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11"/>
                          <a:stretch>
                            <a:fillRect/>
                          </a:stretch>
                        </pic:blipFill>
                        <pic:spPr>
                          <a:xfrm>
                            <a:off x="0" y="0"/>
                            <a:ext cx="629285" cy="596900"/>
                          </a:xfrm>
                          <a:prstGeom prst="rect">
                            <a:avLst/>
                          </a:prstGeom>
                          <a:noFill/>
                          <a:ln>
                            <a:noFill/>
                          </a:ln>
                        </pic:spPr>
                      </pic:pic>
                    </a:graphicData>
                  </a:graphic>
                </wp:anchor>
              </w:drawing>
            </w:r>
            <w:r>
              <w:rPr>
                <w:rFonts w:hint="default"/>
                <w:color w:val="auto"/>
              </w:rPr>
              <w:drawing>
                <wp:anchor distT="0" distB="0" distL="114300" distR="114300" simplePos="0" relativeHeight="251677696" behindDoc="0" locked="0" layoutInCell="1" allowOverlap="1">
                  <wp:simplePos x="0" y="0"/>
                  <wp:positionH relativeFrom="column">
                    <wp:posOffset>2245995</wp:posOffset>
                  </wp:positionH>
                  <wp:positionV relativeFrom="paragraph">
                    <wp:posOffset>448310</wp:posOffset>
                  </wp:positionV>
                  <wp:extent cx="302895" cy="282575"/>
                  <wp:effectExtent l="0" t="0" r="1905" b="3175"/>
                  <wp:wrapNone/>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2"/>
                          <a:stretch>
                            <a:fillRect/>
                          </a:stretch>
                        </pic:blipFill>
                        <pic:spPr>
                          <a:xfrm>
                            <a:off x="0" y="0"/>
                            <a:ext cx="302895" cy="282575"/>
                          </a:xfrm>
                          <a:prstGeom prst="rect">
                            <a:avLst/>
                          </a:prstGeom>
                          <a:noFill/>
                          <a:ln>
                            <a:noFill/>
                          </a:ln>
                        </pic:spPr>
                      </pic:pic>
                    </a:graphicData>
                  </a:graphic>
                </wp:anchor>
              </w:drawing>
            </w:r>
            <w:r>
              <w:rPr>
                <w:rFonts w:hint="default"/>
                <w:color w:val="auto"/>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3928745</wp:posOffset>
                      </wp:positionH>
                      <wp:positionV relativeFrom="paragraph">
                        <wp:posOffset>1926590</wp:posOffset>
                      </wp:positionV>
                      <wp:extent cx="1130300" cy="855345"/>
                      <wp:effectExtent l="4445" t="4445" r="8255" b="16510"/>
                      <wp:wrapNone/>
                      <wp:docPr id="34" name="文本框 34"/>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AD1A95F">
                                  <w:pPr>
                                    <w:jc w:val="center"/>
                                    <w:rPr>
                                      <w:rFonts w:hint="eastAsia"/>
                                      <w:lang w:val="en-US" w:eastAsia="zh-CN"/>
                                    </w:rPr>
                                  </w:pPr>
                                  <w:r>
                                    <w:rPr>
                                      <w:rFonts w:hint="eastAsia"/>
                                      <w:lang w:val="en-US" w:eastAsia="zh-CN"/>
                                    </w:rPr>
                                    <w:t>图例</w:t>
                                  </w:r>
                                </w:p>
                                <w:p w14:paraId="7D0DFECD">
                                  <w:pPr>
                                    <w:jc w:val="both"/>
                                    <w:rPr>
                                      <w:rFonts w:hint="default"/>
                                      <w:lang w:val="en-US" w:eastAsia="zh-CN"/>
                                    </w:rPr>
                                  </w:pPr>
                                  <w:r>
                                    <w:rPr>
                                      <w:rFonts w:hint="eastAsia"/>
                                      <w:color w:val="FF0000"/>
                                      <w:lang w:val="en-US" w:eastAsia="zh-CN"/>
                                    </w:rPr>
                                    <w:t>□</w:t>
                                  </w:r>
                                  <w:r>
                                    <w:rPr>
                                      <w:rFonts w:hint="eastAsia"/>
                                      <w:lang w:val="en-US" w:eastAsia="zh-CN"/>
                                    </w:rPr>
                                    <w:t>项目位置</w:t>
                                  </w:r>
                                </w:p>
                                <w:p w14:paraId="7C2A7B8E">
                                  <w:pPr>
                                    <w:jc w:val="both"/>
                                    <w:rPr>
                                      <w:rFonts w:hint="eastAsia" w:eastAsia="宋体"/>
                                      <w:lang w:val="en-US" w:eastAsia="zh-CN"/>
                                    </w:rPr>
                                  </w:pPr>
                                  <w:r>
                                    <w:drawing>
                                      <wp:inline distT="0" distB="0" distL="114300" distR="114300">
                                        <wp:extent cx="302895" cy="282575"/>
                                        <wp:effectExtent l="0" t="0" r="1905" b="3175"/>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2"/>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txbxContent>
                            </wps:txbx>
                            <wps:bodyPr upright="1"/>
                          </wps:wsp>
                        </a:graphicData>
                      </a:graphic>
                    </wp:anchor>
                  </w:drawing>
                </mc:Choice>
                <mc:Fallback>
                  <w:pict>
                    <v:shape id="_x0000_s1026" o:spid="_x0000_s1026" o:spt="202" type="#_x0000_t202" style="position:absolute;left:0pt;margin-left:309.35pt;margin-top:151.7pt;height:67.35pt;width:89pt;z-index:251667456;mso-width-relative:page;mso-height-relative:page;" fillcolor="#FFFFFF" filled="t" stroked="t" coordsize="21600,21600" o:gfxdata="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KdbJLdoAAAALAQAADwAAAAAAAAABACAA&#10;AAAiAAAAZHJzL2Rvd25yZXYueG1sUEsBAhQAFAAAAAgAh07iQG2nP7QLAgAAOAQAAA4AAAAAAAAA&#10;AQAgAAAAKQEAAGRycy9lMm9Eb2MueG1sUEsFBgAAAAAGAAYAWQEAAKYFAAAAAA==&#10;">
                      <v:fill on="t" focussize="0,0"/>
                      <v:stroke color="#000000" joinstyle="miter"/>
                      <v:imagedata o:title=""/>
                      <o:lock v:ext="edit" aspectratio="f"/>
                      <v:textbox>
                        <w:txbxContent>
                          <w:p w14:paraId="2AD1A95F">
                            <w:pPr>
                              <w:jc w:val="center"/>
                              <w:rPr>
                                <w:rFonts w:hint="eastAsia"/>
                                <w:lang w:val="en-US" w:eastAsia="zh-CN"/>
                              </w:rPr>
                            </w:pPr>
                            <w:r>
                              <w:rPr>
                                <w:rFonts w:hint="eastAsia"/>
                                <w:lang w:val="en-US" w:eastAsia="zh-CN"/>
                              </w:rPr>
                              <w:t>图例</w:t>
                            </w:r>
                          </w:p>
                          <w:p w14:paraId="7D0DFECD">
                            <w:pPr>
                              <w:jc w:val="both"/>
                              <w:rPr>
                                <w:rFonts w:hint="default"/>
                                <w:lang w:val="en-US" w:eastAsia="zh-CN"/>
                              </w:rPr>
                            </w:pPr>
                            <w:r>
                              <w:rPr>
                                <w:rFonts w:hint="eastAsia"/>
                                <w:color w:val="FF0000"/>
                                <w:lang w:val="en-US" w:eastAsia="zh-CN"/>
                              </w:rPr>
                              <w:t>□</w:t>
                            </w:r>
                            <w:r>
                              <w:rPr>
                                <w:rFonts w:hint="eastAsia"/>
                                <w:lang w:val="en-US" w:eastAsia="zh-CN"/>
                              </w:rPr>
                              <w:t>项目位置</w:t>
                            </w:r>
                          </w:p>
                          <w:p w14:paraId="7C2A7B8E">
                            <w:pPr>
                              <w:jc w:val="both"/>
                              <w:rPr>
                                <w:rFonts w:hint="eastAsia" w:eastAsia="宋体"/>
                                <w:lang w:val="en-US" w:eastAsia="zh-CN"/>
                              </w:rPr>
                            </w:pPr>
                            <w:r>
                              <w:drawing>
                                <wp:inline distT="0" distB="0" distL="114300" distR="114300">
                                  <wp:extent cx="302895" cy="282575"/>
                                  <wp:effectExtent l="0" t="0" r="1905" b="3175"/>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2"/>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txbxContent>
                      </v:textbox>
                    </v:shape>
                  </w:pict>
                </mc:Fallback>
              </mc:AlternateContent>
            </w:r>
            <w:r>
              <w:rPr>
                <w:rFonts w:hint="default"/>
                <w:color w:val="auto"/>
                <w:highlight w:val="none"/>
              </w:rPr>
              <w:drawing>
                <wp:inline distT="0" distB="0" distL="114300" distR="114300">
                  <wp:extent cx="5059680" cy="2798445"/>
                  <wp:effectExtent l="0" t="0" r="7620" b="1905"/>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13"/>
                          <a:stretch>
                            <a:fillRect/>
                          </a:stretch>
                        </pic:blipFill>
                        <pic:spPr>
                          <a:xfrm>
                            <a:off x="0" y="0"/>
                            <a:ext cx="5059680" cy="2798445"/>
                          </a:xfrm>
                          <a:prstGeom prst="rect">
                            <a:avLst/>
                          </a:prstGeom>
                          <a:noFill/>
                          <a:ln>
                            <a:noFill/>
                          </a:ln>
                        </pic:spPr>
                      </pic:pic>
                    </a:graphicData>
                  </a:graphic>
                </wp:inline>
              </w:drawing>
            </w:r>
            <w:r>
              <w:rPr>
                <w:rFonts w:hint="default" w:ascii="Times New Roman" w:hAnsi="Times New Roman" w:cs="Times New Roman"/>
                <w:b/>
                <w:color w:val="auto"/>
                <w:kern w:val="0"/>
                <w:highlight w:val="none"/>
              </w:rPr>
              <w:t>图3-</w:t>
            </w:r>
            <w:r>
              <w:rPr>
                <w:rFonts w:hint="default" w:ascii="Times New Roman" w:hAnsi="Times New Roman" w:cs="Times New Roman"/>
                <w:b/>
                <w:color w:val="auto"/>
                <w:kern w:val="0"/>
                <w:highlight w:val="none"/>
                <w:lang w:val="en-US" w:eastAsia="zh-CN"/>
              </w:rPr>
              <w:t>1</w:t>
            </w:r>
            <w:r>
              <w:rPr>
                <w:rFonts w:hint="eastAsia" w:cs="Times New Roman"/>
                <w:b/>
                <w:color w:val="auto"/>
                <w:kern w:val="0"/>
                <w:highlight w:val="none"/>
                <w:lang w:val="en-US" w:eastAsia="zh-CN"/>
              </w:rPr>
              <w:t xml:space="preserve"> </w:t>
            </w:r>
            <w:r>
              <w:rPr>
                <w:rFonts w:hint="default" w:ascii="Times New Roman" w:hAnsi="Times New Roman" w:cs="Times New Roman"/>
                <w:b/>
                <w:color w:val="auto"/>
                <w:kern w:val="0"/>
                <w:highlight w:val="none"/>
              </w:rPr>
              <w:t>大气监测点位图</w:t>
            </w:r>
          </w:p>
          <w:p w14:paraId="0683316F">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监测点基本信息见表3-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，评价结果见表3-</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w:t>
            </w:r>
          </w:p>
          <w:p w14:paraId="21B7B4F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rPr>
              <w:t xml:space="preserve"> 监测点基本信息表</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582"/>
              <w:gridCol w:w="1042"/>
              <w:gridCol w:w="1288"/>
              <w:gridCol w:w="1350"/>
              <w:gridCol w:w="1576"/>
            </w:tblGrid>
            <w:tr w14:paraId="6EA88B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8" w:type="dxa"/>
                  <w:tcBorders>
                    <w:top w:val="single" w:color="auto" w:sz="8" w:space="0"/>
                    <w:bottom w:val="single" w:color="auto" w:sz="4" w:space="0"/>
                    <w:right w:val="single" w:color="auto" w:sz="4" w:space="0"/>
                  </w:tcBorders>
                  <w:noWrap w:val="0"/>
                  <w:vAlign w:val="center"/>
                </w:tcPr>
                <w:p w14:paraId="590C8FC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1583" w:type="dxa"/>
                  <w:tcBorders>
                    <w:top w:val="single" w:color="auto" w:sz="8" w:space="0"/>
                    <w:left w:val="single" w:color="auto" w:sz="4" w:space="0"/>
                    <w:bottom w:val="single" w:color="auto" w:sz="4" w:space="0"/>
                    <w:right w:val="single" w:color="auto" w:sz="4" w:space="0"/>
                  </w:tcBorders>
                  <w:noWrap w:val="0"/>
                  <w:vAlign w:val="center"/>
                </w:tcPr>
                <w:p w14:paraId="0E442EA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坐标</w:t>
                  </w:r>
                </w:p>
              </w:tc>
              <w:tc>
                <w:tcPr>
                  <w:tcW w:w="1042" w:type="dxa"/>
                  <w:tcBorders>
                    <w:top w:val="single" w:color="auto" w:sz="8" w:space="0"/>
                    <w:left w:val="single" w:color="auto" w:sz="4" w:space="0"/>
                    <w:bottom w:val="single" w:color="auto" w:sz="4" w:space="0"/>
                    <w:right w:val="single" w:color="auto" w:sz="4" w:space="0"/>
                  </w:tcBorders>
                  <w:noWrap w:val="0"/>
                  <w:vAlign w:val="center"/>
                </w:tcPr>
                <w:p w14:paraId="54650B6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监测因子</w:t>
                  </w:r>
                </w:p>
              </w:tc>
              <w:tc>
                <w:tcPr>
                  <w:tcW w:w="1288" w:type="dxa"/>
                  <w:tcBorders>
                    <w:top w:val="single" w:color="auto" w:sz="8" w:space="0"/>
                    <w:left w:val="single" w:color="auto" w:sz="4" w:space="0"/>
                    <w:bottom w:val="single" w:color="auto" w:sz="4" w:space="0"/>
                    <w:right w:val="single" w:color="auto" w:sz="4" w:space="0"/>
                  </w:tcBorders>
                  <w:noWrap w:val="0"/>
                  <w:vAlign w:val="center"/>
                </w:tcPr>
                <w:p w14:paraId="62E24F1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监测时段</w:t>
                  </w:r>
                </w:p>
              </w:tc>
              <w:tc>
                <w:tcPr>
                  <w:tcW w:w="1350" w:type="dxa"/>
                  <w:tcBorders>
                    <w:top w:val="single" w:color="auto" w:sz="8" w:space="0"/>
                    <w:left w:val="single" w:color="auto" w:sz="4" w:space="0"/>
                    <w:bottom w:val="single" w:color="auto" w:sz="4" w:space="0"/>
                    <w:right w:val="single" w:color="auto" w:sz="4" w:space="0"/>
                  </w:tcBorders>
                  <w:noWrap w:val="0"/>
                  <w:vAlign w:val="center"/>
                </w:tcPr>
                <w:p w14:paraId="37B8E0B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相对厂址方位</w:t>
                  </w:r>
                </w:p>
              </w:tc>
              <w:tc>
                <w:tcPr>
                  <w:tcW w:w="1576" w:type="dxa"/>
                  <w:tcBorders>
                    <w:top w:val="single" w:color="auto" w:sz="8" w:space="0"/>
                    <w:left w:val="single" w:color="auto" w:sz="4" w:space="0"/>
                    <w:bottom w:val="single" w:color="auto" w:sz="4" w:space="0"/>
                  </w:tcBorders>
                  <w:noWrap w:val="0"/>
                  <w:vAlign w:val="center"/>
                </w:tcPr>
                <w:p w14:paraId="757C500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相对厂界距离/m</w:t>
                  </w:r>
                </w:p>
              </w:tc>
            </w:tr>
            <w:tr w14:paraId="3BBC21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8" w:type="dxa"/>
                  <w:tcBorders>
                    <w:top w:val="single" w:color="auto" w:sz="4" w:space="0"/>
                    <w:right w:val="single" w:color="auto" w:sz="4" w:space="0"/>
                  </w:tcBorders>
                  <w:noWrap w:val="0"/>
                  <w:vAlign w:val="center"/>
                </w:tcPr>
                <w:p w14:paraId="2695789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主导风向厂区下风向100米处</w:t>
                  </w:r>
                </w:p>
              </w:tc>
              <w:tc>
                <w:tcPr>
                  <w:tcW w:w="1583" w:type="dxa"/>
                  <w:tcBorders>
                    <w:top w:val="single" w:color="auto" w:sz="4" w:space="0"/>
                    <w:left w:val="single" w:color="auto" w:sz="4" w:space="0"/>
                    <w:right w:val="single" w:color="auto" w:sz="4" w:space="0"/>
                  </w:tcBorders>
                  <w:noWrap w:val="0"/>
                  <w:vAlign w:val="center"/>
                </w:tcPr>
                <w:p w14:paraId="215364A2">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131.517822</w:t>
                  </w:r>
                </w:p>
                <w:p w14:paraId="35671A2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45.236125</w:t>
                  </w:r>
                </w:p>
              </w:tc>
              <w:tc>
                <w:tcPr>
                  <w:tcW w:w="1042" w:type="dxa"/>
                  <w:tcBorders>
                    <w:top w:val="single" w:color="auto" w:sz="4" w:space="0"/>
                    <w:left w:val="single" w:color="auto" w:sz="4" w:space="0"/>
                    <w:bottom w:val="single" w:color="auto" w:sz="4" w:space="0"/>
                    <w:right w:val="single" w:color="auto" w:sz="4" w:space="0"/>
                  </w:tcBorders>
                  <w:noWrap w:val="0"/>
                  <w:vAlign w:val="center"/>
                </w:tcPr>
                <w:p w14:paraId="50C36A2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TSP</w:t>
                  </w:r>
                </w:p>
              </w:tc>
              <w:tc>
                <w:tcPr>
                  <w:tcW w:w="1288" w:type="dxa"/>
                  <w:tcBorders>
                    <w:top w:val="single" w:color="auto" w:sz="4" w:space="0"/>
                    <w:left w:val="single" w:color="auto" w:sz="4" w:space="0"/>
                    <w:bottom w:val="single" w:color="auto" w:sz="4" w:space="0"/>
                    <w:right w:val="single" w:color="auto" w:sz="4" w:space="0"/>
                  </w:tcBorders>
                  <w:noWrap w:val="0"/>
                  <w:vAlign w:val="center"/>
                </w:tcPr>
                <w:p w14:paraId="40BB5D22">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24</w:t>
                  </w:r>
                  <w:r>
                    <w:rPr>
                      <w:rFonts w:hint="eastAsia" w:cs="Times New Roman"/>
                      <w:color w:val="auto"/>
                      <w:kern w:val="0"/>
                      <w:sz w:val="18"/>
                      <w:szCs w:val="18"/>
                      <w:highlight w:val="none"/>
                      <w:lang w:val="en-US" w:eastAsia="zh-CN"/>
                    </w:rPr>
                    <w:t>h</w:t>
                  </w:r>
                  <w:r>
                    <w:rPr>
                      <w:rFonts w:hint="default" w:ascii="Times New Roman" w:hAnsi="Times New Roman" w:cs="Times New Roman"/>
                      <w:color w:val="auto"/>
                      <w:kern w:val="0"/>
                      <w:sz w:val="18"/>
                      <w:szCs w:val="18"/>
                      <w:highlight w:val="none"/>
                    </w:rPr>
                    <w:t>平均</w:t>
                  </w:r>
                </w:p>
              </w:tc>
              <w:tc>
                <w:tcPr>
                  <w:tcW w:w="1350" w:type="dxa"/>
                  <w:tcBorders>
                    <w:top w:val="single" w:color="auto" w:sz="4" w:space="0"/>
                    <w:left w:val="single" w:color="auto" w:sz="4" w:space="0"/>
                    <w:right w:val="single" w:color="auto" w:sz="4" w:space="0"/>
                  </w:tcBorders>
                  <w:noWrap w:val="0"/>
                  <w:vAlign w:val="center"/>
                </w:tcPr>
                <w:p w14:paraId="3E8BB45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东</w:t>
                  </w:r>
                </w:p>
              </w:tc>
              <w:tc>
                <w:tcPr>
                  <w:tcW w:w="1576" w:type="dxa"/>
                  <w:tcBorders>
                    <w:top w:val="single" w:color="auto" w:sz="4" w:space="0"/>
                    <w:left w:val="single" w:color="auto" w:sz="4" w:space="0"/>
                  </w:tcBorders>
                  <w:noWrap w:val="0"/>
                  <w:vAlign w:val="center"/>
                </w:tcPr>
                <w:p w14:paraId="6818D00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r>
          </w:tbl>
          <w:p w14:paraId="1542F21C">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color w:val="auto"/>
                <w:highlight w:val="none"/>
              </w:rPr>
            </w:pPr>
          </w:p>
          <w:p w14:paraId="77F10CC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3</w:t>
            </w:r>
            <w:r>
              <w:rPr>
                <w:rFonts w:hint="eastAsia"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监测结果</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850"/>
              <w:gridCol w:w="1032"/>
              <w:gridCol w:w="1588"/>
              <w:gridCol w:w="1325"/>
              <w:gridCol w:w="987"/>
              <w:gridCol w:w="939"/>
            </w:tblGrid>
            <w:tr w14:paraId="246E8B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4" w:type="dxa"/>
                  <w:noWrap w:val="0"/>
                  <w:vAlign w:val="center"/>
                </w:tcPr>
                <w:p w14:paraId="45C554A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850" w:type="dxa"/>
                  <w:noWrap w:val="0"/>
                  <w:vAlign w:val="center"/>
                </w:tcPr>
                <w:p w14:paraId="7175A83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w:t>
                  </w:r>
                </w:p>
              </w:tc>
              <w:tc>
                <w:tcPr>
                  <w:tcW w:w="1032" w:type="dxa"/>
                  <w:noWrap w:val="0"/>
                  <w:vAlign w:val="center"/>
                </w:tcPr>
                <w:p w14:paraId="2D19A54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评价标准（μg/m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588" w:type="dxa"/>
                  <w:noWrap w:val="0"/>
                  <w:vAlign w:val="center"/>
                </w:tcPr>
                <w:p w14:paraId="5FC7138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浓度范围（μg/m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325" w:type="dxa"/>
                  <w:noWrap w:val="0"/>
                  <w:vAlign w:val="center"/>
                </w:tcPr>
                <w:p w14:paraId="4FF6344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最大占标率%</w:t>
                  </w:r>
                </w:p>
              </w:tc>
              <w:tc>
                <w:tcPr>
                  <w:tcW w:w="987" w:type="dxa"/>
                  <w:noWrap w:val="0"/>
                  <w:vAlign w:val="center"/>
                </w:tcPr>
                <w:p w14:paraId="7FA20C9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超标率%</w:t>
                  </w:r>
                </w:p>
              </w:tc>
              <w:tc>
                <w:tcPr>
                  <w:tcW w:w="939" w:type="dxa"/>
                  <w:noWrap w:val="0"/>
                  <w:vAlign w:val="center"/>
                </w:tcPr>
                <w:p w14:paraId="2716B98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达标情况</w:t>
                  </w:r>
                </w:p>
              </w:tc>
            </w:tr>
            <w:tr w14:paraId="749E20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4" w:type="dxa"/>
                  <w:noWrap w:val="0"/>
                  <w:vAlign w:val="center"/>
                </w:tcPr>
                <w:p w14:paraId="0588A0E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主导风向厂区下风向100米处</w:t>
                  </w:r>
                </w:p>
              </w:tc>
              <w:tc>
                <w:tcPr>
                  <w:tcW w:w="850" w:type="dxa"/>
                  <w:noWrap w:val="0"/>
                  <w:vAlign w:val="center"/>
                </w:tcPr>
                <w:p w14:paraId="2D4686E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w:t>
                  </w:r>
                </w:p>
              </w:tc>
              <w:tc>
                <w:tcPr>
                  <w:tcW w:w="1032" w:type="dxa"/>
                  <w:noWrap w:val="0"/>
                  <w:vAlign w:val="center"/>
                </w:tcPr>
                <w:p w14:paraId="66DC045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1588" w:type="dxa"/>
                  <w:noWrap w:val="0"/>
                  <w:vAlign w:val="center"/>
                </w:tcPr>
                <w:p w14:paraId="6488BF3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111-130</w:t>
                  </w:r>
                </w:p>
              </w:tc>
              <w:tc>
                <w:tcPr>
                  <w:tcW w:w="1325" w:type="dxa"/>
                  <w:noWrap w:val="0"/>
                  <w:vAlign w:val="center"/>
                </w:tcPr>
                <w:p w14:paraId="5D7A381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 xml:space="preserve">  43.3 </w:t>
                  </w:r>
                </w:p>
              </w:tc>
              <w:tc>
                <w:tcPr>
                  <w:tcW w:w="987" w:type="dxa"/>
                  <w:noWrap w:val="0"/>
                  <w:vAlign w:val="center"/>
                </w:tcPr>
                <w:p w14:paraId="4CE899C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0</w:t>
                  </w:r>
                </w:p>
              </w:tc>
              <w:tc>
                <w:tcPr>
                  <w:tcW w:w="939" w:type="dxa"/>
                  <w:noWrap w:val="0"/>
                  <w:vAlign w:val="center"/>
                </w:tcPr>
                <w:p w14:paraId="523D9E3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14:paraId="4CA09A09">
            <w:pPr>
              <w:keepNext w:val="0"/>
              <w:keepLines w:val="0"/>
              <w:suppressLineNumbers w:val="0"/>
              <w:spacing w:before="0" w:beforeAutospacing="0" w:after="0" w:afterAutospacing="0" w:line="360" w:lineRule="auto"/>
              <w:ind w:left="0" w:right="0" w:firstLine="420" w:firstLineChars="200"/>
              <w:rPr>
                <w:rFonts w:hint="default"/>
                <w:color w:val="auto"/>
                <w:highlight w:val="none"/>
              </w:rPr>
            </w:pPr>
            <w:r>
              <w:rPr>
                <w:rFonts w:hint="default" w:ascii="Times New Roman" w:hAnsi="Times New Roman" w:cs="Times New Roman"/>
                <w:color w:val="auto"/>
                <w:highlight w:val="none"/>
              </w:rPr>
              <w:t>由上表可以看出，本项目TSP24</w:t>
            </w:r>
            <w:r>
              <w:rPr>
                <w:rFonts w:hint="eastAsia" w:cs="Times New Roman"/>
                <w:color w:val="auto"/>
                <w:highlight w:val="none"/>
                <w:lang w:val="en-US" w:eastAsia="zh-CN"/>
              </w:rPr>
              <w:t>h</w:t>
            </w:r>
            <w:r>
              <w:rPr>
                <w:rFonts w:hint="default" w:ascii="Times New Roman" w:hAnsi="Times New Roman" w:cs="Times New Roman"/>
                <w:color w:val="auto"/>
                <w:highlight w:val="none"/>
              </w:rPr>
              <w:t>平均浓度值满足《环境空气质量标准》（GB3095-2012）及其修改单二级标准要求，区域环境空气质量良好。</w:t>
            </w:r>
          </w:p>
          <w:p w14:paraId="488B42B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7626E4A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color w:val="FF0000"/>
                <w:kern w:val="0"/>
                <w:szCs w:val="21"/>
                <w:highlight w:val="none"/>
              </w:rPr>
            </w:pPr>
            <w:r>
              <w:rPr>
                <w:rFonts w:hint="eastAsia"/>
                <w:color w:val="FF0000"/>
                <w:kern w:val="0"/>
                <w:szCs w:val="21"/>
                <w:highlight w:val="none"/>
              </w:rPr>
              <w:t>本项目最近水体为穆棱河。根据《全国重要江河湖泊水功能区划（2011-2030）》，</w:t>
            </w:r>
            <w:r>
              <w:rPr>
                <w:rFonts w:hint="eastAsia" w:ascii="Times New Roman" w:hAnsi="Times New Roman" w:eastAsia="宋体" w:cs="Times New Roman"/>
                <w:color w:val="FF0000"/>
                <w:sz w:val="21"/>
                <w:szCs w:val="21"/>
                <w:highlight w:val="none"/>
                <w:lang w:val="en-US" w:eastAsia="zh-CN"/>
              </w:rPr>
              <w:t>项目所在水功能区起始断面</w:t>
            </w:r>
            <w:r>
              <w:rPr>
                <w:rFonts w:hint="eastAsia" w:ascii="Times New Roman" w:hAnsi="Times New Roman" w:cs="Times New Roman"/>
                <w:color w:val="FF0000"/>
                <w:kern w:val="0"/>
                <w:sz w:val="21"/>
                <w:szCs w:val="21"/>
                <w:highlight w:val="none"/>
                <w:lang w:val="en-US" w:eastAsia="zh-CN"/>
              </w:rPr>
              <w:t>为</w:t>
            </w:r>
            <w:r>
              <w:rPr>
                <w:rFonts w:hint="eastAsia" w:ascii="Times New Roman" w:hAnsi="Times New Roman" w:eastAsia="宋体" w:cs="Times New Roman"/>
                <w:color w:val="FF0000"/>
                <w:sz w:val="21"/>
                <w:szCs w:val="21"/>
                <w:highlight w:val="none"/>
                <w:lang w:val="en-US" w:eastAsia="zh-CN"/>
              </w:rPr>
              <w:t>鸡古路西100m，终止断面为凯北站，水质标准为Ⅲ类。</w:t>
            </w:r>
            <w:r>
              <w:rPr>
                <w:rFonts w:hint="eastAsia"/>
                <w:color w:val="FF0000"/>
                <w:kern w:val="0"/>
                <w:szCs w:val="21"/>
                <w:highlight w:val="none"/>
              </w:rPr>
              <w:t>根据鸡西市人民政府发布的《2025年1月地表水国控考核断面水质信息公开》穆棱河口内达到Ⅲ类水质类别标准，知一桥断面均达到Ⅱ类水质类别标准。</w:t>
            </w:r>
          </w:p>
          <w:p w14:paraId="741FA01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245A284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color w:val="FF0000"/>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本次对周围声环境敏感点进行声环境质量现状评价，委托鸡西晟源环境检测有限公司进行监测，监测时间为2024年</w:t>
            </w:r>
            <w:r>
              <w:rPr>
                <w:rFonts w:hint="eastAsia" w:cs="Times New Roman"/>
                <w:color w:val="auto"/>
                <w:sz w:val="21"/>
                <w:szCs w:val="21"/>
                <w:highlight w:val="none"/>
                <w:lang w:val="en-US" w:eastAsia="zh-CN"/>
              </w:rPr>
              <w:t>12</w:t>
            </w:r>
            <w:r>
              <w:rPr>
                <w:rFonts w:hint="eastAsia"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日，监测点位为南侧</w:t>
            </w:r>
            <w:r>
              <w:rPr>
                <w:rFonts w:hint="eastAsia" w:cs="Times New Roman"/>
                <w:color w:val="auto"/>
                <w:sz w:val="21"/>
                <w:szCs w:val="21"/>
                <w:highlight w:val="none"/>
                <w:lang w:val="en-US" w:eastAsia="zh-CN"/>
              </w:rPr>
              <w:t>、西侧向阳村</w:t>
            </w:r>
            <w:r>
              <w:rPr>
                <w:rFonts w:hint="eastAsia" w:ascii="Times New Roman" w:hAnsi="Times New Roman" w:eastAsia="宋体" w:cs="Times New Roman"/>
                <w:color w:val="auto"/>
                <w:sz w:val="21"/>
                <w:szCs w:val="21"/>
                <w:highlight w:val="none"/>
                <w:lang w:val="en-US" w:eastAsia="zh-CN"/>
              </w:rPr>
              <w:t>居民。监测频次为监测1天。检测报告见附件。声环境现状检测统计结果见表3-4。</w:t>
            </w:r>
          </w:p>
          <w:p w14:paraId="5FA617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eastAsia" w:ascii="Times New Roman" w:hAnsi="Times New Roman" w:cs="Times New Roman"/>
                <w:b/>
                <w:bCs/>
                <w:color w:val="auto"/>
                <w:kern w:val="0"/>
                <w:szCs w:val="21"/>
                <w:highlight w:val="none"/>
              </w:rPr>
              <w:t>表3-4 声环境现状监测统计结果 Leq[dB(A)]</w:t>
            </w:r>
          </w:p>
          <w:tbl>
            <w:tblPr>
              <w:tblStyle w:val="3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6"/>
              <w:gridCol w:w="1924"/>
              <w:gridCol w:w="1789"/>
              <w:gridCol w:w="1789"/>
              <w:gridCol w:w="956"/>
              <w:gridCol w:w="983"/>
            </w:tblGrid>
            <w:tr w14:paraId="26B6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359" w:type="pct"/>
                  <w:tcBorders>
                    <w:top w:val="single" w:color="auto" w:sz="12" w:space="0"/>
                  </w:tcBorders>
                  <w:noWrap/>
                  <w:tcMar>
                    <w:top w:w="15" w:type="dxa"/>
                    <w:left w:w="15" w:type="dxa"/>
                    <w:right w:w="15" w:type="dxa"/>
                  </w:tcMar>
                  <w:vAlign w:val="center"/>
                </w:tcPr>
                <w:p w14:paraId="1A4C59CF">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序号</w:t>
                  </w:r>
                </w:p>
              </w:tc>
              <w:tc>
                <w:tcPr>
                  <w:tcW w:w="1199" w:type="pct"/>
                  <w:tcBorders>
                    <w:top w:val="single" w:color="auto" w:sz="12" w:space="0"/>
                  </w:tcBorders>
                  <w:noWrap/>
                  <w:tcMar>
                    <w:top w:w="15" w:type="dxa"/>
                    <w:left w:w="15" w:type="dxa"/>
                    <w:right w:w="15" w:type="dxa"/>
                  </w:tcMar>
                  <w:vAlign w:val="center"/>
                </w:tcPr>
                <w:p w14:paraId="619AB8F8">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检测点</w:t>
                  </w:r>
                  <w:r>
                    <w:rPr>
                      <w:rFonts w:hint="eastAsia"/>
                      <w:b/>
                      <w:bCs/>
                      <w:color w:val="auto"/>
                      <w:sz w:val="18"/>
                      <w:szCs w:val="18"/>
                    </w:rPr>
                    <w:t>名称</w:t>
                  </w:r>
                </w:p>
              </w:tc>
              <w:tc>
                <w:tcPr>
                  <w:tcW w:w="1115" w:type="pct"/>
                  <w:tcBorders>
                    <w:top w:val="single" w:color="auto" w:sz="12" w:space="0"/>
                  </w:tcBorders>
                  <w:tcMar>
                    <w:top w:w="15" w:type="dxa"/>
                    <w:left w:w="15" w:type="dxa"/>
                    <w:right w:w="15" w:type="dxa"/>
                  </w:tcMar>
                  <w:vAlign w:val="center"/>
                </w:tcPr>
                <w:p w14:paraId="6856E82B">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方位距离</w:t>
                  </w:r>
                </w:p>
              </w:tc>
              <w:tc>
                <w:tcPr>
                  <w:tcW w:w="1115" w:type="pct"/>
                  <w:tcBorders>
                    <w:top w:val="single" w:color="auto" w:sz="12" w:space="0"/>
                  </w:tcBorders>
                  <w:tcMar>
                    <w:top w:w="15" w:type="dxa"/>
                    <w:left w:w="15" w:type="dxa"/>
                    <w:right w:w="15" w:type="dxa"/>
                  </w:tcMar>
                  <w:vAlign w:val="center"/>
                </w:tcPr>
                <w:p w14:paraId="279AB5CF">
                  <w:pPr>
                    <w:keepNext w:val="0"/>
                    <w:keepLines w:val="0"/>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检测时间</w:t>
                  </w:r>
                </w:p>
              </w:tc>
              <w:tc>
                <w:tcPr>
                  <w:tcW w:w="596" w:type="pct"/>
                  <w:tcBorders>
                    <w:top w:val="single" w:color="auto" w:sz="12" w:space="0"/>
                  </w:tcBorders>
                  <w:tcMar>
                    <w:top w:w="15" w:type="dxa"/>
                    <w:left w:w="15" w:type="dxa"/>
                    <w:right w:w="15" w:type="dxa"/>
                  </w:tcMar>
                  <w:vAlign w:val="center"/>
                </w:tcPr>
                <w:p w14:paraId="00BC62FB">
                  <w:pPr>
                    <w:keepNext w:val="0"/>
                    <w:keepLines w:val="0"/>
                    <w:widowControl/>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昼L</w:t>
                  </w:r>
                  <w:r>
                    <w:rPr>
                      <w:rFonts w:hint="default"/>
                      <w:b/>
                      <w:bCs/>
                      <w:color w:val="auto"/>
                      <w:sz w:val="18"/>
                      <w:szCs w:val="18"/>
                      <w:vertAlign w:val="subscript"/>
                    </w:rPr>
                    <w:t>eq</w:t>
                  </w:r>
                </w:p>
              </w:tc>
              <w:tc>
                <w:tcPr>
                  <w:tcW w:w="613" w:type="pct"/>
                  <w:tcBorders>
                    <w:top w:val="single" w:color="auto" w:sz="12" w:space="0"/>
                    <w:right w:val="nil"/>
                  </w:tcBorders>
                  <w:tcMar>
                    <w:top w:w="15" w:type="dxa"/>
                    <w:left w:w="15" w:type="dxa"/>
                    <w:right w:w="15" w:type="dxa"/>
                  </w:tcMar>
                  <w:vAlign w:val="center"/>
                </w:tcPr>
                <w:p w14:paraId="242619E1">
                  <w:pPr>
                    <w:keepNext w:val="0"/>
                    <w:keepLines w:val="0"/>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夜L</w:t>
                  </w:r>
                  <w:r>
                    <w:rPr>
                      <w:rFonts w:hint="default"/>
                      <w:b/>
                      <w:bCs/>
                      <w:color w:val="auto"/>
                      <w:sz w:val="18"/>
                      <w:szCs w:val="18"/>
                      <w:vertAlign w:val="subscript"/>
                    </w:rPr>
                    <w:t>eq</w:t>
                  </w:r>
                </w:p>
              </w:tc>
            </w:tr>
            <w:tr w14:paraId="0A6F6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left w:val="nil"/>
                  </w:tcBorders>
                  <w:noWrap/>
                  <w:tcMar>
                    <w:top w:w="15" w:type="dxa"/>
                    <w:left w:w="15" w:type="dxa"/>
                    <w:right w:w="15" w:type="dxa"/>
                  </w:tcMar>
                  <w:vAlign w:val="center"/>
                </w:tcPr>
                <w:p w14:paraId="53375976">
                  <w:pPr>
                    <w:keepNext w:val="0"/>
                    <w:keepLines w:val="0"/>
                    <w:widowControl/>
                    <w:suppressLineNumbers w:val="0"/>
                    <w:spacing w:before="0" w:beforeAutospacing="0" w:after="0" w:afterAutospacing="0"/>
                    <w:ind w:left="0" w:right="0"/>
                    <w:jc w:val="center"/>
                    <w:textAlignment w:val="center"/>
                    <w:rPr>
                      <w:rFonts w:hint="default"/>
                      <w:color w:val="auto"/>
                      <w:sz w:val="18"/>
                      <w:szCs w:val="18"/>
                      <w:highlight w:val="none"/>
                    </w:rPr>
                  </w:pPr>
                  <w:r>
                    <w:rPr>
                      <w:rFonts w:hint="eastAsia"/>
                      <w:color w:val="auto"/>
                      <w:kern w:val="0"/>
                      <w:sz w:val="18"/>
                      <w:szCs w:val="18"/>
                      <w:highlight w:val="none"/>
                    </w:rPr>
                    <w:t>1</w:t>
                  </w:r>
                </w:p>
              </w:tc>
              <w:tc>
                <w:tcPr>
                  <w:tcW w:w="1199" w:type="pct"/>
                  <w:noWrap/>
                  <w:tcMar>
                    <w:top w:w="15" w:type="dxa"/>
                    <w:left w:w="15" w:type="dxa"/>
                    <w:right w:w="15" w:type="dxa"/>
                  </w:tcMar>
                  <w:vAlign w:val="center"/>
                </w:tcPr>
                <w:p w14:paraId="261A9677">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南侧民房</w:t>
                  </w:r>
                </w:p>
              </w:tc>
              <w:tc>
                <w:tcPr>
                  <w:tcW w:w="1115" w:type="pct"/>
                  <w:tcMar>
                    <w:top w:w="15" w:type="dxa"/>
                    <w:left w:w="15" w:type="dxa"/>
                    <w:right w:w="15" w:type="dxa"/>
                  </w:tcMar>
                  <w:vAlign w:val="center"/>
                </w:tcPr>
                <w:p w14:paraId="3321722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eastAsia="zh-CN"/>
                    </w:rPr>
                    <w:t>南</w:t>
                  </w:r>
                  <w:r>
                    <w:rPr>
                      <w:rFonts w:hint="eastAsia"/>
                      <w:color w:val="auto"/>
                      <w:sz w:val="18"/>
                      <w:szCs w:val="18"/>
                      <w:highlight w:val="none"/>
                    </w:rPr>
                    <w:t>/</w:t>
                  </w:r>
                  <w:r>
                    <w:rPr>
                      <w:rFonts w:hint="eastAsia"/>
                      <w:color w:val="auto"/>
                      <w:sz w:val="18"/>
                      <w:szCs w:val="18"/>
                      <w:highlight w:val="none"/>
                      <w:lang w:val="en-US" w:eastAsia="zh-CN"/>
                    </w:rPr>
                    <w:t>23</w:t>
                  </w:r>
                  <w:r>
                    <w:rPr>
                      <w:rFonts w:hint="eastAsia"/>
                      <w:color w:val="auto"/>
                      <w:sz w:val="18"/>
                      <w:szCs w:val="18"/>
                      <w:highlight w:val="none"/>
                    </w:rPr>
                    <w:t>米</w:t>
                  </w:r>
                </w:p>
              </w:tc>
              <w:tc>
                <w:tcPr>
                  <w:tcW w:w="1115" w:type="pct"/>
                  <w:tcMar>
                    <w:top w:w="15" w:type="dxa"/>
                    <w:left w:w="15" w:type="dxa"/>
                    <w:right w:w="15" w:type="dxa"/>
                  </w:tcMar>
                  <w:vAlign w:val="center"/>
                </w:tcPr>
                <w:p w14:paraId="6D0F6A05">
                  <w:pPr>
                    <w:keepNext w:val="0"/>
                    <w:keepLines w:val="0"/>
                    <w:widowControl/>
                    <w:suppressLineNumbers w:val="0"/>
                    <w:spacing w:before="0" w:beforeAutospacing="0" w:after="0" w:afterAutospacing="0"/>
                    <w:ind w:left="0" w:right="0"/>
                    <w:jc w:val="center"/>
                    <w:textAlignment w:val="center"/>
                    <w:rPr>
                      <w:rFonts w:hint="default" w:eastAsia="宋体"/>
                      <w:b/>
                      <w:bCs/>
                      <w:color w:val="auto"/>
                      <w:kern w:val="0"/>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2024.</w:t>
                  </w:r>
                  <w:r>
                    <w:rPr>
                      <w:rFonts w:hint="eastAsia" w:ascii="Times New Roman" w:hAnsi="Times New Roman" w:eastAsia="宋体" w:cs="Times New Roman"/>
                      <w:color w:val="auto"/>
                      <w:kern w:val="0"/>
                      <w:sz w:val="18"/>
                      <w:szCs w:val="18"/>
                      <w:lang w:val="en-US" w:eastAsia="zh-CN" w:bidi="ar"/>
                    </w:rPr>
                    <w:t>12.20</w:t>
                  </w:r>
                </w:p>
              </w:tc>
              <w:tc>
                <w:tcPr>
                  <w:tcW w:w="596" w:type="pct"/>
                  <w:tcMar>
                    <w:top w:w="15" w:type="dxa"/>
                    <w:left w:w="15" w:type="dxa"/>
                    <w:right w:w="15" w:type="dxa"/>
                  </w:tcMar>
                  <w:vAlign w:val="center"/>
                </w:tcPr>
                <w:p w14:paraId="19421C50">
                  <w:pPr>
                    <w:pStyle w:val="27"/>
                    <w:keepNext w:val="0"/>
                    <w:keepLines w:val="0"/>
                    <w:suppressLineNumbers w:val="0"/>
                    <w:spacing w:before="0" w:beforeAutospacing="0" w:after="0" w:afterAutospacing="0" w:line="240" w:lineRule="exact"/>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51.9</w:t>
                  </w:r>
                </w:p>
              </w:tc>
              <w:tc>
                <w:tcPr>
                  <w:tcW w:w="613" w:type="pct"/>
                  <w:tcBorders>
                    <w:right w:val="nil"/>
                  </w:tcBorders>
                  <w:tcMar>
                    <w:top w:w="15" w:type="dxa"/>
                    <w:left w:w="15" w:type="dxa"/>
                    <w:right w:w="15" w:type="dxa"/>
                  </w:tcMar>
                  <w:vAlign w:val="center"/>
                </w:tcPr>
                <w:p w14:paraId="1214FBE4">
                  <w:pPr>
                    <w:keepNext w:val="0"/>
                    <w:keepLines w:val="0"/>
                    <w:suppressLineNumbers w:val="0"/>
                    <w:spacing w:before="0" w:beforeAutospacing="0" w:after="0" w:afterAutospacing="0"/>
                    <w:ind w:left="0" w:right="0"/>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41.9</w:t>
                  </w:r>
                </w:p>
              </w:tc>
            </w:tr>
            <w:tr w14:paraId="4E974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left w:val="nil"/>
                  </w:tcBorders>
                  <w:noWrap/>
                  <w:tcMar>
                    <w:top w:w="15" w:type="dxa"/>
                    <w:left w:w="15" w:type="dxa"/>
                    <w:right w:w="15" w:type="dxa"/>
                  </w:tcMar>
                  <w:vAlign w:val="center"/>
                </w:tcPr>
                <w:p w14:paraId="0E55E6A9">
                  <w:pPr>
                    <w:keepNext w:val="0"/>
                    <w:keepLines w:val="0"/>
                    <w:widowControl/>
                    <w:suppressLineNumbers w:val="0"/>
                    <w:spacing w:before="0" w:beforeAutospacing="0" w:after="0" w:afterAutospacing="0"/>
                    <w:ind w:left="0" w:right="0"/>
                    <w:jc w:val="center"/>
                    <w:textAlignment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1199" w:type="pct"/>
                  <w:noWrap/>
                  <w:tcMar>
                    <w:top w:w="15" w:type="dxa"/>
                    <w:left w:w="15" w:type="dxa"/>
                    <w:right w:w="15" w:type="dxa"/>
                  </w:tcMar>
                  <w:vAlign w:val="center"/>
                </w:tcPr>
                <w:p w14:paraId="012BC8E9">
                  <w:pPr>
                    <w:keepNext w:val="0"/>
                    <w:keepLines w:val="0"/>
                    <w:suppressLineNumbers w:val="0"/>
                    <w:spacing w:before="0" w:beforeAutospacing="0" w:after="0" w:afterAutospacing="0"/>
                    <w:ind w:left="0" w:right="0"/>
                    <w:jc w:val="center"/>
                    <w:rPr>
                      <w:rFonts w:hint="eastAsia"/>
                      <w:color w:val="auto"/>
                      <w:sz w:val="18"/>
                      <w:szCs w:val="18"/>
                      <w:highlight w:val="none"/>
                      <w:lang w:val="en-US" w:eastAsia="zh-CN"/>
                    </w:rPr>
                  </w:pPr>
                  <w:r>
                    <w:rPr>
                      <w:rFonts w:hint="eastAsia"/>
                      <w:color w:val="auto"/>
                      <w:sz w:val="18"/>
                      <w:szCs w:val="18"/>
                      <w:highlight w:val="none"/>
                      <w:lang w:val="en-US" w:eastAsia="zh-CN"/>
                    </w:rPr>
                    <w:t>西侧民房</w:t>
                  </w:r>
                </w:p>
              </w:tc>
              <w:tc>
                <w:tcPr>
                  <w:tcW w:w="1115" w:type="pct"/>
                  <w:tcMar>
                    <w:top w:w="15" w:type="dxa"/>
                    <w:left w:w="15" w:type="dxa"/>
                    <w:right w:w="15" w:type="dxa"/>
                  </w:tcMar>
                  <w:vAlign w:val="center"/>
                </w:tcPr>
                <w:p w14:paraId="0DBF9FE3">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西/19米</w:t>
                  </w:r>
                </w:p>
              </w:tc>
              <w:tc>
                <w:tcPr>
                  <w:tcW w:w="1115" w:type="pct"/>
                  <w:tcMar>
                    <w:top w:w="15" w:type="dxa"/>
                    <w:left w:w="15" w:type="dxa"/>
                    <w:right w:w="15" w:type="dxa"/>
                  </w:tcMar>
                  <w:vAlign w:val="center"/>
                </w:tcPr>
                <w:p w14:paraId="3C47F92C">
                  <w:pPr>
                    <w:keepNext w:val="0"/>
                    <w:keepLines w:val="0"/>
                    <w:widowControl/>
                    <w:suppressLineNumbers w:val="0"/>
                    <w:spacing w:before="0" w:beforeAutospacing="0" w:after="0" w:afterAutospacing="0"/>
                    <w:ind w:left="0" w:right="0"/>
                    <w:jc w:val="center"/>
                    <w:textAlignment w:val="center"/>
                    <w:rPr>
                      <w:rFonts w:hint="eastAsia"/>
                      <w:color w:val="auto"/>
                      <w:kern w:val="0"/>
                      <w:sz w:val="18"/>
                      <w:szCs w:val="18"/>
                      <w:highlight w:val="none"/>
                    </w:rPr>
                  </w:pPr>
                  <w:r>
                    <w:rPr>
                      <w:rFonts w:hint="default" w:ascii="Times New Roman" w:hAnsi="Times New Roman" w:eastAsia="宋体" w:cs="Times New Roman"/>
                      <w:color w:val="auto"/>
                      <w:kern w:val="0"/>
                      <w:sz w:val="18"/>
                      <w:szCs w:val="18"/>
                      <w:lang w:val="en-US" w:eastAsia="zh-CN" w:bidi="ar"/>
                    </w:rPr>
                    <w:t>2024.</w:t>
                  </w:r>
                  <w:r>
                    <w:rPr>
                      <w:rFonts w:hint="eastAsia" w:ascii="Times New Roman" w:hAnsi="Times New Roman" w:eastAsia="宋体" w:cs="Times New Roman"/>
                      <w:color w:val="auto"/>
                      <w:kern w:val="0"/>
                      <w:sz w:val="18"/>
                      <w:szCs w:val="18"/>
                      <w:lang w:val="en-US" w:eastAsia="zh-CN" w:bidi="ar"/>
                    </w:rPr>
                    <w:t>12.20</w:t>
                  </w:r>
                </w:p>
              </w:tc>
              <w:tc>
                <w:tcPr>
                  <w:tcW w:w="596" w:type="pct"/>
                  <w:tcMar>
                    <w:top w:w="15" w:type="dxa"/>
                    <w:left w:w="15" w:type="dxa"/>
                    <w:right w:w="15" w:type="dxa"/>
                  </w:tcMar>
                  <w:vAlign w:val="center"/>
                </w:tcPr>
                <w:p w14:paraId="2F0CC57B">
                  <w:pPr>
                    <w:pStyle w:val="27"/>
                    <w:keepNext w:val="0"/>
                    <w:keepLines w:val="0"/>
                    <w:suppressLineNumbers w:val="0"/>
                    <w:spacing w:before="0" w:beforeAutospacing="0" w:after="0" w:afterAutospacing="0" w:line="240" w:lineRule="exact"/>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52.5</w:t>
                  </w:r>
                </w:p>
              </w:tc>
              <w:tc>
                <w:tcPr>
                  <w:tcW w:w="613" w:type="pct"/>
                  <w:tcBorders>
                    <w:right w:val="nil"/>
                  </w:tcBorders>
                  <w:tcMar>
                    <w:top w:w="15" w:type="dxa"/>
                    <w:left w:w="15" w:type="dxa"/>
                    <w:right w:w="15" w:type="dxa"/>
                  </w:tcMar>
                  <w:vAlign w:val="center"/>
                </w:tcPr>
                <w:p w14:paraId="7E43E3B8">
                  <w:pPr>
                    <w:keepNext w:val="0"/>
                    <w:keepLines w:val="0"/>
                    <w:suppressLineNumbers w:val="0"/>
                    <w:spacing w:before="0" w:beforeAutospacing="0" w:after="0" w:afterAutospacing="0"/>
                    <w:ind w:left="0" w:right="0"/>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44.4</w:t>
                  </w:r>
                </w:p>
              </w:tc>
            </w:tr>
          </w:tbl>
          <w:p w14:paraId="7D2BA0F6">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ascii="Times New Roman" w:hAnsi="Times New Roman" w:eastAsia="宋体" w:cs="Times New Roman"/>
                <w:color w:val="auto"/>
                <w:kern w:val="2"/>
                <w:sz w:val="21"/>
                <w:szCs w:val="21"/>
                <w:highlight w:val="none"/>
                <w:lang w:val="en-US" w:eastAsia="zh-CN" w:bidi="ar-SA"/>
              </w:rPr>
            </w:pPr>
          </w:p>
          <w:p w14:paraId="73057E14">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b/>
                <w:color w:val="auto"/>
                <w:sz w:val="21"/>
                <w:szCs w:val="21"/>
                <w:highlight w:val="none"/>
              </w:rPr>
            </w:pPr>
            <w:r>
              <w:rPr>
                <w:rFonts w:hint="default"/>
                <w:b/>
                <w:color w:val="auto"/>
                <w:sz w:val="21"/>
                <w:szCs w:val="21"/>
                <w:highlight w:val="none"/>
              </w:rPr>
              <w:t>4、生态环境</w:t>
            </w:r>
          </w:p>
          <w:p w14:paraId="182C3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kern w:val="0"/>
                <w:szCs w:val="21"/>
                <w:highlight w:val="none"/>
              </w:rPr>
            </w:pPr>
            <w:r>
              <w:rPr>
                <w:rFonts w:hint="default"/>
                <w:color w:val="auto"/>
                <w:kern w:val="0"/>
                <w:szCs w:val="21"/>
                <w:highlight w:val="none"/>
              </w:rPr>
              <w:t>本项目用地范围内无生态环境保护目标，因此不进行生态现状调查。</w:t>
            </w:r>
          </w:p>
          <w:p w14:paraId="76B65872">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b/>
                <w:color w:val="auto"/>
                <w:sz w:val="21"/>
                <w:szCs w:val="21"/>
                <w:highlight w:val="none"/>
              </w:rPr>
            </w:pPr>
            <w:r>
              <w:rPr>
                <w:rFonts w:hint="default"/>
                <w:b/>
                <w:color w:val="auto"/>
                <w:sz w:val="21"/>
                <w:szCs w:val="21"/>
                <w:highlight w:val="none"/>
              </w:rPr>
              <w:t>5、地下水、土壤环境</w:t>
            </w:r>
          </w:p>
          <w:p w14:paraId="1568443D">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rPr>
            </w:pPr>
            <w:r>
              <w:rPr>
                <w:rFonts w:hint="default"/>
                <w:color w:val="auto"/>
                <w:kern w:val="0"/>
                <w:sz w:val="21"/>
                <w:szCs w:val="21"/>
                <w:highlight w:val="none"/>
              </w:rPr>
              <w:t>本项目属于</w:t>
            </w:r>
            <w:r>
              <w:rPr>
                <w:rFonts w:hint="eastAsia"/>
                <w:color w:val="auto"/>
                <w:kern w:val="0"/>
                <w:sz w:val="21"/>
                <w:szCs w:val="21"/>
                <w:highlight w:val="none"/>
                <w:lang w:val="en-US" w:eastAsia="zh-CN"/>
              </w:rPr>
              <w:t>农产品初加工</w:t>
            </w:r>
            <w:r>
              <w:rPr>
                <w:rFonts w:hint="default"/>
                <w:color w:val="auto"/>
                <w:kern w:val="0"/>
                <w:sz w:val="21"/>
                <w:szCs w:val="21"/>
                <w:highlight w:val="none"/>
              </w:rPr>
              <w:t>项目，不存在土壤、地下水污染途径，因此，不进行土壤、地下水环境质量现状监测。</w:t>
            </w:r>
          </w:p>
        </w:tc>
      </w:tr>
      <w:tr w14:paraId="1FB10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17" w:hRule="atLeast"/>
          <w:jc w:val="center"/>
        </w:trPr>
        <w:tc>
          <w:tcPr>
            <w:tcW w:w="452" w:type="pct"/>
            <w:vAlign w:val="center"/>
          </w:tcPr>
          <w:p w14:paraId="38D0BAF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72544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eastAsia="宋体"/>
                <w:color w:val="auto"/>
                <w:kern w:val="0"/>
                <w:szCs w:val="21"/>
                <w:lang w:eastAsia="zh-CN"/>
              </w:rPr>
            </w:pPr>
            <w:r>
              <w:rPr>
                <w:rFonts w:hint="eastAsia"/>
                <w:color w:val="auto"/>
                <w:kern w:val="0"/>
                <w:szCs w:val="21"/>
                <w:highlight w:val="none"/>
                <w:lang w:val="en-US" w:eastAsia="zh-CN"/>
              </w:rPr>
              <w:t>本项目位于黑龙江省鸡西市鸡东县向阳镇向阳村</w:t>
            </w:r>
            <w:r>
              <w:rPr>
                <w:rFonts w:hint="eastAsia" w:cs="Times New Roman"/>
                <w:bCs/>
                <w:color w:val="auto"/>
                <w:szCs w:val="21"/>
                <w:highlight w:val="none"/>
                <w:lang w:val="en-US" w:eastAsia="zh-CN"/>
              </w:rPr>
              <w:t>，距离本项目最近的饮用水水源位于厂区西侧685米，</w:t>
            </w:r>
            <w:r>
              <w:rPr>
                <w:rFonts w:hint="default" w:cs="Times New Roman"/>
                <w:bCs/>
                <w:color w:val="auto"/>
                <w:szCs w:val="21"/>
                <w:highlight w:val="none"/>
                <w:u w:val="none"/>
                <w:lang w:val="en-US" w:eastAsia="zh-CN"/>
              </w:rPr>
              <w:t>水源</w:t>
            </w:r>
            <w:r>
              <w:rPr>
                <w:rFonts w:hint="eastAsia" w:cs="Times New Roman"/>
                <w:bCs/>
                <w:color w:val="auto"/>
                <w:szCs w:val="21"/>
                <w:highlight w:val="none"/>
                <w:u w:val="none"/>
                <w:lang w:val="en-US" w:eastAsia="zh-CN"/>
              </w:rPr>
              <w:t>地</w:t>
            </w:r>
            <w:r>
              <w:rPr>
                <w:rFonts w:hint="default" w:cs="Times New Roman"/>
                <w:bCs/>
                <w:color w:val="auto"/>
                <w:szCs w:val="21"/>
                <w:highlight w:val="none"/>
                <w:u w:val="none"/>
                <w:lang w:val="en-US" w:eastAsia="zh-CN"/>
              </w:rPr>
              <w:t>坐标为东经</w:t>
            </w:r>
            <w:r>
              <w:rPr>
                <w:rFonts w:hint="default" w:ascii="Times New Roman" w:hAnsi="Times New Roman" w:eastAsia="宋体" w:cs="Times New Roman"/>
                <w:color w:val="auto"/>
                <w:kern w:val="0"/>
                <w:sz w:val="21"/>
                <w:szCs w:val="21"/>
                <w:lang w:val="en-US" w:eastAsia="zh-CN" w:bidi="ar"/>
              </w:rPr>
              <w:t>131°30′18.71″</w:t>
            </w:r>
            <w:r>
              <w:rPr>
                <w:rFonts w:hint="default" w:ascii="Times New Roman" w:hAnsi="Times New Roman" w:eastAsia="宋体" w:cs="Times New Roman"/>
                <w:color w:val="auto"/>
                <w:kern w:val="0"/>
                <w:sz w:val="21"/>
                <w:szCs w:val="21"/>
                <w:u w:val="none"/>
                <w:lang w:val="en-US" w:eastAsia="zh-CN" w:bidi="ar"/>
              </w:rPr>
              <w:t>，北纬</w:t>
            </w:r>
            <w:r>
              <w:rPr>
                <w:rFonts w:hint="default" w:ascii="Times New Roman" w:hAnsi="Times New Roman" w:eastAsia="宋体" w:cs="Times New Roman"/>
                <w:color w:val="auto"/>
                <w:kern w:val="0"/>
                <w:sz w:val="21"/>
                <w:szCs w:val="21"/>
                <w:lang w:val="en-US" w:eastAsia="zh-CN" w:bidi="ar"/>
              </w:rPr>
              <w:t>45°14′1.13″，</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本项目厂界外500米范围内无地下水集中式饮用水水源和热水、矿泉水、温泉等特殊地下水资源；无自然保护区、风景名胜区及农村地区中人群较集中的区域</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本项目</w:t>
            </w:r>
            <w:r>
              <w:rPr>
                <w:rFonts w:hint="eastAsia"/>
                <w:color w:val="auto"/>
                <w:highlight w:val="none"/>
                <w:lang w:val="en-US" w:eastAsia="zh-CN"/>
              </w:rPr>
              <w:t>厂界外</w:t>
            </w:r>
            <w:r>
              <w:rPr>
                <w:rFonts w:hint="default" w:ascii="Times New Roman" w:hAnsi="Times New Roman" w:eastAsia="宋体" w:cs="Times New Roman"/>
                <w:bCs/>
                <w:color w:val="auto"/>
                <w:szCs w:val="21"/>
                <w:highlight w:val="none"/>
              </w:rPr>
              <w:t>50米范围声环境保护目标；500米范围内大气环境保护目标</w:t>
            </w:r>
            <w:r>
              <w:rPr>
                <w:rFonts w:hint="default"/>
                <w:color w:val="auto"/>
              </w:rPr>
              <w:t>，详见</w:t>
            </w:r>
            <w:r>
              <w:rPr>
                <w:rFonts w:hint="eastAsia"/>
                <w:color w:val="auto"/>
                <w:lang w:val="en-US" w:eastAsia="zh-CN"/>
              </w:rPr>
              <w:t>下</w:t>
            </w:r>
            <w:r>
              <w:rPr>
                <w:rFonts w:hint="default"/>
                <w:color w:val="auto"/>
              </w:rPr>
              <w:t>表</w:t>
            </w:r>
            <w:r>
              <w:rPr>
                <w:rFonts w:hint="eastAsia"/>
                <w:color w:val="auto"/>
                <w:lang w:eastAsia="zh-CN"/>
              </w:rPr>
              <w:t>。</w:t>
            </w:r>
          </w:p>
          <w:p w14:paraId="3D824D3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5</w:t>
            </w:r>
            <w:r>
              <w:rPr>
                <w:rFonts w:hint="default" w:ascii="Times New Roman" w:hAnsi="Times New Roman" w:cs="Times New Roman"/>
                <w:b/>
                <w:bCs/>
                <w:color w:val="auto"/>
                <w:szCs w:val="21"/>
                <w:highlight w:val="none"/>
              </w:rPr>
              <w:t>环境保护目标一览表</w:t>
            </w:r>
          </w:p>
          <w:tbl>
            <w:tblPr>
              <w:tblStyle w:val="35"/>
              <w:tblW w:w="803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0"/>
              <w:gridCol w:w="991"/>
              <w:gridCol w:w="1351"/>
              <w:gridCol w:w="1215"/>
              <w:gridCol w:w="957"/>
              <w:gridCol w:w="602"/>
              <w:gridCol w:w="774"/>
              <w:gridCol w:w="774"/>
              <w:gridCol w:w="773"/>
            </w:tblGrid>
            <w:tr w14:paraId="2E0379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03B1B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616" w:type="pct"/>
                  <w:vMerge w:val="restart"/>
                  <w:tcBorders>
                    <w:tl2br w:val="nil"/>
                    <w:tr2bl w:val="nil"/>
                  </w:tcBorders>
                  <w:noWrap w:val="0"/>
                  <w:vAlign w:val="center"/>
                </w:tcPr>
                <w:p w14:paraId="7A555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4AC87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596" w:type="pct"/>
                  <w:gridSpan w:val="2"/>
                  <w:tcBorders>
                    <w:tl2br w:val="nil"/>
                    <w:tr2bl w:val="nil"/>
                  </w:tcBorders>
                  <w:noWrap w:val="0"/>
                  <w:vAlign w:val="center"/>
                </w:tcPr>
                <w:p w14:paraId="4766C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595" w:type="pct"/>
                  <w:vMerge w:val="restart"/>
                  <w:tcBorders>
                    <w:tl2br w:val="nil"/>
                    <w:tr2bl w:val="nil"/>
                  </w:tcBorders>
                  <w:noWrap w:val="0"/>
                  <w:vAlign w:val="center"/>
                </w:tcPr>
                <w:p w14:paraId="4529D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74" w:type="pct"/>
                  <w:vMerge w:val="restart"/>
                  <w:tcBorders>
                    <w:tl2br w:val="nil"/>
                    <w:tr2bl w:val="nil"/>
                  </w:tcBorders>
                  <w:noWrap w:val="0"/>
                  <w:vAlign w:val="center"/>
                </w:tcPr>
                <w:p w14:paraId="4B0A3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481" w:type="pct"/>
                  <w:vMerge w:val="restart"/>
                  <w:tcBorders>
                    <w:tl2br w:val="nil"/>
                    <w:tr2bl w:val="nil"/>
                  </w:tcBorders>
                  <w:noWrap w:val="0"/>
                  <w:vAlign w:val="center"/>
                </w:tcPr>
                <w:p w14:paraId="210B3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7CD2C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481" w:type="pct"/>
                  <w:vMerge w:val="restart"/>
                  <w:tcBorders>
                    <w:tl2br w:val="nil"/>
                    <w:tr2bl w:val="nil"/>
                  </w:tcBorders>
                  <w:noWrap w:val="0"/>
                  <w:vAlign w:val="center"/>
                </w:tcPr>
                <w:p w14:paraId="703C1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480" w:type="pct"/>
                  <w:vMerge w:val="restart"/>
                  <w:tcBorders>
                    <w:tl2br w:val="nil"/>
                    <w:tr2bl w:val="nil"/>
                  </w:tcBorders>
                  <w:noWrap w:val="0"/>
                  <w:vAlign w:val="center"/>
                </w:tcPr>
                <w:p w14:paraId="687D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3F204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06267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616" w:type="pct"/>
                  <w:vMerge w:val="continue"/>
                  <w:tcBorders>
                    <w:tl2br w:val="nil"/>
                    <w:tr2bl w:val="nil"/>
                  </w:tcBorders>
                  <w:noWrap w:val="0"/>
                  <w:vAlign w:val="center"/>
                </w:tcPr>
                <w:p w14:paraId="540A4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840" w:type="pct"/>
                  <w:tcBorders>
                    <w:tl2br w:val="nil"/>
                    <w:tr2bl w:val="nil"/>
                  </w:tcBorders>
                  <w:noWrap w:val="0"/>
                  <w:vAlign w:val="center"/>
                </w:tcPr>
                <w:p w14:paraId="7380F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755" w:type="pct"/>
                  <w:tcBorders>
                    <w:tl2br w:val="nil"/>
                    <w:tr2bl w:val="nil"/>
                  </w:tcBorders>
                  <w:noWrap w:val="0"/>
                  <w:vAlign w:val="center"/>
                </w:tcPr>
                <w:p w14:paraId="6BD80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595" w:type="pct"/>
                  <w:vMerge w:val="continue"/>
                  <w:tcBorders>
                    <w:tl2br w:val="nil"/>
                    <w:tr2bl w:val="nil"/>
                  </w:tcBorders>
                  <w:noWrap w:val="0"/>
                  <w:vAlign w:val="center"/>
                </w:tcPr>
                <w:p w14:paraId="51D6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74" w:type="pct"/>
                  <w:vMerge w:val="continue"/>
                  <w:tcBorders>
                    <w:tl2br w:val="nil"/>
                    <w:tr2bl w:val="nil"/>
                  </w:tcBorders>
                  <w:noWrap w:val="0"/>
                  <w:vAlign w:val="center"/>
                </w:tcPr>
                <w:p w14:paraId="3AD0C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tcBorders>
                    <w:tl2br w:val="nil"/>
                    <w:tr2bl w:val="nil"/>
                  </w:tcBorders>
                  <w:noWrap w:val="0"/>
                  <w:vAlign w:val="center"/>
                </w:tcPr>
                <w:p w14:paraId="5A6A1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tcBorders>
                    <w:tl2br w:val="nil"/>
                    <w:tr2bl w:val="nil"/>
                  </w:tcBorders>
                  <w:noWrap w:val="0"/>
                  <w:vAlign w:val="center"/>
                </w:tcPr>
                <w:p w14:paraId="39EAA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0" w:type="pct"/>
                  <w:vMerge w:val="continue"/>
                  <w:tcBorders>
                    <w:tl2br w:val="nil"/>
                    <w:tr2bl w:val="nil"/>
                  </w:tcBorders>
                  <w:noWrap w:val="0"/>
                  <w:vAlign w:val="center"/>
                </w:tcPr>
                <w:p w14:paraId="512DB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05304D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66360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tc>
              <w:tc>
                <w:tcPr>
                  <w:tcW w:w="616" w:type="pct"/>
                  <w:tcBorders>
                    <w:tl2br w:val="nil"/>
                    <w:tr2bl w:val="nil"/>
                  </w:tcBorders>
                  <w:noWrap w:val="0"/>
                  <w:vAlign w:val="center"/>
                </w:tcPr>
                <w:p w14:paraId="007A6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向阳村</w:t>
                  </w:r>
                </w:p>
              </w:tc>
              <w:tc>
                <w:tcPr>
                  <w:tcW w:w="840" w:type="pct"/>
                  <w:tcBorders>
                    <w:tl2br w:val="nil"/>
                    <w:tr2bl w:val="nil"/>
                  </w:tcBorders>
                  <w:noWrap w:val="0"/>
                  <w:vAlign w:val="center"/>
                </w:tcPr>
                <w:p w14:paraId="5105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color w:val="auto"/>
                      <w:sz w:val="18"/>
                      <w:szCs w:val="18"/>
                      <w:lang w:eastAsia="zh-CN"/>
                    </w:rPr>
                    <w:t>131.512956</w:t>
                  </w:r>
                </w:p>
              </w:tc>
              <w:tc>
                <w:tcPr>
                  <w:tcW w:w="755" w:type="pct"/>
                  <w:tcBorders>
                    <w:tl2br w:val="nil"/>
                    <w:tr2bl w:val="nil"/>
                  </w:tcBorders>
                  <w:noWrap w:val="0"/>
                  <w:vAlign w:val="center"/>
                </w:tcPr>
                <w:p w14:paraId="7F504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color w:val="auto"/>
                      <w:sz w:val="18"/>
                      <w:szCs w:val="18"/>
                      <w:lang w:eastAsia="zh-CN"/>
                    </w:rPr>
                    <w:t>45.233059</w:t>
                  </w:r>
                </w:p>
              </w:tc>
              <w:tc>
                <w:tcPr>
                  <w:tcW w:w="595" w:type="pct"/>
                  <w:tcBorders>
                    <w:tl2br w:val="nil"/>
                    <w:tr2bl w:val="nil"/>
                  </w:tcBorders>
                  <w:noWrap w:val="0"/>
                  <w:vAlign w:val="center"/>
                </w:tcPr>
                <w:p w14:paraId="7AA5EC90">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noWrap w:val="0"/>
                  <w:vAlign w:val="center"/>
                </w:tcPr>
                <w:p w14:paraId="4928A7D3">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481" w:type="pct"/>
                  <w:tcBorders>
                    <w:tl2br w:val="nil"/>
                    <w:tr2bl w:val="nil"/>
                  </w:tcBorders>
                  <w:noWrap w:val="0"/>
                  <w:vAlign w:val="center"/>
                </w:tcPr>
                <w:p w14:paraId="6C771E53">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481" w:type="pct"/>
                  <w:tcBorders>
                    <w:tl2br w:val="nil"/>
                    <w:tr2bl w:val="nil"/>
                  </w:tcBorders>
                  <w:noWrap w:val="0"/>
                  <w:vAlign w:val="center"/>
                </w:tcPr>
                <w:p w14:paraId="7D923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西南</w:t>
                  </w:r>
                </w:p>
              </w:tc>
              <w:tc>
                <w:tcPr>
                  <w:tcW w:w="480" w:type="pct"/>
                  <w:tcBorders>
                    <w:tl2br w:val="nil"/>
                    <w:tr2bl w:val="nil"/>
                  </w:tcBorders>
                  <w:noWrap w:val="0"/>
                  <w:vAlign w:val="center"/>
                </w:tcPr>
                <w:p w14:paraId="4867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19m</w:t>
                  </w:r>
                </w:p>
              </w:tc>
            </w:tr>
            <w:tr w14:paraId="6F462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4E840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616" w:type="pct"/>
                  <w:tcBorders>
                    <w:tl2br w:val="nil"/>
                    <w:tr2bl w:val="nil"/>
                  </w:tcBorders>
                  <w:shd w:val="clear" w:color="auto" w:fill="auto"/>
                  <w:noWrap w:val="0"/>
                  <w:vAlign w:val="center"/>
                </w:tcPr>
                <w:p w14:paraId="44347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向阳镇</w:t>
                  </w:r>
                </w:p>
              </w:tc>
              <w:tc>
                <w:tcPr>
                  <w:tcW w:w="840" w:type="pct"/>
                  <w:tcBorders>
                    <w:tl2br w:val="nil"/>
                    <w:tr2bl w:val="nil"/>
                  </w:tcBorders>
                  <w:shd w:val="clear" w:color="auto" w:fill="auto"/>
                  <w:noWrap w:val="0"/>
                  <w:vAlign w:val="center"/>
                </w:tcPr>
                <w:p w14:paraId="709818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131.511658</w:t>
                  </w:r>
                </w:p>
              </w:tc>
              <w:tc>
                <w:tcPr>
                  <w:tcW w:w="755" w:type="pct"/>
                  <w:tcBorders>
                    <w:tl2br w:val="nil"/>
                    <w:tr2bl w:val="nil"/>
                  </w:tcBorders>
                  <w:shd w:val="clear" w:color="auto" w:fill="auto"/>
                  <w:noWrap w:val="0"/>
                  <w:vAlign w:val="center"/>
                </w:tcPr>
                <w:p w14:paraId="147E6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45.230014</w:t>
                  </w:r>
                </w:p>
              </w:tc>
              <w:tc>
                <w:tcPr>
                  <w:tcW w:w="595" w:type="pct"/>
                  <w:tcBorders>
                    <w:tl2br w:val="nil"/>
                    <w:tr2bl w:val="nil"/>
                  </w:tcBorders>
                  <w:shd w:val="clear" w:color="auto" w:fill="auto"/>
                  <w:noWrap w:val="0"/>
                  <w:vAlign w:val="center"/>
                </w:tcPr>
                <w:p w14:paraId="01187198">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居住区</w:t>
                  </w:r>
                </w:p>
              </w:tc>
              <w:tc>
                <w:tcPr>
                  <w:tcW w:w="374" w:type="pct"/>
                  <w:tcBorders>
                    <w:tl2br w:val="nil"/>
                    <w:tr2bl w:val="nil"/>
                  </w:tcBorders>
                  <w:shd w:val="clear" w:color="auto" w:fill="auto"/>
                  <w:noWrap w:val="0"/>
                  <w:vAlign w:val="center"/>
                </w:tcPr>
                <w:p w14:paraId="52F7FD8D">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7D109128">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环境空气二类区</w:t>
                  </w:r>
                </w:p>
              </w:tc>
              <w:tc>
                <w:tcPr>
                  <w:tcW w:w="481" w:type="pct"/>
                  <w:tcBorders>
                    <w:tl2br w:val="nil"/>
                    <w:tr2bl w:val="nil"/>
                  </w:tcBorders>
                  <w:shd w:val="clear" w:color="auto" w:fill="auto"/>
                  <w:noWrap w:val="0"/>
                  <w:vAlign w:val="center"/>
                </w:tcPr>
                <w:p w14:paraId="5BC31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西南</w:t>
                  </w:r>
                </w:p>
              </w:tc>
              <w:tc>
                <w:tcPr>
                  <w:tcW w:w="480" w:type="pct"/>
                  <w:tcBorders>
                    <w:tl2br w:val="nil"/>
                    <w:tr2bl w:val="nil"/>
                  </w:tcBorders>
                  <w:noWrap w:val="0"/>
                  <w:vAlign w:val="center"/>
                </w:tcPr>
                <w:p w14:paraId="1EDBE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443m</w:t>
                  </w:r>
                </w:p>
              </w:tc>
            </w:tr>
            <w:tr w14:paraId="7196F8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2DE0F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声环境</w:t>
                  </w:r>
                </w:p>
              </w:tc>
              <w:tc>
                <w:tcPr>
                  <w:tcW w:w="616" w:type="pct"/>
                  <w:tcBorders>
                    <w:tl2br w:val="nil"/>
                    <w:tr2bl w:val="nil"/>
                  </w:tcBorders>
                  <w:noWrap w:val="0"/>
                  <w:vAlign w:val="center"/>
                </w:tcPr>
                <w:p w14:paraId="6DC61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厂区南侧居民</w:t>
                  </w:r>
                </w:p>
              </w:tc>
              <w:tc>
                <w:tcPr>
                  <w:tcW w:w="840" w:type="pct"/>
                  <w:tcBorders>
                    <w:tl2br w:val="nil"/>
                    <w:tr2bl w:val="nil"/>
                  </w:tcBorders>
                  <w:noWrap w:val="0"/>
                  <w:vAlign w:val="center"/>
                </w:tcPr>
                <w:p w14:paraId="72F96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kern w:val="0"/>
                      <w:sz w:val="18"/>
                      <w:szCs w:val="18"/>
                      <w:highlight w:val="none"/>
                    </w:rPr>
                  </w:pPr>
                  <w:r>
                    <w:rPr>
                      <w:rFonts w:hint="default" w:ascii="Times New Roman" w:hAnsi="Times New Roman" w:cs="Times New Roman"/>
                      <w:color w:val="auto"/>
                      <w:sz w:val="18"/>
                      <w:szCs w:val="18"/>
                      <w:lang w:eastAsia="zh-CN"/>
                    </w:rPr>
                    <w:t>131.515633</w:t>
                  </w:r>
                </w:p>
              </w:tc>
              <w:tc>
                <w:tcPr>
                  <w:tcW w:w="755" w:type="pct"/>
                  <w:tcBorders>
                    <w:tl2br w:val="nil"/>
                    <w:tr2bl w:val="nil"/>
                  </w:tcBorders>
                  <w:noWrap w:val="0"/>
                  <w:vAlign w:val="center"/>
                </w:tcPr>
                <w:p w14:paraId="20591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kern w:val="0"/>
                      <w:sz w:val="18"/>
                      <w:szCs w:val="18"/>
                      <w:highlight w:val="none"/>
                    </w:rPr>
                  </w:pPr>
                  <w:r>
                    <w:rPr>
                      <w:rFonts w:hint="default" w:ascii="Times New Roman" w:hAnsi="Times New Roman" w:cs="Times New Roman"/>
                      <w:color w:val="auto"/>
                      <w:sz w:val="18"/>
                      <w:szCs w:val="18"/>
                      <w:lang w:eastAsia="zh-CN"/>
                    </w:rPr>
                    <w:t>45.233701</w:t>
                  </w:r>
                </w:p>
              </w:tc>
              <w:tc>
                <w:tcPr>
                  <w:tcW w:w="595" w:type="pct"/>
                  <w:tcBorders>
                    <w:tl2br w:val="nil"/>
                    <w:tr2bl w:val="nil"/>
                  </w:tcBorders>
                  <w:noWrap w:val="0"/>
                  <w:vAlign w:val="center"/>
                </w:tcPr>
                <w:p w14:paraId="3B617EB1">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向阳村居民</w:t>
                  </w:r>
                </w:p>
              </w:tc>
              <w:tc>
                <w:tcPr>
                  <w:tcW w:w="374" w:type="pct"/>
                  <w:tcBorders>
                    <w:tl2br w:val="nil"/>
                    <w:tr2bl w:val="nil"/>
                  </w:tcBorders>
                  <w:noWrap w:val="0"/>
                  <w:vAlign w:val="center"/>
                </w:tcPr>
                <w:p w14:paraId="3B595CB1">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人群</w:t>
                  </w:r>
                </w:p>
              </w:tc>
              <w:tc>
                <w:tcPr>
                  <w:tcW w:w="481" w:type="pct"/>
                  <w:tcBorders>
                    <w:tl2br w:val="nil"/>
                    <w:tr2bl w:val="nil"/>
                  </w:tcBorders>
                  <w:noWrap w:val="0"/>
                  <w:vAlign w:val="center"/>
                </w:tcPr>
                <w:p w14:paraId="23CD420F">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声环境2类区</w:t>
                  </w:r>
                </w:p>
              </w:tc>
              <w:tc>
                <w:tcPr>
                  <w:tcW w:w="481" w:type="pct"/>
                  <w:tcBorders>
                    <w:tl2br w:val="nil"/>
                    <w:tr2bl w:val="nil"/>
                  </w:tcBorders>
                  <w:noWrap w:val="0"/>
                  <w:vAlign w:val="center"/>
                </w:tcPr>
                <w:p w14:paraId="3C0E6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南</w:t>
                  </w:r>
                </w:p>
              </w:tc>
              <w:tc>
                <w:tcPr>
                  <w:tcW w:w="480" w:type="pct"/>
                  <w:tcBorders>
                    <w:tl2br w:val="nil"/>
                    <w:tr2bl w:val="nil"/>
                  </w:tcBorders>
                  <w:noWrap w:val="0"/>
                  <w:vAlign w:val="center"/>
                </w:tcPr>
                <w:p w14:paraId="4ACB87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23m</w:t>
                  </w:r>
                </w:p>
              </w:tc>
            </w:tr>
            <w:tr w14:paraId="48F51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1BB27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616" w:type="pct"/>
                  <w:tcBorders>
                    <w:tl2br w:val="nil"/>
                    <w:tr2bl w:val="nil"/>
                  </w:tcBorders>
                  <w:noWrap w:val="0"/>
                  <w:vAlign w:val="center"/>
                </w:tcPr>
                <w:p w14:paraId="55A22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厂区西侧居民</w:t>
                  </w:r>
                </w:p>
              </w:tc>
              <w:tc>
                <w:tcPr>
                  <w:tcW w:w="840" w:type="pct"/>
                  <w:tcBorders>
                    <w:tl2br w:val="nil"/>
                    <w:tr2bl w:val="nil"/>
                  </w:tcBorders>
                  <w:noWrap w:val="0"/>
                  <w:vAlign w:val="center"/>
                </w:tcPr>
                <w:p w14:paraId="73CBF2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131.513385</w:t>
                  </w:r>
                </w:p>
              </w:tc>
              <w:tc>
                <w:tcPr>
                  <w:tcW w:w="755" w:type="pct"/>
                  <w:tcBorders>
                    <w:tl2br w:val="nil"/>
                    <w:tr2bl w:val="nil"/>
                  </w:tcBorders>
                  <w:noWrap w:val="0"/>
                  <w:vAlign w:val="center"/>
                </w:tcPr>
                <w:p w14:paraId="51D04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 xml:space="preserve"> 45.234574</w:t>
                  </w:r>
                </w:p>
              </w:tc>
              <w:tc>
                <w:tcPr>
                  <w:tcW w:w="595" w:type="pct"/>
                  <w:tcBorders>
                    <w:tl2br w:val="nil"/>
                    <w:tr2bl w:val="nil"/>
                  </w:tcBorders>
                  <w:shd w:val="clear" w:color="auto" w:fill="auto"/>
                  <w:noWrap w:val="0"/>
                  <w:vAlign w:val="center"/>
                </w:tcPr>
                <w:p w14:paraId="08E457FA">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向阳村居民</w:t>
                  </w:r>
                </w:p>
              </w:tc>
              <w:tc>
                <w:tcPr>
                  <w:tcW w:w="374" w:type="pct"/>
                  <w:tcBorders>
                    <w:tl2br w:val="nil"/>
                    <w:tr2bl w:val="nil"/>
                  </w:tcBorders>
                  <w:shd w:val="clear" w:color="auto" w:fill="auto"/>
                  <w:noWrap w:val="0"/>
                  <w:vAlign w:val="center"/>
                </w:tcPr>
                <w:p w14:paraId="5D498C9D">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人群</w:t>
                  </w:r>
                </w:p>
              </w:tc>
              <w:tc>
                <w:tcPr>
                  <w:tcW w:w="481" w:type="pct"/>
                  <w:tcBorders>
                    <w:tl2br w:val="nil"/>
                    <w:tr2bl w:val="nil"/>
                  </w:tcBorders>
                  <w:shd w:val="clear" w:color="auto" w:fill="auto"/>
                  <w:noWrap w:val="0"/>
                  <w:vAlign w:val="center"/>
                </w:tcPr>
                <w:p w14:paraId="3129CBD2">
                  <w:pPr>
                    <w:pStyle w:val="48"/>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声环境2类区</w:t>
                  </w:r>
                </w:p>
              </w:tc>
              <w:tc>
                <w:tcPr>
                  <w:tcW w:w="481" w:type="pct"/>
                  <w:tcBorders>
                    <w:tl2br w:val="nil"/>
                    <w:tr2bl w:val="nil"/>
                  </w:tcBorders>
                  <w:shd w:val="clear" w:color="auto" w:fill="auto"/>
                  <w:noWrap w:val="0"/>
                  <w:vAlign w:val="center"/>
                </w:tcPr>
                <w:p w14:paraId="4BEE0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西</w:t>
                  </w:r>
                </w:p>
              </w:tc>
              <w:tc>
                <w:tcPr>
                  <w:tcW w:w="480" w:type="pct"/>
                  <w:tcBorders>
                    <w:tl2br w:val="nil"/>
                    <w:tr2bl w:val="nil"/>
                  </w:tcBorders>
                  <w:shd w:val="clear" w:color="auto" w:fill="auto"/>
                  <w:noWrap w:val="0"/>
                  <w:vAlign w:val="center"/>
                </w:tcPr>
                <w:p w14:paraId="051DA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19m</w:t>
                  </w:r>
                </w:p>
              </w:tc>
            </w:tr>
          </w:tbl>
          <w:p w14:paraId="7B9DFE7F">
            <w:pPr>
              <w:pStyle w:val="3"/>
              <w:keepNext w:val="0"/>
              <w:keepLines w:val="0"/>
              <w:suppressLineNumbers w:val="0"/>
              <w:spacing w:before="0" w:beforeAutospacing="0" w:after="0" w:afterAutospacing="0"/>
              <w:ind w:left="0" w:right="0"/>
              <w:jc w:val="both"/>
              <w:rPr>
                <w:rFonts w:hint="default"/>
                <w:color w:val="auto"/>
                <w:lang w:val="en-US" w:eastAsia="zh-CN"/>
              </w:rPr>
            </w:pPr>
            <w:r>
              <w:rPr>
                <w:rFonts w:hint="default"/>
                <w:color w:val="auto"/>
                <w:sz w:val="21"/>
              </w:rPr>
              <mc:AlternateContent>
                <mc:Choice Requires="wps">
                  <w:drawing>
                    <wp:anchor distT="0" distB="0" distL="114300" distR="114300" simplePos="0" relativeHeight="251680768" behindDoc="0" locked="0" layoutInCell="1" allowOverlap="1">
                      <wp:simplePos x="0" y="0"/>
                      <wp:positionH relativeFrom="column">
                        <wp:posOffset>3906520</wp:posOffset>
                      </wp:positionH>
                      <wp:positionV relativeFrom="paragraph">
                        <wp:posOffset>2978150</wp:posOffset>
                      </wp:positionV>
                      <wp:extent cx="214630" cy="119380"/>
                      <wp:effectExtent l="12700" t="12700" r="20320" b="20320"/>
                      <wp:wrapNone/>
                      <wp:docPr id="98" name="矩形 98"/>
                      <wp:cNvGraphicFramePr/>
                      <a:graphic xmlns:a="http://schemas.openxmlformats.org/drawingml/2006/main">
                        <a:graphicData uri="http://schemas.microsoft.com/office/word/2010/wordprocessingShape">
                          <wps:wsp>
                            <wps:cNvSpPr/>
                            <wps:spPr>
                              <a:xfrm>
                                <a:off x="5377815" y="8529955"/>
                                <a:ext cx="214630" cy="119380"/>
                              </a:xfrm>
                              <a:prstGeom prst="rect">
                                <a:avLst/>
                              </a:prstGeom>
                              <a:ln>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6pt;margin-top:234.5pt;height:9.4pt;width:16.9pt;z-index:251680768;v-text-anchor:middle;mso-width-relative:page;mso-height-relative:page;" filled="f" stroked="t" coordsize="21600,21600" o:gfxdata="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m54da2gAAAAsBAAAPAAAAAAAAAAEAIAAAACIAAABkcnMvZG93bnJl&#10;di54bWxQSwECFAAUAAAACACHTuJA3Ghwx20CAADBBAAADgAAAAAAAAABACAAAAApAQAAZHJzL2Uy&#10;b0RvYy54bWxQSwUGAAAAAAYABgBZAQAACAYAAAAA&#10;">
                      <v:fill on="f" focussize="0,0"/>
                      <v:stroke weight="2pt" color="#FF0000 [3204]" joinstyle="round"/>
                      <v:imagedata o:title=""/>
                      <o:lock v:ext="edit" aspectratio="f"/>
                    </v:rect>
                  </w:pict>
                </mc:Fallback>
              </mc:AlternateContent>
            </w:r>
            <w:r>
              <w:rPr>
                <w:rFonts w:hint="default"/>
                <w:color w:val="auto"/>
                <w:sz w:val="21"/>
                <w:szCs w:val="21"/>
                <w:highlight w:val="none"/>
              </w:rPr>
              <mc:AlternateContent>
                <mc:Choice Requires="wps">
                  <w:drawing>
                    <wp:anchor distT="0" distB="0" distL="114300" distR="114300" simplePos="0" relativeHeight="251679744" behindDoc="0" locked="0" layoutInCell="1" allowOverlap="1">
                      <wp:simplePos x="0" y="0"/>
                      <wp:positionH relativeFrom="column">
                        <wp:posOffset>3805555</wp:posOffset>
                      </wp:positionH>
                      <wp:positionV relativeFrom="paragraph">
                        <wp:posOffset>2691765</wp:posOffset>
                      </wp:positionV>
                      <wp:extent cx="1292860" cy="881380"/>
                      <wp:effectExtent l="5080" t="4445" r="16510" b="9525"/>
                      <wp:wrapNone/>
                      <wp:docPr id="94" name="文本框 94"/>
                      <wp:cNvGraphicFramePr/>
                      <a:graphic xmlns:a="http://schemas.openxmlformats.org/drawingml/2006/main">
                        <a:graphicData uri="http://schemas.microsoft.com/office/word/2010/wordprocessingShape">
                          <wps:wsp>
                            <wps:cNvSpPr txBox="1"/>
                            <wps:spPr>
                              <a:xfrm>
                                <a:off x="0" y="0"/>
                                <a:ext cx="1292860" cy="8813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AFB89C9">
                                  <w:pPr>
                                    <w:jc w:val="center"/>
                                    <w:rPr>
                                      <w:rFonts w:hint="eastAsia"/>
                                      <w:lang w:val="en-US" w:eastAsia="zh-CN"/>
                                    </w:rPr>
                                  </w:pPr>
                                  <w:r>
                                    <w:rPr>
                                      <w:rFonts w:hint="eastAsia"/>
                                      <w:lang w:val="en-US" w:eastAsia="zh-CN"/>
                                    </w:rPr>
                                    <w:t>图例</w:t>
                                  </w:r>
                                </w:p>
                                <w:p w14:paraId="42A3A89E">
                                  <w:pPr>
                                    <w:ind w:firstLine="420" w:firstLineChars="200"/>
                                    <w:jc w:val="both"/>
                                    <w:rPr>
                                      <w:rFonts w:hint="default"/>
                                      <w:lang w:val="en-US" w:eastAsia="zh-CN"/>
                                    </w:rPr>
                                  </w:pPr>
                                  <w:r>
                                    <w:rPr>
                                      <w:rFonts w:hint="eastAsia"/>
                                      <w:lang w:val="en-US" w:eastAsia="zh-CN"/>
                                    </w:rPr>
                                    <w:t>项目位置</w:t>
                                  </w:r>
                                </w:p>
                                <w:p w14:paraId="70217B76">
                                  <w:pPr>
                                    <w:pStyle w:val="44"/>
                                    <w:rPr>
                                      <w:rFonts w:hint="default" w:eastAsia="宋体"/>
                                      <w:lang w:val="en-US" w:eastAsia="zh-CN"/>
                                    </w:rPr>
                                  </w:pPr>
                                  <w:r>
                                    <w:drawing>
                                      <wp:inline distT="0" distB="0" distL="114300" distR="114300">
                                        <wp:extent cx="210820" cy="225425"/>
                                        <wp:effectExtent l="0" t="0" r="17780" b="3175"/>
                                        <wp:docPr id="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
                                                <pic:cNvPicPr>
                                                  <a:picLocks noChangeAspect="1"/>
                                                </pic:cNvPicPr>
                                              </pic:nvPicPr>
                                              <pic:blipFill>
                                                <a:blip r:embed="rId14"/>
                                                <a:stretch>
                                                  <a:fillRect/>
                                                </a:stretch>
                                              </pic:blipFill>
                                              <pic:spPr>
                                                <a:xfrm>
                                                  <a:off x="0" y="0"/>
                                                  <a:ext cx="210820" cy="225425"/>
                                                </a:xfrm>
                                                <a:prstGeom prst="rect">
                                                  <a:avLst/>
                                                </a:prstGeom>
                                                <a:noFill/>
                                                <a:ln>
                                                  <a:noFill/>
                                                </a:ln>
                                              </pic:spPr>
                                            </pic:pic>
                                          </a:graphicData>
                                        </a:graphic>
                                      </wp:inline>
                                    </w:drawing>
                                  </w:r>
                                  <w:r>
                                    <w:rPr>
                                      <w:rFonts w:hint="eastAsia"/>
                                      <w:lang w:val="en-US" w:eastAsia="zh-CN"/>
                                    </w:rPr>
                                    <w:t xml:space="preserve"> 国光村水源井</w:t>
                                  </w:r>
                                </w:p>
                                <w:p w14:paraId="350655FC">
                                  <w:pPr>
                                    <w:pStyle w:val="44"/>
                                    <w:rPr>
                                      <w:rFonts w:hint="eastAsia"/>
                                      <w:lang w:val="en-US" w:eastAsia="zh-CN"/>
                                    </w:rPr>
                                  </w:pPr>
                                </w:p>
                              </w:txbxContent>
                            </wps:txbx>
                            <wps:bodyPr upright="1"/>
                          </wps:wsp>
                        </a:graphicData>
                      </a:graphic>
                    </wp:anchor>
                  </w:drawing>
                </mc:Choice>
                <mc:Fallback>
                  <w:pict>
                    <v:shape id="_x0000_s1026" o:spid="_x0000_s1026" o:spt="202" type="#_x0000_t202" style="position:absolute;left:0pt;margin-left:299.65pt;margin-top:211.95pt;height:69.4pt;width:101.8pt;z-index:251679744;mso-width-relative:page;mso-height-relative:page;" fillcolor="#FFFFFF" filled="t" stroked="t" coordsize="21600,21600" o:gfxdata="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keLHdoAAAALAQAADwAAAAAAAAAB&#10;ACAAAAAiAAAAZHJzL2Rvd25yZXYueG1sUEsBAhQAFAAAAAgAh07iQPU6SKUOAgAAOAQAAA4AAAAA&#10;AAAAAQAgAAAAKQEAAGRycy9lMm9Eb2MueG1sUEsFBgAAAAAGAAYAWQEAAKkFAAAAAA==&#10;">
                      <v:fill on="t" focussize="0,0"/>
                      <v:stroke color="#000000" joinstyle="miter"/>
                      <v:imagedata o:title=""/>
                      <o:lock v:ext="edit" aspectratio="f"/>
                      <v:textbox>
                        <w:txbxContent>
                          <w:p w14:paraId="5AFB89C9">
                            <w:pPr>
                              <w:jc w:val="center"/>
                              <w:rPr>
                                <w:rFonts w:hint="eastAsia"/>
                                <w:lang w:val="en-US" w:eastAsia="zh-CN"/>
                              </w:rPr>
                            </w:pPr>
                            <w:r>
                              <w:rPr>
                                <w:rFonts w:hint="eastAsia"/>
                                <w:lang w:val="en-US" w:eastAsia="zh-CN"/>
                              </w:rPr>
                              <w:t>图例</w:t>
                            </w:r>
                          </w:p>
                          <w:p w14:paraId="42A3A89E">
                            <w:pPr>
                              <w:ind w:firstLine="420" w:firstLineChars="200"/>
                              <w:jc w:val="both"/>
                              <w:rPr>
                                <w:rFonts w:hint="default"/>
                                <w:lang w:val="en-US" w:eastAsia="zh-CN"/>
                              </w:rPr>
                            </w:pPr>
                            <w:r>
                              <w:rPr>
                                <w:rFonts w:hint="eastAsia"/>
                                <w:lang w:val="en-US" w:eastAsia="zh-CN"/>
                              </w:rPr>
                              <w:t>项目位置</w:t>
                            </w:r>
                          </w:p>
                          <w:p w14:paraId="70217B76">
                            <w:pPr>
                              <w:pStyle w:val="44"/>
                              <w:rPr>
                                <w:rFonts w:hint="default" w:eastAsia="宋体"/>
                                <w:lang w:val="en-US" w:eastAsia="zh-CN"/>
                              </w:rPr>
                            </w:pPr>
                            <w:r>
                              <w:drawing>
                                <wp:inline distT="0" distB="0" distL="114300" distR="114300">
                                  <wp:extent cx="210820" cy="225425"/>
                                  <wp:effectExtent l="0" t="0" r="17780" b="3175"/>
                                  <wp:docPr id="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
                                          <pic:cNvPicPr>
                                            <a:picLocks noChangeAspect="1"/>
                                          </pic:cNvPicPr>
                                        </pic:nvPicPr>
                                        <pic:blipFill>
                                          <a:blip r:embed="rId14"/>
                                          <a:stretch>
                                            <a:fillRect/>
                                          </a:stretch>
                                        </pic:blipFill>
                                        <pic:spPr>
                                          <a:xfrm>
                                            <a:off x="0" y="0"/>
                                            <a:ext cx="210820" cy="225425"/>
                                          </a:xfrm>
                                          <a:prstGeom prst="rect">
                                            <a:avLst/>
                                          </a:prstGeom>
                                          <a:noFill/>
                                          <a:ln>
                                            <a:noFill/>
                                          </a:ln>
                                        </pic:spPr>
                                      </pic:pic>
                                    </a:graphicData>
                                  </a:graphic>
                                </wp:inline>
                              </w:drawing>
                            </w:r>
                            <w:r>
                              <w:rPr>
                                <w:rFonts w:hint="eastAsia"/>
                                <w:lang w:val="en-US" w:eastAsia="zh-CN"/>
                              </w:rPr>
                              <w:t xml:space="preserve"> 国光村水源井</w:t>
                            </w:r>
                          </w:p>
                          <w:p w14:paraId="350655FC">
                            <w:pPr>
                              <w:pStyle w:val="44"/>
                              <w:rPr>
                                <w:rFonts w:hint="eastAsia"/>
                                <w:lang w:val="en-US" w:eastAsia="zh-CN"/>
                              </w:rPr>
                            </w:pPr>
                          </w:p>
                        </w:txbxContent>
                      </v:textbox>
                    </v:shape>
                  </w:pict>
                </mc:Fallback>
              </mc:AlternateContent>
            </w:r>
            <w:r>
              <w:rPr>
                <w:rFonts w:hint="default"/>
                <w:color w:val="auto"/>
              </w:rPr>
              <w:drawing>
                <wp:inline distT="0" distB="0" distL="114300" distR="114300">
                  <wp:extent cx="5100320" cy="3528695"/>
                  <wp:effectExtent l="0" t="0" r="5080" b="14605"/>
                  <wp:docPr id="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pic:cNvPicPr>
                            <a:picLocks noChangeAspect="1"/>
                          </pic:cNvPicPr>
                        </pic:nvPicPr>
                        <pic:blipFill>
                          <a:blip r:embed="rId15"/>
                          <a:stretch>
                            <a:fillRect/>
                          </a:stretch>
                        </pic:blipFill>
                        <pic:spPr>
                          <a:xfrm>
                            <a:off x="0" y="0"/>
                            <a:ext cx="5100320" cy="3528695"/>
                          </a:xfrm>
                          <a:prstGeom prst="rect">
                            <a:avLst/>
                          </a:prstGeom>
                          <a:noFill/>
                          <a:ln>
                            <a:noFill/>
                          </a:ln>
                        </pic:spPr>
                      </pic:pic>
                    </a:graphicData>
                  </a:graphic>
                </wp:inline>
              </w:drawing>
            </w:r>
          </w:p>
        </w:tc>
      </w:tr>
      <w:tr w14:paraId="683F96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452" w:type="pct"/>
            <w:vAlign w:val="center"/>
          </w:tcPr>
          <w:p w14:paraId="2BA0C9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5B2CBABA">
            <w:pPr>
              <w:pStyle w:val="95"/>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SA"/>
              </w:rPr>
              <w:t>1、</w:t>
            </w:r>
            <w:r>
              <w:rPr>
                <w:rFonts w:hint="default" w:ascii="Times New Roman" w:hAnsi="Times New Roman" w:cs="Times New Roman"/>
                <w:b/>
                <w:bCs/>
                <w:color w:val="auto"/>
                <w:sz w:val="21"/>
                <w:szCs w:val="21"/>
                <w:highlight w:val="none"/>
              </w:rPr>
              <w:t>废气</w:t>
            </w:r>
          </w:p>
          <w:p w14:paraId="0ED4C500">
            <w:pPr>
              <w:keepNext w:val="0"/>
              <w:keepLines w:val="0"/>
              <w:suppressLineNumbers w:val="0"/>
              <w:spacing w:before="0" w:beforeAutospacing="0" w:after="0" w:afterAutospacing="0" w:line="360" w:lineRule="auto"/>
              <w:ind w:left="0" w:right="0" w:firstLine="420" w:firstLineChars="200"/>
              <w:rPr>
                <w:rFonts w:hint="eastAsia"/>
                <w:color w:val="auto"/>
                <w:kern w:val="0"/>
                <w:sz w:val="24"/>
                <w:szCs w:val="20"/>
                <w:highlight w:val="none"/>
              </w:rPr>
            </w:pPr>
            <w:r>
              <w:rPr>
                <w:rFonts w:hint="eastAsia"/>
                <w:color w:val="auto"/>
                <w:kern w:val="0"/>
                <w:szCs w:val="21"/>
                <w:highlight w:val="none"/>
              </w:rPr>
              <w:t>施工期</w:t>
            </w:r>
            <w:r>
              <w:rPr>
                <w:rFonts w:hint="eastAsia"/>
                <w:color w:val="auto"/>
                <w:kern w:val="0"/>
                <w:szCs w:val="21"/>
                <w:highlight w:val="none"/>
                <w:lang w:eastAsia="zh-CN"/>
              </w:rPr>
              <w:t>：</w:t>
            </w:r>
            <w:r>
              <w:rPr>
                <w:rFonts w:hint="eastAsia"/>
                <w:color w:val="auto"/>
                <w:kern w:val="0"/>
                <w:szCs w:val="21"/>
                <w:highlight w:val="none"/>
                <w:lang w:val="en-US" w:eastAsia="zh-CN"/>
              </w:rPr>
              <w:t>废气</w:t>
            </w:r>
            <w:r>
              <w:rPr>
                <w:rFonts w:hint="eastAsia"/>
                <w:color w:val="auto"/>
                <w:kern w:val="0"/>
                <w:szCs w:val="21"/>
                <w:highlight w:val="none"/>
              </w:rPr>
              <w:t>执行《大气污染物综合排放标准》（GB16297-1996）表2中无组织排放浓度限值要求，见表3-</w:t>
            </w:r>
            <w:r>
              <w:rPr>
                <w:rFonts w:hint="eastAsia"/>
                <w:color w:val="auto"/>
                <w:kern w:val="0"/>
                <w:szCs w:val="21"/>
                <w:highlight w:val="none"/>
                <w:lang w:val="en-US" w:eastAsia="zh-CN"/>
              </w:rPr>
              <w:t>6</w:t>
            </w:r>
            <w:r>
              <w:rPr>
                <w:rFonts w:hint="eastAsia"/>
                <w:color w:val="auto"/>
                <w:kern w:val="0"/>
                <w:szCs w:val="21"/>
                <w:highlight w:val="none"/>
              </w:rPr>
              <w:t>。</w:t>
            </w:r>
          </w:p>
          <w:p w14:paraId="5B8FA268">
            <w:pPr>
              <w:keepNext w:val="0"/>
              <w:keepLines w:val="0"/>
              <w:widowControl/>
              <w:suppressLineNumbers w:val="0"/>
              <w:spacing w:before="0" w:beforeAutospacing="0" w:after="0" w:afterAutospacing="0"/>
              <w:ind w:left="0" w:right="0"/>
              <w:jc w:val="center"/>
              <w:rPr>
                <w:rFonts w:hint="default"/>
                <w:b/>
                <w:bCs/>
                <w:color w:val="auto"/>
                <w:szCs w:val="21"/>
                <w:highlight w:val="none"/>
              </w:rPr>
            </w:pPr>
            <w:r>
              <w:rPr>
                <w:rFonts w:hint="eastAsia" w:ascii="宋体" w:hAnsi="宋体" w:cs="宋体"/>
                <w:b/>
                <w:bCs/>
                <w:color w:val="auto"/>
                <w:kern w:val="0"/>
                <w:szCs w:val="21"/>
                <w:highlight w:val="none"/>
                <w:lang w:bidi="ar"/>
              </w:rPr>
              <w:t>表</w:t>
            </w:r>
            <w:r>
              <w:rPr>
                <w:rFonts w:hint="default"/>
                <w:b/>
                <w:bCs/>
                <w:color w:val="auto"/>
                <w:kern w:val="0"/>
                <w:szCs w:val="21"/>
                <w:highlight w:val="none"/>
                <w:lang w:bidi="ar"/>
              </w:rPr>
              <w:t>3-</w:t>
            </w:r>
            <w:r>
              <w:rPr>
                <w:rFonts w:hint="eastAsia"/>
                <w:b/>
                <w:bCs/>
                <w:color w:val="auto"/>
                <w:kern w:val="0"/>
                <w:szCs w:val="21"/>
                <w:highlight w:val="none"/>
                <w:lang w:val="en-US" w:eastAsia="zh-CN" w:bidi="ar"/>
              </w:rPr>
              <w:t>6</w:t>
            </w:r>
            <w:r>
              <w:rPr>
                <w:rFonts w:hint="default"/>
                <w:b/>
                <w:bCs/>
                <w:color w:val="auto"/>
                <w:kern w:val="0"/>
                <w:szCs w:val="21"/>
                <w:highlight w:val="none"/>
                <w:lang w:bidi="ar"/>
              </w:rPr>
              <w:t xml:space="preserve"> </w:t>
            </w:r>
            <w:r>
              <w:rPr>
                <w:rFonts w:hint="eastAsia" w:ascii="宋体" w:hAnsi="宋体" w:cs="宋体"/>
                <w:b/>
                <w:bCs/>
                <w:color w:val="auto"/>
                <w:kern w:val="0"/>
                <w:szCs w:val="21"/>
                <w:highlight w:val="none"/>
                <w:lang w:bidi="ar"/>
              </w:rPr>
              <w:t>颗粒物排放标准（单位：</w:t>
            </w:r>
            <w:r>
              <w:rPr>
                <w:rFonts w:hint="default"/>
                <w:b/>
                <w:bCs/>
                <w:color w:val="auto"/>
                <w:kern w:val="0"/>
                <w:szCs w:val="21"/>
                <w:highlight w:val="none"/>
                <w:lang w:bidi="ar"/>
              </w:rPr>
              <w:t>mg/m</w:t>
            </w:r>
            <w:r>
              <w:rPr>
                <w:rFonts w:hint="default"/>
                <w:b/>
                <w:bCs/>
                <w:color w:val="auto"/>
                <w:kern w:val="0"/>
                <w:szCs w:val="21"/>
                <w:highlight w:val="none"/>
                <w:vertAlign w:val="superscript"/>
                <w:lang w:bidi="ar"/>
              </w:rPr>
              <w:t>3</w:t>
            </w:r>
            <w:r>
              <w:rPr>
                <w:rFonts w:hint="eastAsia" w:ascii="宋体" w:hAnsi="宋体" w:cs="宋体"/>
                <w:b/>
                <w:bCs/>
                <w:color w:val="auto"/>
                <w:kern w:val="0"/>
                <w:szCs w:val="21"/>
                <w:highlight w:val="none"/>
                <w:lang w:bidi="ar"/>
              </w:rPr>
              <w:t>）</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3249"/>
              <w:gridCol w:w="2546"/>
            </w:tblGrid>
            <w:tr w14:paraId="38503E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7A384B26">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l2br w:val="nil"/>
                    <w:tr2bl w:val="nil"/>
                  </w:tcBorders>
                  <w:noWrap w:val="0"/>
                  <w:vAlign w:val="center"/>
                </w:tcPr>
                <w:p w14:paraId="368B207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l2br w:val="nil"/>
                    <w:tr2bl w:val="nil"/>
                  </w:tcBorders>
                  <w:noWrap w:val="0"/>
                  <w:vAlign w:val="center"/>
                </w:tcPr>
                <w:p w14:paraId="405D730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1628926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04DC8470">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tl2br w:val="nil"/>
                    <w:tr2bl w:val="nil"/>
                  </w:tcBorders>
                  <w:noWrap w:val="0"/>
                  <w:vAlign w:val="center"/>
                </w:tcPr>
                <w:p w14:paraId="57E9BAD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tl2br w:val="nil"/>
                    <w:tr2bl w:val="nil"/>
                  </w:tcBorders>
                  <w:noWrap w:val="0"/>
                  <w:vAlign w:val="center"/>
                </w:tcPr>
                <w:p w14:paraId="0D02A6C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07D93885">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firstLine="420" w:firstLineChars="200"/>
              <w:jc w:val="both"/>
              <w:textAlignment w:val="baseline"/>
              <w:rPr>
                <w:rFonts w:hint="eastAsia" w:cs="Times New Roman"/>
                <w:b w:val="0"/>
                <w:bCs w:val="0"/>
                <w:color w:val="auto"/>
                <w:sz w:val="21"/>
                <w:szCs w:val="21"/>
                <w:highlight w:val="none"/>
                <w:lang w:val="en-US" w:eastAsia="zh-CN"/>
              </w:rPr>
            </w:pPr>
          </w:p>
          <w:p w14:paraId="1155FE54">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eastAsia" w:cs="Times New Roman"/>
                <w:b w:val="0"/>
                <w:bCs w:val="0"/>
                <w:color w:val="auto"/>
                <w:sz w:val="21"/>
                <w:szCs w:val="21"/>
                <w:highlight w:val="none"/>
                <w:lang w:val="en-US" w:eastAsia="zh-CN"/>
              </w:rPr>
              <w:t>运营期：</w:t>
            </w:r>
            <w:r>
              <w:rPr>
                <w:rFonts w:hint="default" w:ascii="Times New Roman" w:hAnsi="Times New Roman" w:eastAsia="宋体" w:cs="Times New Roman"/>
                <w:color w:val="auto"/>
                <w:kern w:val="0"/>
                <w:sz w:val="21"/>
                <w:szCs w:val="21"/>
                <w:highlight w:val="none"/>
                <w:lang w:val="en-US" w:eastAsia="zh-CN"/>
              </w:rPr>
              <w:t>热风炉废气：</w:t>
            </w: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排放浓度执行《工业炉窑大气污染物排放标准》（GB9078-1996）中的表4中的二级标准，</w:t>
            </w:r>
            <w:r>
              <w:rPr>
                <w:rFonts w:hint="eastAsia" w:cs="Times New Roman"/>
                <w:color w:val="auto"/>
                <w:kern w:val="0"/>
                <w:sz w:val="21"/>
                <w:szCs w:val="21"/>
                <w:highlight w:val="none"/>
                <w:lang w:eastAsia="zh-CN"/>
              </w:rPr>
              <w:t>颗粒物</w:t>
            </w:r>
            <w:r>
              <w:rPr>
                <w:rFonts w:hint="default" w:ascii="Times New Roman" w:hAnsi="Times New Roman" w:eastAsia="宋体" w:cs="Times New Roman"/>
                <w:color w:val="auto"/>
                <w:kern w:val="0"/>
                <w:sz w:val="21"/>
                <w:szCs w:val="21"/>
                <w:highlight w:val="none"/>
                <w:lang w:eastAsia="zh-CN"/>
              </w:rPr>
              <w:t>排放浓度及烟气黑度</w:t>
            </w:r>
            <w:r>
              <w:rPr>
                <w:rFonts w:hint="default" w:ascii="Times New Roman" w:hAnsi="Times New Roman" w:eastAsia="宋体" w:cs="Times New Roman"/>
                <w:color w:val="auto"/>
                <w:kern w:val="0"/>
                <w:sz w:val="21"/>
                <w:szCs w:val="21"/>
                <w:highlight w:val="none"/>
              </w:rPr>
              <w:t>执行《工业炉窑大气污染物排放标准》（GB9078-1996）中的表2中的二级标准</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热风炉周边无组织排放颗粒物浓度执行</w:t>
            </w:r>
            <w:r>
              <w:rPr>
                <w:rFonts w:hint="default" w:ascii="Times New Roman" w:hAnsi="Times New Roman" w:eastAsia="宋体" w:cs="Times New Roman"/>
                <w:color w:val="auto"/>
                <w:kern w:val="0"/>
                <w:sz w:val="21"/>
                <w:szCs w:val="21"/>
                <w:highlight w:val="none"/>
              </w:rPr>
              <w:t>《工业炉窑大气污染物排放标准》（GB9078-1996）中的表</w:t>
            </w:r>
            <w:r>
              <w:rPr>
                <w:rFonts w:hint="eastAsia"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标准</w:t>
            </w:r>
            <w:r>
              <w:rPr>
                <w:rFonts w:hint="eastAsia" w:ascii="Times New Roman" w:hAnsi="Times New Roman" w:eastAsia="宋体" w:cs="Times New Roman"/>
                <w:color w:val="auto"/>
                <w:kern w:val="0"/>
                <w:sz w:val="21"/>
                <w:szCs w:val="21"/>
                <w:highlight w:val="none"/>
                <w:lang w:eastAsia="zh-CN"/>
              </w:rPr>
              <w:t>。</w:t>
            </w:r>
          </w:p>
          <w:p w14:paraId="014E8704">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rPr>
              <w:t>表3-</w:t>
            </w:r>
            <w:r>
              <w:rPr>
                <w:rFonts w:hint="eastAsia" w:cs="Times New Roman"/>
                <w:b/>
                <w:bCs/>
                <w:color w:val="auto"/>
                <w:kern w:val="0"/>
                <w:szCs w:val="21"/>
                <w:highlight w:val="none"/>
                <w:lang w:val="en-US" w:eastAsia="zh-CN"/>
              </w:rPr>
              <w:t>7</w:t>
            </w:r>
            <w:r>
              <w:rPr>
                <w:rFonts w:hint="eastAsia" w:ascii="Times New Roman" w:hAnsi="Times New Roman" w:eastAsia="宋体" w:cs="Times New Roman"/>
                <w:b/>
                <w:bCs/>
                <w:color w:val="auto"/>
                <w:kern w:val="0"/>
                <w:szCs w:val="21"/>
                <w:highlight w:val="none"/>
                <w:lang w:val="en-US" w:eastAsia="zh-CN"/>
              </w:rPr>
              <w:t xml:space="preserve"> </w:t>
            </w:r>
            <w:r>
              <w:rPr>
                <w:rFonts w:hint="eastAsia" w:cs="Times New Roman"/>
                <w:b/>
                <w:bCs/>
                <w:color w:val="auto"/>
                <w:kern w:val="0"/>
                <w:szCs w:val="21"/>
                <w:highlight w:val="none"/>
                <w:lang w:val="en-US" w:eastAsia="zh-CN"/>
              </w:rPr>
              <w:t>本项目热风炉</w:t>
            </w:r>
            <w:r>
              <w:rPr>
                <w:rFonts w:hint="default" w:ascii="Times New Roman" w:hAnsi="Times New Roman" w:eastAsia="宋体" w:cs="Times New Roman"/>
                <w:b/>
                <w:bCs/>
                <w:color w:val="auto"/>
                <w:kern w:val="0"/>
                <w:szCs w:val="21"/>
                <w:highlight w:val="none"/>
              </w:rPr>
              <w:t>大气污染物排放</w:t>
            </w:r>
            <w:r>
              <w:rPr>
                <w:rFonts w:hint="eastAsia" w:cs="Times New Roman"/>
                <w:b/>
                <w:bCs/>
                <w:color w:val="auto"/>
                <w:kern w:val="0"/>
                <w:szCs w:val="21"/>
                <w:highlight w:val="none"/>
                <w:lang w:val="en-US" w:eastAsia="zh-CN"/>
              </w:rPr>
              <w:t>执行</w:t>
            </w:r>
            <w:r>
              <w:rPr>
                <w:rFonts w:hint="default" w:ascii="Times New Roman" w:hAnsi="Times New Roman" w:eastAsia="宋体" w:cs="Times New Roman"/>
                <w:b/>
                <w:bCs/>
                <w:color w:val="auto"/>
                <w:kern w:val="0"/>
                <w:szCs w:val="21"/>
                <w:highlight w:val="none"/>
              </w:rPr>
              <w:t>标准</w:t>
            </w:r>
          </w:p>
          <w:tbl>
            <w:tblPr>
              <w:tblStyle w:val="3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568"/>
              <w:gridCol w:w="2230"/>
              <w:gridCol w:w="2666"/>
            </w:tblGrid>
            <w:tr w14:paraId="6871A0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45AAD099">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污染物项目</w:t>
                  </w:r>
                </w:p>
              </w:tc>
              <w:tc>
                <w:tcPr>
                  <w:tcW w:w="1388" w:type="pct"/>
                  <w:noWrap w:val="0"/>
                  <w:vAlign w:val="center"/>
                </w:tcPr>
                <w:p w14:paraId="28D85132">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二级标准</w:t>
                  </w:r>
                </w:p>
              </w:tc>
              <w:tc>
                <w:tcPr>
                  <w:tcW w:w="1659" w:type="pct"/>
                  <w:noWrap w:val="0"/>
                  <w:vAlign w:val="center"/>
                </w:tcPr>
                <w:p w14:paraId="27DD4812">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污染物排放监控位置</w:t>
                  </w:r>
                </w:p>
              </w:tc>
            </w:tr>
            <w:tr w14:paraId="3C085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29C1006F">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颗粒物</w:t>
                  </w:r>
                </w:p>
              </w:tc>
              <w:tc>
                <w:tcPr>
                  <w:tcW w:w="1388" w:type="pct"/>
                  <w:noWrap w:val="0"/>
                  <w:vAlign w:val="center"/>
                </w:tcPr>
                <w:p w14:paraId="27D26B6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200</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p>
              </w:tc>
              <w:tc>
                <w:tcPr>
                  <w:tcW w:w="1659" w:type="pct"/>
                  <w:vMerge w:val="restart"/>
                  <w:noWrap w:val="0"/>
                  <w:vAlign w:val="center"/>
                </w:tcPr>
                <w:p w14:paraId="3E6B9F4D">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eastAsia="zh-CN"/>
                    </w:rPr>
                  </w:pPr>
                  <w:r>
                    <w:rPr>
                      <w:rFonts w:hint="eastAsia" w:cs="Times New Roman"/>
                      <w:color w:val="auto"/>
                      <w:sz w:val="18"/>
                      <w:szCs w:val="18"/>
                      <w:highlight w:val="none"/>
                      <w:lang w:eastAsia="zh-CN"/>
                    </w:rPr>
                    <w:t>烟囱</w:t>
                  </w:r>
                </w:p>
              </w:tc>
            </w:tr>
            <w:tr w14:paraId="0A0D1E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541D479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二氧化硫</w:t>
                  </w:r>
                </w:p>
              </w:tc>
              <w:tc>
                <w:tcPr>
                  <w:tcW w:w="1388" w:type="pct"/>
                  <w:noWrap w:val="0"/>
                  <w:vAlign w:val="center"/>
                </w:tcPr>
                <w:p w14:paraId="7A694CE4">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850</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p>
              </w:tc>
              <w:tc>
                <w:tcPr>
                  <w:tcW w:w="1659" w:type="pct"/>
                  <w:vMerge w:val="continue"/>
                  <w:noWrap w:val="0"/>
                  <w:vAlign w:val="center"/>
                </w:tcPr>
                <w:p w14:paraId="1DADE42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12DDF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72E26F1A">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lang w:eastAsia="zh-CN"/>
                    </w:rPr>
                  </w:pPr>
                  <w:r>
                    <w:rPr>
                      <w:rFonts w:hint="default" w:ascii="Times New Roman" w:hAnsi="Times New Roman" w:eastAsia="宋体" w:cs="Times New Roman"/>
                      <w:bCs/>
                      <w:color w:val="auto"/>
                      <w:kern w:val="0"/>
                      <w:sz w:val="18"/>
                      <w:szCs w:val="18"/>
                      <w:highlight w:val="none"/>
                    </w:rPr>
                    <w:t>烟气黑度（</w:t>
                  </w:r>
                  <w:r>
                    <w:rPr>
                      <w:rFonts w:hint="eastAsia" w:ascii="Times New Roman" w:hAnsi="Times New Roman" w:eastAsia="宋体" w:cs="Times New Roman"/>
                      <w:bCs/>
                      <w:color w:val="auto"/>
                      <w:kern w:val="0"/>
                      <w:sz w:val="18"/>
                      <w:szCs w:val="18"/>
                      <w:highlight w:val="none"/>
                      <w:lang w:eastAsia="zh-CN"/>
                    </w:rPr>
                    <w:t>林格曼黑度</w:t>
                  </w:r>
                  <w:r>
                    <w:rPr>
                      <w:rFonts w:hint="default" w:ascii="Times New Roman" w:hAnsi="Times New Roman" w:eastAsia="宋体" w:cs="Times New Roman"/>
                      <w:bCs/>
                      <w:color w:val="auto"/>
                      <w:kern w:val="0"/>
                      <w:sz w:val="18"/>
                      <w:szCs w:val="18"/>
                      <w:highlight w:val="none"/>
                    </w:rPr>
                    <w:t>，级）</w:t>
                  </w:r>
                </w:p>
              </w:tc>
              <w:tc>
                <w:tcPr>
                  <w:tcW w:w="1388" w:type="pct"/>
                  <w:noWrap w:val="0"/>
                  <w:vAlign w:val="center"/>
                </w:tcPr>
                <w:p w14:paraId="45A9B0F9">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rPr>
                    <w:t>≤1</w:t>
                  </w:r>
                </w:p>
              </w:tc>
              <w:tc>
                <w:tcPr>
                  <w:tcW w:w="1659" w:type="pct"/>
                  <w:vMerge w:val="continue"/>
                  <w:noWrap w:val="0"/>
                  <w:vAlign w:val="center"/>
                </w:tcPr>
                <w:p w14:paraId="4A7927C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7C7DA2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2E638F67">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lang w:eastAsia="zh-CN"/>
                    </w:rPr>
                    <w:t>氮氧化物</w:t>
                  </w:r>
                </w:p>
              </w:tc>
              <w:tc>
                <w:tcPr>
                  <w:tcW w:w="1388" w:type="pct"/>
                  <w:noWrap w:val="0"/>
                  <w:vAlign w:val="center"/>
                </w:tcPr>
                <w:p w14:paraId="2D06609C">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w:t>
                  </w:r>
                </w:p>
              </w:tc>
              <w:tc>
                <w:tcPr>
                  <w:tcW w:w="1659" w:type="pct"/>
                  <w:vMerge w:val="continue"/>
                  <w:noWrap w:val="0"/>
                  <w:vAlign w:val="center"/>
                </w:tcPr>
                <w:p w14:paraId="79D886B2">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p>
              </w:tc>
            </w:tr>
            <w:tr w14:paraId="05DA5E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pct"/>
                  <w:vMerge w:val="restart"/>
                  <w:noWrap w:val="0"/>
                  <w:vAlign w:val="center"/>
                </w:tcPr>
                <w:p w14:paraId="36B440ED">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工业炉窑无组织排放颗粒物</w:t>
                  </w:r>
                </w:p>
              </w:tc>
              <w:tc>
                <w:tcPr>
                  <w:tcW w:w="976" w:type="pct"/>
                  <w:noWrap w:val="0"/>
                  <w:vAlign w:val="center"/>
                </w:tcPr>
                <w:p w14:paraId="406B91DC">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设置方式</w:t>
                  </w:r>
                </w:p>
              </w:tc>
              <w:tc>
                <w:tcPr>
                  <w:tcW w:w="1388" w:type="pct"/>
                  <w:noWrap w:val="0"/>
                  <w:vAlign w:val="center"/>
                </w:tcPr>
                <w:p w14:paraId="1905BF09">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炉窑类别</w:t>
                  </w:r>
                </w:p>
              </w:tc>
              <w:tc>
                <w:tcPr>
                  <w:tcW w:w="1659" w:type="pct"/>
                  <w:noWrap w:val="0"/>
                  <w:vAlign w:val="center"/>
                </w:tcPr>
                <w:p w14:paraId="00C540DB">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无组织排放颗粒物最高允许浓度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p>
              </w:tc>
            </w:tr>
            <w:tr w14:paraId="614C65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pct"/>
                  <w:vMerge w:val="continue"/>
                  <w:noWrap w:val="0"/>
                  <w:vAlign w:val="center"/>
                </w:tcPr>
                <w:p w14:paraId="72915C54">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p>
              </w:tc>
              <w:tc>
                <w:tcPr>
                  <w:tcW w:w="976" w:type="pct"/>
                  <w:noWrap w:val="0"/>
                  <w:vAlign w:val="center"/>
                </w:tcPr>
                <w:p w14:paraId="5A0C9F1A">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有车间厂房</w:t>
                  </w:r>
                </w:p>
              </w:tc>
              <w:tc>
                <w:tcPr>
                  <w:tcW w:w="1388" w:type="pct"/>
                  <w:noWrap w:val="0"/>
                  <w:vAlign w:val="center"/>
                </w:tcPr>
                <w:p w14:paraId="18DFE5E5">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其他炉窑</w:t>
                  </w:r>
                </w:p>
              </w:tc>
              <w:tc>
                <w:tcPr>
                  <w:tcW w:w="1659" w:type="pct"/>
                  <w:noWrap w:val="0"/>
                  <w:vAlign w:val="center"/>
                </w:tcPr>
                <w:p w14:paraId="77397B24">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5</w:t>
                  </w:r>
                </w:p>
              </w:tc>
            </w:tr>
          </w:tbl>
          <w:p w14:paraId="62FCD1DC">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firstLine="420" w:firstLineChars="200"/>
              <w:jc w:val="both"/>
              <w:textAlignment w:val="auto"/>
              <w:rPr>
                <w:rFonts w:hint="default" w:ascii="Times New Roman" w:hAnsi="Times New Roman" w:cs="Times New Roman"/>
                <w:color w:val="auto"/>
                <w:spacing w:val="0"/>
                <w:kern w:val="0"/>
                <w:sz w:val="21"/>
                <w:szCs w:val="21"/>
                <w:highlight w:val="none"/>
                <w:lang w:val="en-US" w:eastAsia="zh-CN"/>
              </w:rPr>
            </w:pPr>
          </w:p>
          <w:p w14:paraId="1DF683ED">
            <w:pPr>
              <w:pStyle w:val="9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auto"/>
              <w:rPr>
                <w:rStyle w:val="153"/>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本项目</w:t>
            </w:r>
            <w:r>
              <w:rPr>
                <w:rFonts w:hint="default" w:ascii="Times New Roman" w:hAnsi="Times New Roman" w:cs="Times New Roman"/>
                <w:color w:val="auto"/>
                <w:spacing w:val="0"/>
                <w:kern w:val="0"/>
                <w:sz w:val="21"/>
                <w:szCs w:val="21"/>
                <w:highlight w:val="none"/>
              </w:rPr>
              <w:t>厂界无组织颗粒物执行《大气污染物综合排放标准》（GB16297-1996）表2中无组织排放监控浓度限值</w:t>
            </w:r>
            <w:r>
              <w:rPr>
                <w:rFonts w:hint="default" w:ascii="Times New Roman" w:hAnsi="Times New Roman" w:cs="Times New Roman"/>
                <w:bCs/>
                <w:color w:val="auto"/>
                <w:spacing w:val="0"/>
                <w:sz w:val="21"/>
                <w:szCs w:val="21"/>
                <w:highlight w:val="none"/>
              </w:rPr>
              <w:t>。</w:t>
            </w:r>
          </w:p>
          <w:p w14:paraId="3F4F33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表</w:t>
            </w:r>
            <w:r>
              <w:rPr>
                <w:rFonts w:hint="default" w:ascii="Times New Roman" w:hAnsi="Times New Roman" w:eastAsia="宋体" w:cs="Times New Roman"/>
                <w:b/>
                <w:bCs/>
                <w:color w:val="auto"/>
                <w:kern w:val="0"/>
                <w:highlight w:val="none"/>
                <w:lang w:val="en-US" w:eastAsia="zh-CN"/>
              </w:rPr>
              <w:t>3</w:t>
            </w:r>
            <w:r>
              <w:rPr>
                <w:rFonts w:hint="default" w:ascii="Times New Roman" w:hAnsi="Times New Roman" w:eastAsia="宋体" w:cs="Times New Roman"/>
                <w:b/>
                <w:bCs/>
                <w:color w:val="auto"/>
                <w:kern w:val="0"/>
                <w:highlight w:val="none"/>
              </w:rPr>
              <w:t>-</w:t>
            </w:r>
            <w:r>
              <w:rPr>
                <w:rFonts w:hint="eastAsia" w:cs="Times New Roman"/>
                <w:b/>
                <w:bCs/>
                <w:color w:val="auto"/>
                <w:kern w:val="0"/>
                <w:highlight w:val="none"/>
                <w:lang w:val="en-US" w:eastAsia="zh-CN"/>
              </w:rPr>
              <w:t xml:space="preserve">8 </w:t>
            </w:r>
            <w:r>
              <w:rPr>
                <w:rFonts w:hint="default" w:ascii="Times New Roman" w:hAnsi="Times New Roman" w:eastAsia="宋体" w:cs="Times New Roman"/>
                <w:b/>
                <w:bCs/>
                <w:color w:val="auto"/>
                <w:kern w:val="0"/>
                <w:highlight w:val="none"/>
              </w:rPr>
              <w:t>大气污染物综合排放标准</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3249"/>
              <w:gridCol w:w="2546"/>
            </w:tblGrid>
            <w:tr w14:paraId="59B965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83" w:hRule="atLeast"/>
                <w:jc w:val="center"/>
              </w:trPr>
              <w:tc>
                <w:tcPr>
                  <w:tcW w:w="2220" w:type="dxa"/>
                  <w:tcBorders>
                    <w:tl2br w:val="nil"/>
                    <w:tr2bl w:val="nil"/>
                  </w:tcBorders>
                  <w:noWrap w:val="0"/>
                  <w:vAlign w:val="center"/>
                </w:tcPr>
                <w:p w14:paraId="56D83554">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l2br w:val="nil"/>
                    <w:tr2bl w:val="nil"/>
                  </w:tcBorders>
                  <w:noWrap w:val="0"/>
                  <w:vAlign w:val="center"/>
                </w:tcPr>
                <w:p w14:paraId="1B746291">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l2br w:val="nil"/>
                    <w:tr2bl w:val="nil"/>
                  </w:tcBorders>
                  <w:noWrap w:val="0"/>
                  <w:vAlign w:val="center"/>
                </w:tcPr>
                <w:p w14:paraId="54646AFA">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60854B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1264DD2E">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tl2br w:val="nil"/>
                    <w:tr2bl w:val="nil"/>
                  </w:tcBorders>
                  <w:noWrap w:val="0"/>
                  <w:vAlign w:val="center"/>
                </w:tcPr>
                <w:p w14:paraId="4D2CC113">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tl2br w:val="nil"/>
                    <w:tr2bl w:val="nil"/>
                  </w:tcBorders>
                  <w:noWrap w:val="0"/>
                  <w:vAlign w:val="center"/>
                </w:tcPr>
                <w:p w14:paraId="5F32187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3D6E9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2" w:firstLineChars="200"/>
              <w:textAlignment w:val="auto"/>
              <w:rPr>
                <w:rFonts w:hint="default" w:ascii="Times New Roman" w:hAnsi="Times New Roman" w:cs="Times New Roman"/>
                <w:b/>
                <w:bCs/>
                <w:color w:val="auto"/>
                <w:sz w:val="21"/>
                <w:szCs w:val="21"/>
                <w:highlight w:val="none"/>
              </w:rPr>
            </w:pPr>
          </w:p>
          <w:p w14:paraId="1BDBA0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14:paraId="7784EE8B">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宋体" w:hAnsi="宋体" w:eastAsia="宋体" w:cs="宋体"/>
                <w:color w:val="auto"/>
                <w:spacing w:val="0"/>
                <w:kern w:val="24"/>
                <w:sz w:val="21"/>
                <w:szCs w:val="21"/>
                <w:highlight w:val="none"/>
                <w:lang w:eastAsia="zh-CN"/>
              </w:rPr>
            </w:pPr>
            <w:r>
              <w:rPr>
                <w:rFonts w:hint="eastAsia" w:ascii="宋体" w:hAnsi="宋体" w:eastAsia="宋体" w:cs="宋体"/>
                <w:color w:val="auto"/>
                <w:spacing w:val="0"/>
                <w:sz w:val="21"/>
                <w:szCs w:val="21"/>
                <w:highlight w:val="none"/>
                <w:lang w:val="en-US" w:eastAsia="zh-CN"/>
              </w:rPr>
              <w:t>本项目无生产废水，</w:t>
            </w:r>
            <w:r>
              <w:rPr>
                <w:rFonts w:hint="eastAsia" w:ascii="宋体" w:hAnsi="宋体" w:eastAsia="宋体" w:cs="宋体"/>
                <w:color w:val="auto"/>
                <w:spacing w:val="0"/>
                <w:sz w:val="21"/>
                <w:szCs w:val="21"/>
                <w:highlight w:val="none"/>
              </w:rPr>
              <w:t>生活污水</w:t>
            </w:r>
            <w:r>
              <w:rPr>
                <w:rFonts w:hint="eastAsia" w:ascii="宋体" w:hAnsi="宋体" w:eastAsia="宋体" w:cs="宋体"/>
                <w:color w:val="auto"/>
                <w:spacing w:val="0"/>
                <w:sz w:val="21"/>
                <w:szCs w:val="21"/>
                <w:highlight w:val="none"/>
                <w:lang w:val="en-US" w:eastAsia="zh-CN"/>
              </w:rPr>
              <w:t>排入</w:t>
            </w:r>
            <w:r>
              <w:rPr>
                <w:rFonts w:hint="eastAsia" w:cs="Times New Roman"/>
                <w:color w:val="auto"/>
                <w:kern w:val="0"/>
                <w:szCs w:val="21"/>
                <w:highlight w:val="none"/>
                <w:lang w:val="en-US" w:eastAsia="zh-CN"/>
              </w:rPr>
              <w:t>防渗旱厕，</w:t>
            </w:r>
            <w:r>
              <w:rPr>
                <w:rFonts w:hint="eastAsia" w:ascii="宋体" w:hAnsi="宋体" w:eastAsia="宋体" w:cs="宋体"/>
                <w:color w:val="auto"/>
                <w:spacing w:val="0"/>
                <w:sz w:val="21"/>
                <w:szCs w:val="21"/>
                <w:highlight w:val="none"/>
              </w:rPr>
              <w:t>定期清掏</w:t>
            </w:r>
            <w:r>
              <w:rPr>
                <w:rFonts w:hint="eastAsia" w:ascii="宋体" w:hAnsi="宋体" w:eastAsia="宋体"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外运堆肥</w:t>
            </w:r>
            <w:r>
              <w:rPr>
                <w:rFonts w:hint="eastAsia" w:ascii="宋体" w:hAnsi="宋体" w:eastAsia="宋体" w:cs="宋体"/>
                <w:color w:val="auto"/>
                <w:spacing w:val="0"/>
                <w:sz w:val="21"/>
                <w:szCs w:val="21"/>
                <w:highlight w:val="none"/>
                <w:lang w:val="en-US" w:eastAsia="zh-CN"/>
              </w:rPr>
              <w:t>，</w:t>
            </w:r>
            <w:r>
              <w:rPr>
                <w:rFonts w:hint="eastAsia" w:ascii="宋体" w:hAnsi="宋体" w:eastAsia="宋体" w:cs="宋体"/>
                <w:color w:val="auto"/>
                <w:spacing w:val="0"/>
                <w:sz w:val="21"/>
                <w:szCs w:val="21"/>
                <w:highlight w:val="none"/>
                <w:lang w:eastAsia="zh-CN"/>
              </w:rPr>
              <w:t>不外排</w:t>
            </w:r>
            <w:r>
              <w:rPr>
                <w:rFonts w:hint="eastAsia" w:cs="Times New Roman"/>
                <w:color w:val="auto"/>
                <w:spacing w:val="0"/>
                <w:sz w:val="21"/>
                <w:szCs w:val="21"/>
                <w:highlight w:val="none"/>
                <w:lang w:val="en-US" w:eastAsia="zh-CN"/>
              </w:rPr>
              <w:t>。</w:t>
            </w:r>
          </w:p>
          <w:p w14:paraId="1442DDE7">
            <w:pPr>
              <w:keepNext w:val="0"/>
              <w:keepLines w:val="0"/>
              <w:numPr>
                <w:ilvl w:val="0"/>
                <w:numId w:val="0"/>
              </w:numPr>
              <w:suppressLineNumbers w:val="0"/>
              <w:spacing w:before="0" w:beforeAutospacing="0" w:after="0" w:afterAutospacing="0" w:line="360" w:lineRule="auto"/>
              <w:ind w:left="0" w:right="0" w:rightChars="0" w:firstLine="422" w:firstLineChars="200"/>
              <w:rPr>
                <w:rFonts w:hint="default"/>
                <w:color w:val="auto"/>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14:paraId="44F72882">
            <w:pPr>
              <w:keepNext w:val="0"/>
              <w:keepLines w:val="0"/>
              <w:suppressLineNumbers w:val="0"/>
              <w:spacing w:before="0" w:beforeAutospacing="0" w:after="0" w:afterAutospacing="0" w:line="360" w:lineRule="auto"/>
              <w:ind w:left="0" w:right="0" w:firstLine="420" w:firstLineChars="200"/>
              <w:rPr>
                <w:rFonts w:hint="default"/>
                <w:b/>
                <w:color w:val="auto"/>
                <w:szCs w:val="21"/>
                <w:highlight w:val="none"/>
              </w:rPr>
            </w:pPr>
            <w:r>
              <w:rPr>
                <w:rFonts w:hint="default"/>
                <w:color w:val="auto"/>
                <w:szCs w:val="21"/>
                <w:highlight w:val="none"/>
              </w:rPr>
              <w:t>施工期</w:t>
            </w:r>
            <w:r>
              <w:rPr>
                <w:rFonts w:hint="eastAsia"/>
                <w:color w:val="auto"/>
                <w:szCs w:val="21"/>
                <w:highlight w:val="none"/>
                <w:lang w:eastAsia="zh-CN"/>
              </w:rPr>
              <w:t>：</w:t>
            </w:r>
            <w:r>
              <w:rPr>
                <w:rFonts w:hint="default"/>
                <w:color w:val="auto"/>
                <w:szCs w:val="21"/>
                <w:highlight w:val="none"/>
              </w:rPr>
              <w:t>噪声执行《建筑施工场界环境噪声排放标准》（GB12523-2011）中噪声排放限值，具体标准见表3-</w:t>
            </w:r>
            <w:r>
              <w:rPr>
                <w:rFonts w:hint="eastAsia"/>
                <w:color w:val="auto"/>
                <w:szCs w:val="21"/>
                <w:highlight w:val="none"/>
                <w:lang w:val="en-US" w:eastAsia="zh-CN"/>
              </w:rPr>
              <w:t>9</w:t>
            </w:r>
            <w:r>
              <w:rPr>
                <w:rFonts w:hint="default"/>
                <w:color w:val="auto"/>
                <w:szCs w:val="21"/>
                <w:highlight w:val="none"/>
              </w:rPr>
              <w:t>。</w:t>
            </w:r>
          </w:p>
          <w:p w14:paraId="560E1E81">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 xml:space="preserve">9 </w:t>
            </w:r>
            <w:r>
              <w:rPr>
                <w:rFonts w:hint="default"/>
                <w:b/>
                <w:color w:val="auto"/>
                <w:szCs w:val="21"/>
                <w:highlight w:val="none"/>
              </w:rPr>
              <w:t>建筑施工场界环境噪声排放标准 单位：dB(A)</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3"/>
              <w:gridCol w:w="3992"/>
            </w:tblGrid>
            <w:tr w14:paraId="3900B6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629BAE55">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l2br w:val="nil"/>
                    <w:tr2bl w:val="nil"/>
                  </w:tcBorders>
                  <w:vAlign w:val="center"/>
                </w:tcPr>
                <w:p w14:paraId="2F418C27">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14:paraId="54B0B8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74570CDE">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tl2br w:val="nil"/>
                    <w:tr2bl w:val="nil"/>
                  </w:tcBorders>
                  <w:vAlign w:val="center"/>
                </w:tcPr>
                <w:p w14:paraId="2934980A">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14:paraId="6E8A80F9">
            <w:pPr>
              <w:pStyle w:val="106"/>
              <w:keepNext w:val="0"/>
              <w:keepLines w:val="0"/>
              <w:suppressLineNumbers w:val="0"/>
              <w:spacing w:before="0" w:beforeAutospacing="0" w:after="0" w:afterAutospacing="0"/>
              <w:ind w:left="0" w:leftChars="0" w:right="0" w:firstLine="420" w:firstLineChars="200"/>
              <w:jc w:val="both"/>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运营期：根据《声环境质量标准》（GB3096-2008）执行2类声环境功能区要求， 故本项目</w:t>
            </w:r>
            <w:r>
              <w:rPr>
                <w:rFonts w:hint="default" w:ascii="Times New Roman" w:hAnsi="Times New Roman" w:eastAsia="宋体" w:cs="Times New Roman"/>
                <w:color w:val="auto"/>
                <w:kern w:val="0"/>
                <w:szCs w:val="21"/>
                <w:highlight w:val="none"/>
                <w:lang w:val="en-US" w:eastAsia="zh-CN"/>
              </w:rPr>
              <w:t>厂界噪声执行《工业企业厂界环境噪声排放标准》(GB12348-2008</w:t>
            </w:r>
            <w:r>
              <w:rPr>
                <w:rFonts w:hint="eastAsia"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表1中</w:t>
            </w:r>
            <w:r>
              <w:rPr>
                <w:rFonts w:hint="eastAsia" w:ascii="Times New Roman" w:hAnsi="Times New Roman" w:eastAsia="宋体"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lang w:val="en-US" w:eastAsia="zh-CN"/>
              </w:rPr>
              <w:t>类标准</w:t>
            </w:r>
            <w:r>
              <w:rPr>
                <w:rFonts w:hint="eastAsia" w:ascii="Times New Roman" w:hAnsi="Times New Roman" w:eastAsia="宋体" w:cs="Times New Roman"/>
                <w:color w:val="auto"/>
                <w:kern w:val="0"/>
                <w:szCs w:val="21"/>
                <w:highlight w:val="none"/>
                <w:lang w:val="en-US" w:eastAsia="zh-CN"/>
              </w:rPr>
              <w:t>。</w:t>
            </w:r>
          </w:p>
          <w:p w14:paraId="57BE3271">
            <w:pPr>
              <w:pStyle w:val="71"/>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10</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9"/>
              <w:gridCol w:w="2802"/>
              <w:gridCol w:w="2841"/>
            </w:tblGrid>
            <w:tr w14:paraId="018EAFF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14:paraId="24984E19">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l2br w:val="nil"/>
                    <w:tr2bl w:val="nil"/>
                  </w:tcBorders>
                  <w:vAlign w:val="center"/>
                </w:tcPr>
                <w:p w14:paraId="2BF8387C">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6BFD95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14:paraId="276FA07C">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tcBorders>
                    <w:tl2br w:val="nil"/>
                    <w:tr2bl w:val="nil"/>
                  </w:tcBorders>
                  <w:vAlign w:val="center"/>
                </w:tcPr>
                <w:p w14:paraId="38B13006">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tcBorders>
                    <w:tl2br w:val="nil"/>
                    <w:tr2bl w:val="nil"/>
                  </w:tcBorders>
                  <w:vAlign w:val="center"/>
                </w:tcPr>
                <w:p w14:paraId="17E3C090">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7BAA61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14:paraId="442BE54A">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2类</w:t>
                  </w:r>
                </w:p>
              </w:tc>
              <w:tc>
                <w:tcPr>
                  <w:tcW w:w="1744" w:type="pct"/>
                  <w:tcBorders>
                    <w:tl2br w:val="nil"/>
                    <w:tr2bl w:val="nil"/>
                  </w:tcBorders>
                  <w:vAlign w:val="center"/>
                </w:tcPr>
                <w:p w14:paraId="24C83EB3">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60</w:t>
                  </w:r>
                </w:p>
              </w:tc>
              <w:tc>
                <w:tcPr>
                  <w:tcW w:w="1768" w:type="pct"/>
                  <w:tcBorders>
                    <w:tl2br w:val="nil"/>
                    <w:tr2bl w:val="nil"/>
                  </w:tcBorders>
                  <w:vAlign w:val="center"/>
                </w:tcPr>
                <w:p w14:paraId="18FCEEAB">
                  <w:pPr>
                    <w:pStyle w:val="85"/>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50</w:t>
                  </w:r>
                </w:p>
              </w:tc>
            </w:tr>
          </w:tbl>
          <w:p w14:paraId="0A3F6267">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14:paraId="1E7FA667">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ascii="Times New Roman" w:hAnsi="Times New Roman" w:eastAsia="宋体" w:cs="Times New Roman"/>
                <w:b w:val="0"/>
                <w:bCs w:val="0"/>
                <w:color w:val="auto"/>
                <w:sz w:val="21"/>
                <w:szCs w:val="21"/>
                <w:highlight w:val="none"/>
                <w:lang w:val="en-US"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default" w:ascii="Times New Roman" w:hAnsi="Times New Roman" w:cs="Times New Roman"/>
                <w:color w:val="auto"/>
                <w:kern w:val="21"/>
                <w:szCs w:val="21"/>
                <w:highlight w:val="none"/>
              </w:rPr>
              <w:t>。</w:t>
            </w:r>
          </w:p>
        </w:tc>
      </w:tr>
      <w:tr w14:paraId="27A450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6" w:hRule="atLeast"/>
          <w:jc w:val="center"/>
        </w:trPr>
        <w:tc>
          <w:tcPr>
            <w:tcW w:w="452" w:type="pct"/>
            <w:tcBorders>
              <w:bottom w:val="single" w:color="auto" w:sz="4" w:space="0"/>
            </w:tcBorders>
            <w:vAlign w:val="center"/>
          </w:tcPr>
          <w:p w14:paraId="3628250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6A6E0D9E">
            <w:pPr>
              <w:keepNext w:val="0"/>
              <w:keepLines w:val="0"/>
              <w:suppressLineNumbers w:val="0"/>
              <w:tabs>
                <w:tab w:val="left" w:pos="5046"/>
              </w:tabs>
              <w:spacing w:before="0" w:beforeAutospacing="0" w:after="0" w:afterAutospacing="0"/>
              <w:ind w:left="0" w:right="0"/>
              <w:jc w:val="center"/>
              <w:rPr>
                <w:rFonts w:hint="eastAsia" w:cs="Times New Roman"/>
                <w:color w:val="auto"/>
                <w:kern w:val="0"/>
                <w:szCs w:val="21"/>
                <w:highlight w:val="none"/>
                <w:lang w:val="en-US"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 xml:space="preserve">-11 总量指标  </w:t>
            </w:r>
            <w:r>
              <w:rPr>
                <w:rFonts w:hint="eastAsia"/>
                <w:b/>
                <w:color w:val="auto"/>
                <w:szCs w:val="21"/>
                <w:highlight w:val="none"/>
              </w:rPr>
              <w:t>单位：</w:t>
            </w:r>
            <w:r>
              <w:rPr>
                <w:rFonts w:hint="default"/>
                <w:b/>
                <w:color w:val="auto"/>
                <w:szCs w:val="21"/>
                <w:highlight w:val="none"/>
              </w:rPr>
              <w:t>t/a</w:t>
            </w:r>
          </w:p>
          <w:tbl>
            <w:tblPr>
              <w:tblStyle w:val="3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77"/>
              <w:gridCol w:w="2677"/>
              <w:gridCol w:w="2678"/>
            </w:tblGrid>
            <w:tr w14:paraId="6D8E08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7" w:type="dxa"/>
                  <w:tcBorders>
                    <w:tl2br w:val="nil"/>
                    <w:tr2bl w:val="nil"/>
                  </w:tcBorders>
                  <w:noWrap w:val="0"/>
                  <w:vAlign w:val="center"/>
                </w:tcPr>
                <w:p w14:paraId="7FA05ECD">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名称</w:t>
                  </w:r>
                </w:p>
              </w:tc>
              <w:tc>
                <w:tcPr>
                  <w:tcW w:w="2677" w:type="dxa"/>
                  <w:tcBorders>
                    <w:tl2br w:val="nil"/>
                    <w:tr2bl w:val="nil"/>
                  </w:tcBorders>
                  <w:noWrap w:val="0"/>
                  <w:vAlign w:val="center"/>
                </w:tcPr>
                <w:p w14:paraId="268D84E0">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360" w:firstLineChars="20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预测排放量</w:t>
                  </w:r>
                </w:p>
              </w:tc>
              <w:tc>
                <w:tcPr>
                  <w:tcW w:w="2678" w:type="dxa"/>
                  <w:tcBorders>
                    <w:tl2br w:val="nil"/>
                    <w:tr2bl w:val="nil"/>
                  </w:tcBorders>
                  <w:noWrap w:val="0"/>
                  <w:vAlign w:val="center"/>
                </w:tcPr>
                <w:p w14:paraId="49BE5FC8">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360" w:firstLineChars="20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核定排放量</w:t>
                  </w:r>
                </w:p>
              </w:tc>
            </w:tr>
            <w:tr w14:paraId="6867B5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7" w:type="dxa"/>
                  <w:tcBorders>
                    <w:tl2br w:val="nil"/>
                    <w:tr2bl w:val="nil"/>
                  </w:tcBorders>
                  <w:noWrap w:val="0"/>
                  <w:vAlign w:val="center"/>
                </w:tcPr>
                <w:p w14:paraId="3D8CF3DD">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颗粒物</w:t>
                  </w:r>
                </w:p>
              </w:tc>
              <w:tc>
                <w:tcPr>
                  <w:tcW w:w="2677" w:type="dxa"/>
                  <w:tcBorders>
                    <w:tl2br w:val="nil"/>
                    <w:tr2bl w:val="nil"/>
                  </w:tcBorders>
                  <w:noWrap w:val="0"/>
                  <w:vAlign w:val="center"/>
                </w:tcPr>
                <w:p w14:paraId="2D3A6DB5">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cs="Times New Roman"/>
                      <w:color w:val="auto"/>
                      <w:sz w:val="18"/>
                      <w:szCs w:val="18"/>
                      <w:highlight w:val="none"/>
                      <w:lang w:val="en-US"/>
                    </w:rPr>
                  </w:pPr>
                  <w:r>
                    <w:rPr>
                      <w:rFonts w:hint="eastAsia"/>
                      <w:color w:val="auto"/>
                      <w:kern w:val="2"/>
                      <w:sz w:val="18"/>
                      <w:szCs w:val="18"/>
                      <w:highlight w:val="none"/>
                      <w:lang w:val="en-US" w:eastAsia="zh-CN" w:bidi="zh-CN"/>
                    </w:rPr>
                    <w:t>2.048</w:t>
                  </w:r>
                </w:p>
              </w:tc>
              <w:tc>
                <w:tcPr>
                  <w:tcW w:w="2678" w:type="dxa"/>
                  <w:tcBorders>
                    <w:tl2br w:val="nil"/>
                    <w:tr2bl w:val="nil"/>
                  </w:tcBorders>
                  <w:noWrap w:val="0"/>
                  <w:vAlign w:val="center"/>
                </w:tcPr>
                <w:p w14:paraId="1910F9FF">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zh-CN"/>
                    </w:rPr>
                  </w:pPr>
                  <w:r>
                    <w:rPr>
                      <w:rFonts w:hint="eastAsia" w:ascii="Times New Roman" w:hAnsi="Times New Roman" w:eastAsia="宋体" w:cs="Times New Roman"/>
                      <w:color w:val="auto"/>
                      <w:kern w:val="2"/>
                      <w:sz w:val="18"/>
                      <w:szCs w:val="18"/>
                      <w:highlight w:val="none"/>
                      <w:lang w:val="en-US" w:eastAsia="zh-CN" w:bidi="zh-CN"/>
                    </w:rPr>
                    <w:t>2.42</w:t>
                  </w:r>
                </w:p>
              </w:tc>
            </w:tr>
            <w:tr w14:paraId="635CB5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7" w:type="dxa"/>
                  <w:tcBorders>
                    <w:tl2br w:val="nil"/>
                    <w:tr2bl w:val="nil"/>
                  </w:tcBorders>
                  <w:noWrap w:val="0"/>
                  <w:vAlign w:val="center"/>
                </w:tcPr>
                <w:p w14:paraId="523FD6A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2677" w:type="dxa"/>
                  <w:tcBorders>
                    <w:tl2br w:val="nil"/>
                    <w:tr2bl w:val="nil"/>
                  </w:tcBorders>
                  <w:noWrap w:val="0"/>
                  <w:vAlign w:val="center"/>
                </w:tcPr>
                <w:p w14:paraId="19DDB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2.504</w:t>
                  </w:r>
                </w:p>
              </w:tc>
              <w:tc>
                <w:tcPr>
                  <w:tcW w:w="2678" w:type="dxa"/>
                  <w:tcBorders>
                    <w:tl2br w:val="nil"/>
                    <w:tr2bl w:val="nil"/>
                  </w:tcBorders>
                  <w:noWrap w:val="0"/>
                  <w:vAlign w:val="center"/>
                </w:tcPr>
                <w:p w14:paraId="7D8545B5">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zh-CN"/>
                    </w:rPr>
                  </w:pPr>
                  <w:r>
                    <w:rPr>
                      <w:rFonts w:hint="eastAsia" w:ascii="Times New Roman" w:hAnsi="Times New Roman" w:eastAsia="宋体" w:cs="Times New Roman"/>
                      <w:color w:val="auto"/>
                      <w:kern w:val="2"/>
                      <w:sz w:val="18"/>
                      <w:szCs w:val="18"/>
                      <w:highlight w:val="none"/>
                      <w:lang w:val="en-US" w:eastAsia="zh-CN" w:bidi="zh-CN"/>
                    </w:rPr>
                    <w:t>8.049</w:t>
                  </w:r>
                </w:p>
              </w:tc>
            </w:tr>
            <w:tr w14:paraId="612DAD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7" w:type="dxa"/>
                  <w:tcBorders>
                    <w:tl2br w:val="nil"/>
                    <w:tr2bl w:val="nil"/>
                  </w:tcBorders>
                  <w:noWrap w:val="0"/>
                  <w:vAlign w:val="center"/>
                </w:tcPr>
                <w:p w14:paraId="161D8A6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2677" w:type="dxa"/>
                  <w:tcBorders>
                    <w:tl2br w:val="nil"/>
                    <w:tr2bl w:val="nil"/>
                  </w:tcBorders>
                  <w:noWrap w:val="0"/>
                  <w:vAlign w:val="center"/>
                </w:tcPr>
                <w:p w14:paraId="5BE026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10.771</w:t>
                  </w:r>
                </w:p>
              </w:tc>
              <w:tc>
                <w:tcPr>
                  <w:tcW w:w="2678" w:type="dxa"/>
                  <w:tcBorders>
                    <w:tl2br w:val="nil"/>
                    <w:tr2bl w:val="nil"/>
                  </w:tcBorders>
                  <w:noWrap w:val="0"/>
                  <w:vAlign w:val="center"/>
                </w:tcPr>
                <w:p w14:paraId="186E3245">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zh-CN"/>
                    </w:rPr>
                  </w:pPr>
                  <w:r>
                    <w:rPr>
                      <w:rFonts w:hint="eastAsia" w:ascii="Times New Roman" w:hAnsi="Times New Roman" w:eastAsia="宋体" w:cs="Times New Roman"/>
                      <w:color w:val="auto"/>
                      <w:kern w:val="2"/>
                      <w:sz w:val="18"/>
                      <w:szCs w:val="18"/>
                      <w:highlight w:val="none"/>
                      <w:lang w:val="en-US" w:eastAsia="zh-CN" w:bidi="zh-CN"/>
                    </w:rPr>
                    <w:t>24.146</w:t>
                  </w:r>
                </w:p>
              </w:tc>
            </w:tr>
            <w:tr w14:paraId="65A062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7" w:type="dxa"/>
                  <w:tcBorders>
                    <w:tl2br w:val="nil"/>
                    <w:tr2bl w:val="nil"/>
                  </w:tcBorders>
                  <w:noWrap w:val="0"/>
                  <w:vAlign w:val="center"/>
                </w:tcPr>
                <w:p w14:paraId="1C20024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position w:val="0"/>
                      <w:sz w:val="18"/>
                      <w:szCs w:val="18"/>
                      <w:highlight w:val="none"/>
                      <w:lang w:eastAsia="zh-CN"/>
                    </w:rPr>
                  </w:pPr>
                  <w:r>
                    <w:rPr>
                      <w:rFonts w:hint="eastAsia" w:cs="Times New Roman"/>
                      <w:color w:val="auto"/>
                      <w:spacing w:val="0"/>
                      <w:position w:val="0"/>
                      <w:sz w:val="18"/>
                      <w:szCs w:val="18"/>
                      <w:highlight w:val="none"/>
                      <w:lang w:eastAsia="zh-CN"/>
                    </w:rPr>
                    <w:t>工业粉尘</w:t>
                  </w:r>
                </w:p>
              </w:tc>
              <w:tc>
                <w:tcPr>
                  <w:tcW w:w="2677" w:type="dxa"/>
                  <w:tcBorders>
                    <w:tl2br w:val="nil"/>
                    <w:tr2bl w:val="nil"/>
                  </w:tcBorders>
                  <w:noWrap w:val="0"/>
                  <w:vAlign w:val="center"/>
                </w:tcPr>
                <w:p w14:paraId="3ECC5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3.15</w:t>
                  </w:r>
                </w:p>
              </w:tc>
              <w:tc>
                <w:tcPr>
                  <w:tcW w:w="2678" w:type="dxa"/>
                  <w:tcBorders>
                    <w:tl2br w:val="nil"/>
                    <w:tr2bl w:val="nil"/>
                  </w:tcBorders>
                  <w:shd w:val="clear" w:color="auto" w:fill="auto"/>
                  <w:noWrap w:val="0"/>
                  <w:vAlign w:val="center"/>
                </w:tcPr>
                <w:p w14:paraId="6F8B46A8">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eastAsia" w:ascii="Times New Roman" w:hAnsi="Times New Roman" w:eastAsia="宋体" w:cs="Times New Roman"/>
                      <w:color w:val="auto"/>
                      <w:kern w:val="2"/>
                      <w:sz w:val="18"/>
                      <w:szCs w:val="18"/>
                      <w:highlight w:val="none"/>
                      <w:lang w:val="en-US" w:eastAsia="zh-CN" w:bidi="zh-CN"/>
                    </w:rPr>
                  </w:pPr>
                  <w:r>
                    <w:rPr>
                      <w:rFonts w:hint="eastAsia" w:ascii="Times New Roman" w:hAnsi="Times New Roman" w:eastAsia="宋体" w:cs="Times New Roman"/>
                      <w:color w:val="auto"/>
                      <w:kern w:val="2"/>
                      <w:sz w:val="18"/>
                      <w:szCs w:val="18"/>
                      <w:highlight w:val="none"/>
                      <w:lang w:val="en-US" w:eastAsia="zh-CN" w:bidi="zh-CN"/>
                    </w:rPr>
                    <w:t>3.15</w:t>
                  </w:r>
                </w:p>
              </w:tc>
            </w:tr>
          </w:tbl>
          <w:p w14:paraId="1B14EC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Cs w:val="21"/>
                <w:highlight w:val="none"/>
                <w:lang w:val="en-US" w:eastAsia="zh-CN"/>
              </w:rPr>
            </w:pPr>
            <w:r>
              <w:rPr>
                <w:rFonts w:hint="eastAsia"/>
                <w:b/>
                <w:color w:val="auto"/>
                <w:sz w:val="21"/>
              </w:rPr>
              <w:t>注：根据地方管理要求，本项目总量控制指标按照环评预测量确定。</w:t>
            </w:r>
          </w:p>
        </w:tc>
      </w:tr>
    </w:tbl>
    <w:p w14:paraId="5E4A16FF">
      <w:pPr>
        <w:pStyle w:val="29"/>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6"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6"/>
    </w:p>
    <w:tbl>
      <w:tblPr>
        <w:tblStyle w:val="35"/>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1"/>
        <w:gridCol w:w="8270"/>
      </w:tblGrid>
      <w:tr w14:paraId="05D169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01" w:type="dxa"/>
            <w:noWrap w:val="0"/>
            <w:tcMar>
              <w:left w:w="28" w:type="dxa"/>
              <w:right w:w="28" w:type="dxa"/>
            </w:tcMar>
            <w:vAlign w:val="center"/>
          </w:tcPr>
          <w:p w14:paraId="75A781D7">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14282A27">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22621752">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58B917D8">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7598E9D7">
            <w:pPr>
              <w:pStyle w:val="29"/>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270" w:type="dxa"/>
            <w:noWrap w:val="0"/>
            <w:vAlign w:val="center"/>
          </w:tcPr>
          <w:p w14:paraId="2F8D64A1">
            <w:pPr>
              <w:pStyle w:val="14"/>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新建1座500t/d烘干塔，1台</w:t>
            </w:r>
            <w:r>
              <w:rPr>
                <w:rFonts w:hint="eastAsia" w:ascii="Times New Roman" w:hAnsi="Times New Roman" w:cs="Times New Roman"/>
                <w:b w:val="0"/>
                <w:bCs w:val="0"/>
                <w:color w:val="auto"/>
                <w:sz w:val="21"/>
                <w:szCs w:val="21"/>
                <w:highlight w:val="none"/>
                <w:lang w:val="en-US" w:eastAsia="zh-CN"/>
              </w:rPr>
              <w:t>720万Kcal/h</w:t>
            </w:r>
            <w:r>
              <w:rPr>
                <w:rFonts w:hint="eastAsia" w:ascii="Times New Roman" w:hAnsi="Times New Roman" w:eastAsia="宋体" w:cs="Times New Roman"/>
                <w:b w:val="0"/>
                <w:bCs w:val="0"/>
                <w:color w:val="auto"/>
                <w:sz w:val="21"/>
                <w:szCs w:val="21"/>
                <w:highlight w:val="none"/>
                <w:lang w:val="en-US" w:eastAsia="zh-CN"/>
              </w:rPr>
              <w:t>燃生物质热风炉，</w:t>
            </w:r>
            <w:r>
              <w:rPr>
                <w:rFonts w:hint="eastAsia" w:ascii="Times New Roman" w:hAnsi="Times New Roman" w:cs="Times New Roman"/>
                <w:b w:val="0"/>
                <w:bCs w:val="0"/>
                <w:color w:val="auto"/>
                <w:sz w:val="21"/>
                <w:szCs w:val="21"/>
                <w:highlight w:val="none"/>
                <w:lang w:val="en-US" w:eastAsia="zh-CN"/>
              </w:rPr>
              <w:t>1座干粮仓，1座潮粮仓。</w:t>
            </w:r>
          </w:p>
          <w:p w14:paraId="5F0D23C3">
            <w:pPr>
              <w:pStyle w:val="14"/>
              <w:keepNext w:val="0"/>
              <w:keepLines w:val="0"/>
              <w:widowControl/>
              <w:suppressLineNumbers w:val="0"/>
              <w:spacing w:before="0" w:beforeAutospacing="0" w:after="0" w:afterAutospacing="0" w:line="360" w:lineRule="auto"/>
              <w:ind w:left="0" w:right="0"/>
              <w:rPr>
                <w:rFonts w:hint="default" w:hAnsi="Times New Roman"/>
                <w:b/>
                <w:bCs/>
                <w:color w:val="auto"/>
                <w:highlight w:val="none"/>
              </w:rPr>
            </w:pPr>
            <w:r>
              <w:rPr>
                <w:rFonts w:hint="default" w:hAnsi="Times New Roman"/>
                <w:b/>
                <w:bCs/>
                <w:color w:val="auto"/>
                <w:highlight w:val="none"/>
              </w:rPr>
              <w:t>一、大气污染防治措施</w:t>
            </w:r>
          </w:p>
          <w:p w14:paraId="06C1116C">
            <w:pPr>
              <w:pStyle w:val="17"/>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本项目施工期废气主要为场地平整、基础开挖、建筑材料运输及装卸、弃土堆存等过程产生的扬尘，施工机械和施工运输车辆产生的机动车尾气。</w:t>
            </w:r>
          </w:p>
          <w:p w14:paraId="2B05B351">
            <w:pPr>
              <w:pStyle w:val="17"/>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sz w:val="21"/>
                <w:highlight w:val="none"/>
              </w:rPr>
            </w:pPr>
            <w:r>
              <w:rPr>
                <w:rFonts w:hint="default"/>
                <w:color w:val="auto"/>
                <w:sz w:val="21"/>
                <w:highlight w:val="none"/>
              </w:rPr>
              <w:t>治理措施：</w:t>
            </w:r>
          </w:p>
          <w:p w14:paraId="4997C4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 w:val="21"/>
                <w:highlight w:val="none"/>
              </w:rPr>
            </w:pPr>
            <w:r>
              <w:rPr>
                <w:rFonts w:hint="default"/>
                <w:color w:val="auto"/>
                <w:sz w:val="21"/>
                <w:highlight w:val="none"/>
              </w:rPr>
              <w:t>1）施工扬尘</w:t>
            </w:r>
          </w:p>
          <w:p w14:paraId="4C747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①针对施工任务和施工场地环境状况，制定合理的施工计划，采取集中力量逐段施工方法，缩短施工周期，减少施工现场的工作面，减轻施工扬尘对环境的影响。</w:t>
            </w:r>
          </w:p>
          <w:p w14:paraId="2F565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③施工车辆采取篷布加盖措施，施工车辆运输路线选择尽量避绕人口密集区、学校、医院等敏感点。</w:t>
            </w:r>
          </w:p>
          <w:p w14:paraId="5B749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④运输弃土、垃圾的车辆装载高度应低于车辆上沿，不得超高超载。实行封闭运输，以免车辆颠簸撒漏。坚持文明装卸，运输车辆装卸完货后应清洗车厢。</w:t>
            </w:r>
          </w:p>
          <w:p w14:paraId="3B4C6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⑤在施工场地上设置专人负责弃土、建筑垃圾、建筑材料的处置、清运和堆放，堆放场地加盖蓬布或洒水，防止二次扬尘。</w:t>
            </w:r>
          </w:p>
          <w:p w14:paraId="5B1ED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⑥对建筑垃圾及弃土应及时处理、清运、以减少占地，防止扬尘污染，改善施工场地的环境。</w:t>
            </w:r>
          </w:p>
          <w:p w14:paraId="7E1A4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⑦施工过程中，在施工现场周围，连续设置不低于1.5m高的围挡，并做到坚固美观。</w:t>
            </w:r>
          </w:p>
          <w:p w14:paraId="1194A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⑧在施工场地安排员工定期对施工场地洒水以减少扬尘量，洒水次数根据天气状况而定，一般每天洒水1~2次，若遇到大风或干燥天气可适当增加洒水次数。</w:t>
            </w:r>
          </w:p>
          <w:p w14:paraId="26C68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⑨施工结束后，应尽早对场区内的裸露地面进行绿化、硬化工作，减少扬尘的产生量和预防水土流失。可选取栽种易存活、好管理的本地品种，尽可能增大场区内、外的绿化面积，做到草、灌、木相结合。</w:t>
            </w:r>
          </w:p>
          <w:p w14:paraId="732974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2）机械设备、车辆燃油废气防治措施如下：</w:t>
            </w:r>
          </w:p>
          <w:p w14:paraId="1745B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①选用先进的施工机械，减少油耗和燃油废气污染；</w:t>
            </w:r>
          </w:p>
          <w:p w14:paraId="60723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②尽量使用电气化设备，少使用燃油设备；</w:t>
            </w:r>
          </w:p>
          <w:p w14:paraId="0FEC1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③做好设备的维修和养护工作，使机械设备处于良好的工作状态，减少油耗，同时降低污染。</w:t>
            </w:r>
          </w:p>
          <w:p w14:paraId="2D0DC1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经上述治理后，施工期产生的粉尘、扬尘对环境空气及敏感点的影响较小。满足《大气污染物综合排放标准》（GB16297-1996）表2中无组织排放标准要求。</w:t>
            </w:r>
          </w:p>
          <w:p w14:paraId="1235F4B3">
            <w:pPr>
              <w:pStyle w:val="14"/>
              <w:keepNext w:val="0"/>
              <w:keepLines w:val="0"/>
              <w:widowControl/>
              <w:suppressLineNumbers w:val="0"/>
              <w:spacing w:before="0" w:beforeAutospacing="0" w:after="0" w:afterAutospacing="0" w:line="360" w:lineRule="auto"/>
              <w:ind w:left="0" w:right="0" w:firstLine="0" w:firstLineChars="0"/>
              <w:rPr>
                <w:rFonts w:hint="default" w:hAnsi="Times New Roman"/>
                <w:b/>
                <w:bCs/>
                <w:color w:val="auto"/>
                <w:highlight w:val="none"/>
              </w:rPr>
            </w:pPr>
            <w:r>
              <w:rPr>
                <w:rFonts w:hint="default" w:hAnsi="Times New Roman"/>
                <w:b/>
                <w:bCs/>
                <w:color w:val="auto"/>
                <w:highlight w:val="none"/>
              </w:rPr>
              <w:t>二、水环境污染防治措施</w:t>
            </w:r>
          </w:p>
          <w:p w14:paraId="29A776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1、施工废水</w:t>
            </w:r>
          </w:p>
          <w:p w14:paraId="22C4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当建设施工队伍进入施工现场进行砂、石子冲洗等施工作业过程中将会有施工泥浆废水产生，因此要求施工方在施工现场开挖修建临时废水储存池，使施工泥浆废水经过沉淀澄清处理后，上清液回收利用，不外排，池内泥浆弃土定时挖出与建筑垃圾合并，运到管理部门指定的建筑渣土堆放场地妥善堆存处理。</w:t>
            </w:r>
          </w:p>
          <w:p w14:paraId="3F7F0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2、生活污水</w:t>
            </w:r>
          </w:p>
          <w:p w14:paraId="2C4AF2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highlight w:val="none"/>
              </w:rPr>
              <w:t>施工人员生活污水排入</w:t>
            </w:r>
            <w:r>
              <w:rPr>
                <w:rFonts w:hint="default"/>
                <w:color w:val="auto"/>
                <w:szCs w:val="21"/>
                <w:highlight w:val="none"/>
              </w:rPr>
              <w:t>防渗</w:t>
            </w:r>
            <w:r>
              <w:rPr>
                <w:rFonts w:hint="eastAsia"/>
                <w:color w:val="auto"/>
                <w:szCs w:val="21"/>
                <w:highlight w:val="none"/>
                <w:lang w:val="en-US" w:eastAsia="zh-CN"/>
              </w:rPr>
              <w:t>旱厕</w:t>
            </w:r>
            <w:r>
              <w:rPr>
                <w:rFonts w:hint="default"/>
                <w:color w:val="auto"/>
                <w:szCs w:val="21"/>
                <w:highlight w:val="none"/>
              </w:rPr>
              <w:t>，定期清掏、外运堆肥，不外排。</w:t>
            </w:r>
          </w:p>
          <w:p w14:paraId="692D9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szCs w:val="21"/>
                <w:highlight w:val="none"/>
              </w:rPr>
              <w:t>在认真落实上述措施的基础上，施工废水对施工现场周围的环境影响较小，伴随施工期的结束也将结束。</w:t>
            </w:r>
          </w:p>
          <w:p w14:paraId="2421C23E">
            <w:pPr>
              <w:pStyle w:val="14"/>
              <w:keepNext w:val="0"/>
              <w:keepLines w:val="0"/>
              <w:widowControl/>
              <w:suppressLineNumbers w:val="0"/>
              <w:spacing w:before="0" w:beforeAutospacing="0" w:after="0" w:afterAutospacing="0" w:line="360" w:lineRule="auto"/>
              <w:ind w:left="0" w:right="0" w:firstLine="0" w:firstLineChars="0"/>
              <w:rPr>
                <w:rFonts w:hint="default" w:hAnsi="Times New Roman"/>
                <w:b/>
                <w:bCs/>
                <w:color w:val="auto"/>
                <w:highlight w:val="none"/>
              </w:rPr>
            </w:pPr>
            <w:r>
              <w:rPr>
                <w:rFonts w:hint="default" w:hAnsi="Times New Roman"/>
                <w:b/>
                <w:bCs/>
                <w:color w:val="auto"/>
                <w:highlight w:val="none"/>
              </w:rPr>
              <w:t>三、声环境防治措施</w:t>
            </w:r>
          </w:p>
          <w:p w14:paraId="112C2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施工期噪声主要为挖掘机、推土机、轮式机、起重机、冲击式钻机、搅拌机等施工机械及车辆运行造成的。</w:t>
            </w:r>
          </w:p>
          <w:p w14:paraId="026AA4B6">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治理措施：①加强施工管理，合理安排施工作业时间，严格按照施工噪声管理的有关规定执行。施工现场施工单位必须执行《建筑施工场界环境噪声排放标准》（GB12523-2011）中的各项规定。将打桩等高噪声作业尽量安排在白天进行，杜绝夜间（22：00-7：00）施工噪声扰民。</w:t>
            </w:r>
          </w:p>
          <w:p w14:paraId="3AD82C97">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②尽量采用低噪声的施工工具，如以液压工具代替气压工具，同时尽可能采用施工噪声低的施工方法</w:t>
            </w:r>
            <w:r>
              <w:rPr>
                <w:rFonts w:hint="eastAsia"/>
                <w:color w:val="auto"/>
                <w:sz w:val="21"/>
                <w:highlight w:val="none"/>
                <w:lang w:eastAsia="zh-CN"/>
              </w:rPr>
              <w:t>，</w:t>
            </w:r>
            <w:r>
              <w:rPr>
                <w:rFonts w:hint="default"/>
                <w:color w:val="auto"/>
                <w:sz w:val="21"/>
                <w:highlight w:val="none"/>
              </w:rPr>
              <w:t>如在项目施工过程中合理调配施工设备，将噪声较大的设备、项目主入口设置于远离环境敏感点的位置。</w:t>
            </w:r>
          </w:p>
          <w:p w14:paraId="2700EFF4">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③合理进行施工总平面布置，高噪设备进行隔声、减振，施工现场设置隔挡，在特殊点施工时安装隔声屏障。</w:t>
            </w:r>
          </w:p>
          <w:p w14:paraId="20D67A3A">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④混凝土需要连续浇灌作业前，应做好各项准备工作，将搅拌机运行时间压到最低限度。</w:t>
            </w:r>
          </w:p>
          <w:p w14:paraId="7BE0C70B">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⑤定期对机械、设备进行维护、检修。</w:t>
            </w:r>
          </w:p>
          <w:p w14:paraId="18200505">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⑥加强对运输车辆的管理，施工过程中各种运输车辆的运行，还将会引起公路沿线噪声级的增加。因此，应加强对运输车辆的管理，制订合理运输路线，采取控制车速和禁鸣笛等措施，减少运输噪声污染。</w:t>
            </w:r>
          </w:p>
          <w:p w14:paraId="4BDAFE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sz w:val="21"/>
                <w:highlight w:val="none"/>
              </w:rPr>
              <w:t>各施工阶段的设备产生的噪声具有阶段性、临时性和不固定性，不同的施工阶段有不同的噪声源。通过采取上述措施，施工期噪声对周边环境影响较小，基本不会产生扰民现象，并会随着施工期结束而消失。采取以上措施后，施工场界声环境可满足《建筑施工场界环境噪声排放标准》（GB12523-2011）中规定的标准。</w:t>
            </w:r>
          </w:p>
          <w:p w14:paraId="330DEC7B">
            <w:pPr>
              <w:keepNext w:val="0"/>
              <w:keepLines w:val="0"/>
              <w:widowControl/>
              <w:suppressLineNumbers w:val="0"/>
              <w:spacing w:before="0" w:beforeAutospacing="0" w:after="0" w:afterAutospacing="0" w:line="360" w:lineRule="auto"/>
              <w:ind w:left="0" w:right="0" w:firstLine="0" w:firstLineChars="0"/>
              <w:rPr>
                <w:rFonts w:hint="default"/>
                <w:b/>
                <w:bCs/>
                <w:color w:val="auto"/>
                <w:highlight w:val="none"/>
              </w:rPr>
            </w:pPr>
            <w:r>
              <w:rPr>
                <w:rFonts w:hint="default"/>
                <w:b/>
                <w:bCs/>
                <w:color w:val="auto"/>
                <w:highlight w:val="none"/>
              </w:rPr>
              <w:t>四、固体废物影响分析</w:t>
            </w:r>
          </w:p>
          <w:p w14:paraId="2071DACB">
            <w:pPr>
              <w:keepNext w:val="0"/>
              <w:keepLines w:val="0"/>
              <w:widowControl/>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施工期产生的固体废物主要包括建筑废弃材料和施工人员生活垃圾</w:t>
            </w:r>
            <w:r>
              <w:rPr>
                <w:rFonts w:hint="default"/>
                <w:color w:val="auto"/>
                <w:sz w:val="21"/>
                <w:szCs w:val="21"/>
                <w:highlight w:val="none"/>
              </w:rPr>
              <w:t>。</w:t>
            </w:r>
          </w:p>
          <w:p w14:paraId="04BA61ED">
            <w:pPr>
              <w:keepNext w:val="0"/>
              <w:keepLines w:val="0"/>
              <w:widowControl/>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53E55187">
            <w:pPr>
              <w:keepNext w:val="0"/>
              <w:keepLines w:val="0"/>
              <w:widowControl/>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施工人员生活垃圾设置专门的储存设施，集中收集后交由市政部门处理。</w:t>
            </w:r>
          </w:p>
          <w:p w14:paraId="7FE1A364">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szCs w:val="21"/>
                <w:highlight w:val="none"/>
              </w:rPr>
              <w:t>施工期固体废物处置率100%。</w:t>
            </w:r>
          </w:p>
          <w:p w14:paraId="7FBA7FC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eastAsia"/>
                <w:color w:val="auto"/>
                <w:highlight w:val="none"/>
                <w:lang w:val="en-US" w:eastAsia="zh-CN"/>
              </w:rPr>
            </w:pPr>
            <w:r>
              <w:rPr>
                <w:rFonts w:hint="default"/>
                <w:color w:val="auto"/>
                <w:sz w:val="21"/>
                <w:highlight w:val="none"/>
              </w:rPr>
              <w:t>施工期的环境影响是短暂的，只要建设施工单位加强全员职工的环境保护意识，并从施工设备的技术和管理两个方面做到文明施工、清洁施工，那么本项目在建设施工期对周围环境所产生的污染影响可控制在国家有关规定的允许范围内。当本项目建设施工结束后，上述对环境的污染影响可得到消除。</w:t>
            </w:r>
          </w:p>
        </w:tc>
      </w:tr>
      <w:tr w14:paraId="3585C2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801" w:type="dxa"/>
            <w:noWrap w:val="0"/>
            <w:tcMar>
              <w:left w:w="28" w:type="dxa"/>
              <w:right w:w="28" w:type="dxa"/>
            </w:tcMar>
            <w:vAlign w:val="center"/>
          </w:tcPr>
          <w:p w14:paraId="0D18127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5F28D23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71F8582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0A6C564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30C8002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0A6497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270" w:type="dxa"/>
            <w:noWrap w:val="0"/>
            <w:vAlign w:val="top"/>
          </w:tcPr>
          <w:p w14:paraId="36967F3C">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4C8CA039">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14:paraId="6ED74C61">
            <w:pPr>
              <w:pStyle w:val="142"/>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
              <w:gridCol w:w="306"/>
              <w:gridCol w:w="343"/>
              <w:gridCol w:w="306"/>
              <w:gridCol w:w="535"/>
              <w:gridCol w:w="661"/>
              <w:gridCol w:w="675"/>
              <w:gridCol w:w="650"/>
              <w:gridCol w:w="1070"/>
              <w:gridCol w:w="299"/>
              <w:gridCol w:w="358"/>
              <w:gridCol w:w="498"/>
              <w:gridCol w:w="675"/>
              <w:gridCol w:w="646"/>
              <w:gridCol w:w="714"/>
              <w:gridCol w:w="26"/>
            </w:tblGrid>
            <w:tr w14:paraId="185992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340" w:hRule="atLeast"/>
                <w:jc w:val="center"/>
              </w:trPr>
              <w:tc>
                <w:tcPr>
                  <w:tcW w:w="598" w:type="dxa"/>
                  <w:gridSpan w:val="2"/>
                  <w:vMerge w:val="restart"/>
                  <w:noWrap w:val="0"/>
                  <w:vAlign w:val="center"/>
                </w:tcPr>
                <w:p w14:paraId="01DA1C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343" w:type="dxa"/>
                  <w:vMerge w:val="restart"/>
                  <w:noWrap w:val="0"/>
                  <w:vAlign w:val="center"/>
                </w:tcPr>
                <w:p w14:paraId="28EA85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2827" w:type="dxa"/>
                  <w:gridSpan w:val="5"/>
                  <w:noWrap w:val="0"/>
                  <w:vAlign w:val="center"/>
                </w:tcPr>
                <w:p w14:paraId="08CA22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1369" w:type="dxa"/>
                  <w:gridSpan w:val="2"/>
                  <w:noWrap w:val="0"/>
                  <w:vAlign w:val="center"/>
                </w:tcPr>
                <w:p w14:paraId="11B6C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治理措施</w:t>
                  </w:r>
                </w:p>
              </w:tc>
              <w:tc>
                <w:tcPr>
                  <w:tcW w:w="2891" w:type="dxa"/>
                  <w:gridSpan w:val="5"/>
                  <w:noWrap w:val="0"/>
                  <w:vAlign w:val="center"/>
                </w:tcPr>
                <w:p w14:paraId="31E11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污染物排放</w:t>
                  </w:r>
                </w:p>
              </w:tc>
            </w:tr>
            <w:tr w14:paraId="384CD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dxa"/>
                  <w:gridSpan w:val="2"/>
                  <w:vMerge w:val="continue"/>
                  <w:noWrap w:val="0"/>
                  <w:vAlign w:val="center"/>
                </w:tcPr>
                <w:p w14:paraId="30982D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43" w:type="dxa"/>
                  <w:vMerge w:val="continue"/>
                  <w:noWrap w:val="0"/>
                  <w:vAlign w:val="center"/>
                </w:tcPr>
                <w:p w14:paraId="706913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6" w:type="dxa"/>
                  <w:noWrap w:val="0"/>
                  <w:vAlign w:val="center"/>
                </w:tcPr>
                <w:p w14:paraId="335416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535" w:type="dxa"/>
                  <w:noWrap w:val="0"/>
                  <w:vAlign w:val="center"/>
                </w:tcPr>
                <w:p w14:paraId="47725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661" w:type="dxa"/>
                  <w:noWrap w:val="0"/>
                  <w:vAlign w:val="center"/>
                </w:tcPr>
                <w:p w14:paraId="13FD2C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14:paraId="51A15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675" w:type="dxa"/>
                  <w:noWrap w:val="0"/>
                  <w:vAlign w:val="center"/>
                </w:tcPr>
                <w:p w14:paraId="0B7780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650" w:type="dxa"/>
                  <w:noWrap w:val="0"/>
                  <w:vAlign w:val="center"/>
                </w:tcPr>
                <w:p w14:paraId="398DB1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14:paraId="1B0B38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1070" w:type="dxa"/>
                  <w:noWrap w:val="0"/>
                  <w:vAlign w:val="center"/>
                </w:tcPr>
                <w:p w14:paraId="322737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299" w:type="dxa"/>
                  <w:noWrap w:val="0"/>
                  <w:vAlign w:val="center"/>
                </w:tcPr>
                <w:p w14:paraId="153D4A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358" w:type="dxa"/>
                  <w:noWrap w:val="0"/>
                  <w:vAlign w:val="center"/>
                </w:tcPr>
                <w:p w14:paraId="208A3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498" w:type="dxa"/>
                  <w:noWrap w:val="0"/>
                  <w:vAlign w:val="center"/>
                </w:tcPr>
                <w:p w14:paraId="4784E4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675" w:type="dxa"/>
                  <w:noWrap w:val="0"/>
                  <w:vAlign w:val="center"/>
                </w:tcPr>
                <w:p w14:paraId="78FA6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14:paraId="18177D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646" w:type="dxa"/>
                  <w:noWrap w:val="0"/>
                  <w:vAlign w:val="center"/>
                </w:tcPr>
                <w:p w14:paraId="0BFDB9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740" w:type="dxa"/>
                  <w:gridSpan w:val="2"/>
                  <w:noWrap w:val="0"/>
                  <w:vAlign w:val="center"/>
                </w:tcPr>
                <w:p w14:paraId="7B5E34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14:paraId="1BB268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r>
            <w:tr w14:paraId="793FC2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dxa"/>
                  <w:vMerge w:val="restart"/>
                  <w:noWrap w:val="0"/>
                  <w:vAlign w:val="center"/>
                </w:tcPr>
                <w:p w14:paraId="237EB3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306" w:type="dxa"/>
                  <w:vMerge w:val="restart"/>
                  <w:noWrap w:val="0"/>
                  <w:vAlign w:val="center"/>
                </w:tcPr>
                <w:p w14:paraId="2AA48D26">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热风炉</w:t>
                  </w:r>
                  <w:r>
                    <w:rPr>
                      <w:rFonts w:hint="eastAsia" w:cs="Times New Roman"/>
                      <w:color w:val="auto"/>
                      <w:sz w:val="18"/>
                      <w:szCs w:val="18"/>
                      <w:highlight w:val="none"/>
                      <w:lang w:val="en-US" w:eastAsia="zh-CN"/>
                    </w:rPr>
                    <w:t>烟囱</w:t>
                  </w:r>
                </w:p>
              </w:tc>
              <w:tc>
                <w:tcPr>
                  <w:tcW w:w="343" w:type="dxa"/>
                  <w:noWrap w:val="0"/>
                  <w:vAlign w:val="center"/>
                </w:tcPr>
                <w:p w14:paraId="3BEA6D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306" w:type="dxa"/>
                  <w:vMerge w:val="restart"/>
                  <w:noWrap w:val="0"/>
                  <w:vAlign w:val="center"/>
                </w:tcPr>
                <w:p w14:paraId="484947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物料衡算法</w:t>
                  </w:r>
                </w:p>
              </w:tc>
              <w:tc>
                <w:tcPr>
                  <w:tcW w:w="535" w:type="dxa"/>
                  <w:vMerge w:val="restart"/>
                  <w:noWrap w:val="0"/>
                  <w:vAlign w:val="center"/>
                </w:tcPr>
                <w:p w14:paraId="46B0E8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16659.256</w:t>
                  </w:r>
                </w:p>
              </w:tc>
              <w:tc>
                <w:tcPr>
                  <w:tcW w:w="661" w:type="dxa"/>
                  <w:noWrap w:val="0"/>
                  <w:vAlign w:val="center"/>
                </w:tcPr>
                <w:p w14:paraId="40109B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2845.3</w:t>
                  </w:r>
                </w:p>
              </w:tc>
              <w:tc>
                <w:tcPr>
                  <w:tcW w:w="675" w:type="dxa"/>
                  <w:noWrap w:val="0"/>
                  <w:vAlign w:val="center"/>
                </w:tcPr>
                <w:p w14:paraId="7C115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26.75</w:t>
                  </w:r>
                </w:p>
              </w:tc>
              <w:tc>
                <w:tcPr>
                  <w:tcW w:w="650" w:type="dxa"/>
                  <w:noWrap w:val="0"/>
                  <w:vAlign w:val="center"/>
                </w:tcPr>
                <w:p w14:paraId="5AEB34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204.77</w:t>
                  </w:r>
                </w:p>
              </w:tc>
              <w:tc>
                <w:tcPr>
                  <w:tcW w:w="1070" w:type="dxa"/>
                  <w:noWrap w:val="0"/>
                  <w:vAlign w:val="center"/>
                </w:tcPr>
                <w:p w14:paraId="3AC02F22">
                  <w:pPr>
                    <w:pStyle w:val="48"/>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布袋除尘器+15米高烟囱</w:t>
                  </w:r>
                </w:p>
              </w:tc>
              <w:tc>
                <w:tcPr>
                  <w:tcW w:w="299" w:type="dxa"/>
                  <w:noWrap w:val="0"/>
                  <w:vAlign w:val="center"/>
                </w:tcPr>
                <w:p w14:paraId="611A4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99</w:t>
                  </w:r>
                </w:p>
              </w:tc>
              <w:tc>
                <w:tcPr>
                  <w:tcW w:w="358" w:type="dxa"/>
                  <w:vMerge w:val="restart"/>
                  <w:noWrap w:val="0"/>
                  <w:vAlign w:val="center"/>
                </w:tcPr>
                <w:p w14:paraId="6B8B6C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498" w:type="dxa"/>
                  <w:vMerge w:val="restart"/>
                  <w:noWrap w:val="0"/>
                  <w:vAlign w:val="center"/>
                </w:tcPr>
                <w:p w14:paraId="4F4C69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16659.256</w:t>
                  </w:r>
                </w:p>
              </w:tc>
              <w:tc>
                <w:tcPr>
                  <w:tcW w:w="675" w:type="dxa"/>
                  <w:noWrap w:val="0"/>
                  <w:vAlign w:val="center"/>
                </w:tcPr>
                <w:p w14:paraId="5746AE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28.453</w:t>
                  </w:r>
                </w:p>
              </w:tc>
              <w:tc>
                <w:tcPr>
                  <w:tcW w:w="646" w:type="dxa"/>
                  <w:noWrap w:val="0"/>
                  <w:vAlign w:val="center"/>
                </w:tcPr>
                <w:p w14:paraId="1585D0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0.474</w:t>
                  </w:r>
                </w:p>
              </w:tc>
              <w:tc>
                <w:tcPr>
                  <w:tcW w:w="740" w:type="dxa"/>
                  <w:gridSpan w:val="2"/>
                  <w:noWrap w:val="0"/>
                  <w:vAlign w:val="center"/>
                </w:tcPr>
                <w:p w14:paraId="7F2611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2.048</w:t>
                  </w:r>
                </w:p>
              </w:tc>
            </w:tr>
            <w:tr w14:paraId="2B5A6D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dxa"/>
                  <w:vMerge w:val="continue"/>
                  <w:noWrap w:val="0"/>
                  <w:vAlign w:val="center"/>
                </w:tcPr>
                <w:p w14:paraId="53C7E0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6" w:type="dxa"/>
                  <w:vMerge w:val="continue"/>
                  <w:noWrap w:val="0"/>
                  <w:vAlign w:val="center"/>
                </w:tcPr>
                <w:p w14:paraId="008871D2">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43" w:type="dxa"/>
                  <w:noWrap w:val="0"/>
                  <w:vAlign w:val="center"/>
                </w:tcPr>
                <w:p w14:paraId="71CEC3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306" w:type="dxa"/>
                  <w:vMerge w:val="continue"/>
                  <w:noWrap w:val="0"/>
                  <w:vAlign w:val="center"/>
                </w:tcPr>
                <w:p w14:paraId="14270B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p>
              </w:tc>
              <w:tc>
                <w:tcPr>
                  <w:tcW w:w="535" w:type="dxa"/>
                  <w:vMerge w:val="continue"/>
                  <w:noWrap w:val="0"/>
                  <w:vAlign w:val="center"/>
                </w:tcPr>
                <w:p w14:paraId="4930C8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661" w:type="dxa"/>
                  <w:noWrap w:val="0"/>
                  <w:vAlign w:val="center"/>
                </w:tcPr>
                <w:p w14:paraId="5CDEB8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34.79</w:t>
                  </w:r>
                </w:p>
              </w:tc>
              <w:tc>
                <w:tcPr>
                  <w:tcW w:w="675" w:type="dxa"/>
                  <w:noWrap w:val="0"/>
                  <w:vAlign w:val="center"/>
                </w:tcPr>
                <w:p w14:paraId="19765D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0.58</w:t>
                  </w:r>
                </w:p>
              </w:tc>
              <w:tc>
                <w:tcPr>
                  <w:tcW w:w="650" w:type="dxa"/>
                  <w:noWrap w:val="0"/>
                  <w:vAlign w:val="center"/>
                </w:tcPr>
                <w:p w14:paraId="5BF2E5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2.504</w:t>
                  </w:r>
                </w:p>
              </w:tc>
              <w:tc>
                <w:tcPr>
                  <w:tcW w:w="1070" w:type="dxa"/>
                  <w:noWrap w:val="0"/>
                  <w:vAlign w:val="center"/>
                </w:tcPr>
                <w:p w14:paraId="2CB6CE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99" w:type="dxa"/>
                  <w:noWrap w:val="0"/>
                  <w:vAlign w:val="center"/>
                </w:tcPr>
                <w:p w14:paraId="71B5D6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w:t>
                  </w:r>
                </w:p>
              </w:tc>
              <w:tc>
                <w:tcPr>
                  <w:tcW w:w="358" w:type="dxa"/>
                  <w:vMerge w:val="continue"/>
                  <w:noWrap w:val="0"/>
                  <w:vAlign w:val="center"/>
                </w:tcPr>
                <w:p w14:paraId="2A733D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498" w:type="dxa"/>
                  <w:vMerge w:val="continue"/>
                  <w:noWrap w:val="0"/>
                  <w:vAlign w:val="center"/>
                </w:tcPr>
                <w:p w14:paraId="3EF303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675" w:type="dxa"/>
                  <w:noWrap w:val="0"/>
                  <w:vAlign w:val="center"/>
                </w:tcPr>
                <w:p w14:paraId="253514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34.79</w:t>
                  </w:r>
                </w:p>
              </w:tc>
              <w:tc>
                <w:tcPr>
                  <w:tcW w:w="646" w:type="dxa"/>
                  <w:noWrap w:val="0"/>
                  <w:vAlign w:val="center"/>
                </w:tcPr>
                <w:p w14:paraId="35111F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0.58</w:t>
                  </w:r>
                </w:p>
              </w:tc>
              <w:tc>
                <w:tcPr>
                  <w:tcW w:w="740" w:type="dxa"/>
                  <w:gridSpan w:val="2"/>
                  <w:noWrap w:val="0"/>
                  <w:vAlign w:val="center"/>
                </w:tcPr>
                <w:p w14:paraId="254D7F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2.504</w:t>
                  </w:r>
                </w:p>
              </w:tc>
            </w:tr>
            <w:tr w14:paraId="104C99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dxa"/>
                  <w:vMerge w:val="continue"/>
                  <w:noWrap w:val="0"/>
                  <w:vAlign w:val="center"/>
                </w:tcPr>
                <w:p w14:paraId="376E4C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6" w:type="dxa"/>
                  <w:vMerge w:val="continue"/>
                  <w:noWrap w:val="0"/>
                  <w:vAlign w:val="center"/>
                </w:tcPr>
                <w:p w14:paraId="4D97D75A">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43" w:type="dxa"/>
                  <w:noWrap w:val="0"/>
                  <w:vAlign w:val="center"/>
                </w:tcPr>
                <w:p w14:paraId="56DBD5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306" w:type="dxa"/>
                  <w:shd w:val="clear" w:color="auto" w:fill="auto"/>
                  <w:noWrap w:val="0"/>
                  <w:vAlign w:val="center"/>
                </w:tcPr>
                <w:p w14:paraId="05F2C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eastAsia="zh-CN"/>
                    </w:rPr>
                    <w:t>类比法</w:t>
                  </w:r>
                </w:p>
              </w:tc>
              <w:tc>
                <w:tcPr>
                  <w:tcW w:w="535" w:type="dxa"/>
                  <w:vMerge w:val="continue"/>
                  <w:noWrap w:val="0"/>
                  <w:vAlign w:val="center"/>
                </w:tcPr>
                <w:p w14:paraId="6FC83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661" w:type="dxa"/>
                  <w:noWrap w:val="0"/>
                  <w:vAlign w:val="center"/>
                </w:tcPr>
                <w:p w14:paraId="013CC6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149.66</w:t>
                  </w:r>
                </w:p>
              </w:tc>
              <w:tc>
                <w:tcPr>
                  <w:tcW w:w="675" w:type="dxa"/>
                  <w:noWrap w:val="0"/>
                  <w:vAlign w:val="center"/>
                </w:tcPr>
                <w:p w14:paraId="0F0844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2.493</w:t>
                  </w:r>
                </w:p>
              </w:tc>
              <w:tc>
                <w:tcPr>
                  <w:tcW w:w="650" w:type="dxa"/>
                  <w:noWrap w:val="0"/>
                  <w:vAlign w:val="center"/>
                </w:tcPr>
                <w:p w14:paraId="54C0F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10.771</w:t>
                  </w:r>
                </w:p>
              </w:tc>
              <w:tc>
                <w:tcPr>
                  <w:tcW w:w="1070" w:type="dxa"/>
                  <w:noWrap w:val="0"/>
                  <w:vAlign w:val="center"/>
                </w:tcPr>
                <w:p w14:paraId="1290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99" w:type="dxa"/>
                  <w:noWrap w:val="0"/>
                  <w:vAlign w:val="center"/>
                </w:tcPr>
                <w:p w14:paraId="2DBDC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358" w:type="dxa"/>
                  <w:vMerge w:val="restart"/>
                  <w:noWrap w:val="0"/>
                  <w:vAlign w:val="center"/>
                </w:tcPr>
                <w:p w14:paraId="7C6DE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产污系数法</w:t>
                  </w:r>
                </w:p>
              </w:tc>
              <w:tc>
                <w:tcPr>
                  <w:tcW w:w="498" w:type="dxa"/>
                  <w:vMerge w:val="continue"/>
                  <w:noWrap w:val="0"/>
                  <w:vAlign w:val="center"/>
                </w:tcPr>
                <w:p w14:paraId="1BFC3C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675" w:type="dxa"/>
                  <w:noWrap w:val="0"/>
                  <w:vAlign w:val="center"/>
                </w:tcPr>
                <w:p w14:paraId="441914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149.66</w:t>
                  </w:r>
                </w:p>
              </w:tc>
              <w:tc>
                <w:tcPr>
                  <w:tcW w:w="646" w:type="dxa"/>
                  <w:noWrap w:val="0"/>
                  <w:vAlign w:val="center"/>
                </w:tcPr>
                <w:p w14:paraId="0E0626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2.493</w:t>
                  </w:r>
                </w:p>
              </w:tc>
              <w:tc>
                <w:tcPr>
                  <w:tcW w:w="740" w:type="dxa"/>
                  <w:gridSpan w:val="2"/>
                  <w:noWrap w:val="0"/>
                  <w:vAlign w:val="center"/>
                </w:tcPr>
                <w:p w14:paraId="6B2A3A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10.771</w:t>
                  </w:r>
                </w:p>
              </w:tc>
            </w:tr>
            <w:tr w14:paraId="2A5C6C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2" w:type="dxa"/>
                  <w:vMerge w:val="restart"/>
                  <w:noWrap w:val="0"/>
                  <w:vAlign w:val="center"/>
                </w:tcPr>
                <w:p w14:paraId="36E118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无组织排放</w:t>
                  </w:r>
                </w:p>
              </w:tc>
              <w:tc>
                <w:tcPr>
                  <w:tcW w:w="306" w:type="dxa"/>
                  <w:noWrap w:val="0"/>
                  <w:vAlign w:val="center"/>
                </w:tcPr>
                <w:p w14:paraId="53102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输送装卸</w:t>
                  </w:r>
                </w:p>
              </w:tc>
              <w:tc>
                <w:tcPr>
                  <w:tcW w:w="343" w:type="dxa"/>
                  <w:vMerge w:val="restart"/>
                  <w:noWrap w:val="0"/>
                  <w:vAlign w:val="center"/>
                </w:tcPr>
                <w:p w14:paraId="06A461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工业粉尘</w:t>
                  </w:r>
                </w:p>
              </w:tc>
              <w:tc>
                <w:tcPr>
                  <w:tcW w:w="306" w:type="dxa"/>
                  <w:vMerge w:val="restart"/>
                  <w:shd w:val="clear" w:color="auto" w:fill="auto"/>
                  <w:noWrap w:val="0"/>
                  <w:vAlign w:val="center"/>
                </w:tcPr>
                <w:p w14:paraId="67E2C2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产污系数法</w:t>
                  </w:r>
                </w:p>
              </w:tc>
              <w:tc>
                <w:tcPr>
                  <w:tcW w:w="535" w:type="dxa"/>
                  <w:noWrap w:val="0"/>
                  <w:vAlign w:val="center"/>
                </w:tcPr>
                <w:p w14:paraId="476FEF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61" w:type="dxa"/>
                  <w:noWrap w:val="0"/>
                  <w:vAlign w:val="center"/>
                </w:tcPr>
                <w:p w14:paraId="0F8B6A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6558DB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2.083</w:t>
                  </w:r>
                </w:p>
              </w:tc>
              <w:tc>
                <w:tcPr>
                  <w:tcW w:w="650" w:type="dxa"/>
                  <w:noWrap w:val="0"/>
                  <w:vAlign w:val="center"/>
                </w:tcPr>
                <w:p w14:paraId="53E589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1070" w:type="dxa"/>
                  <w:noWrap w:val="0"/>
                  <w:vAlign w:val="center"/>
                </w:tcPr>
                <w:p w14:paraId="4EEF3A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p>
              </w:tc>
              <w:tc>
                <w:tcPr>
                  <w:tcW w:w="299" w:type="dxa"/>
                  <w:noWrap w:val="0"/>
                  <w:vAlign w:val="center"/>
                </w:tcPr>
                <w:p w14:paraId="2D851D1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58" w:type="dxa"/>
                  <w:vMerge w:val="continue"/>
                  <w:shd w:val="clear" w:color="auto" w:fill="auto"/>
                  <w:noWrap w:val="0"/>
                  <w:vAlign w:val="center"/>
                </w:tcPr>
                <w:p w14:paraId="100B68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p>
              </w:tc>
              <w:tc>
                <w:tcPr>
                  <w:tcW w:w="498" w:type="dxa"/>
                  <w:noWrap w:val="0"/>
                  <w:vAlign w:val="center"/>
                </w:tcPr>
                <w:p w14:paraId="5B07B1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600CC3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46" w:type="dxa"/>
                  <w:noWrap w:val="0"/>
                  <w:vAlign w:val="center"/>
                </w:tcPr>
                <w:p w14:paraId="5B23B7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pacing w:val="0"/>
                      <w:position w:val="0"/>
                      <w:sz w:val="18"/>
                      <w:szCs w:val="18"/>
                      <w:highlight w:val="none"/>
                      <w:lang w:val="en-US" w:eastAsia="zh-CN"/>
                    </w:rPr>
                    <w:t>0.208</w:t>
                  </w:r>
                </w:p>
              </w:tc>
              <w:tc>
                <w:tcPr>
                  <w:tcW w:w="740" w:type="dxa"/>
                  <w:gridSpan w:val="2"/>
                  <w:noWrap w:val="0"/>
                  <w:vAlign w:val="center"/>
                </w:tcPr>
                <w:p w14:paraId="6B3CF7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bCs/>
                      <w:color w:val="auto"/>
                      <w:kern w:val="0"/>
                      <w:sz w:val="18"/>
                      <w:szCs w:val="18"/>
                      <w:highlight w:val="none"/>
                      <w:lang w:val="en-US" w:eastAsia="zh-CN"/>
                    </w:rPr>
                    <w:t>0.9</w:t>
                  </w:r>
                </w:p>
              </w:tc>
            </w:tr>
            <w:tr w14:paraId="767ED8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dxa"/>
                  <w:vMerge w:val="continue"/>
                  <w:noWrap w:val="0"/>
                  <w:vAlign w:val="center"/>
                </w:tcPr>
                <w:p w14:paraId="15D53A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306" w:type="dxa"/>
                  <w:noWrap w:val="0"/>
                  <w:vAlign w:val="center"/>
                </w:tcPr>
                <w:p w14:paraId="4E3DE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eastAsia" w:cs="Times New Roman"/>
                      <w:color w:val="auto"/>
                      <w:sz w:val="18"/>
                      <w:szCs w:val="18"/>
                      <w:highlight w:val="none"/>
                      <w:lang w:val="en-US" w:eastAsia="zh-CN"/>
                    </w:rPr>
                    <w:t>初清</w:t>
                  </w:r>
                  <w:r>
                    <w:rPr>
                      <w:rFonts w:hint="eastAsia" w:ascii="Times New Roman" w:hAnsi="Times New Roman" w:eastAsia="宋体" w:cs="Times New Roman"/>
                      <w:color w:val="auto"/>
                      <w:sz w:val="18"/>
                      <w:szCs w:val="18"/>
                      <w:highlight w:val="none"/>
                      <w:lang w:eastAsia="zh-CN"/>
                    </w:rPr>
                    <w:t>筛分</w:t>
                  </w:r>
                </w:p>
              </w:tc>
              <w:tc>
                <w:tcPr>
                  <w:tcW w:w="343" w:type="dxa"/>
                  <w:vMerge w:val="continue"/>
                  <w:noWrap w:val="0"/>
                  <w:vAlign w:val="center"/>
                </w:tcPr>
                <w:p w14:paraId="1D857D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6" w:type="dxa"/>
                  <w:vMerge w:val="continue"/>
                  <w:noWrap w:val="0"/>
                  <w:vAlign w:val="center"/>
                </w:tcPr>
                <w:p w14:paraId="38269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535" w:type="dxa"/>
                  <w:noWrap w:val="0"/>
                  <w:vAlign w:val="center"/>
                </w:tcPr>
                <w:p w14:paraId="2B950E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61" w:type="dxa"/>
                  <w:noWrap w:val="0"/>
                  <w:vAlign w:val="center"/>
                </w:tcPr>
                <w:p w14:paraId="526BBF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1F02DC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32.25</w:t>
                  </w:r>
                </w:p>
              </w:tc>
              <w:tc>
                <w:tcPr>
                  <w:tcW w:w="650" w:type="dxa"/>
                  <w:noWrap w:val="0"/>
                  <w:vAlign w:val="center"/>
                </w:tcPr>
                <w:p w14:paraId="1CA79D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135</w:t>
                  </w:r>
                </w:p>
              </w:tc>
              <w:tc>
                <w:tcPr>
                  <w:tcW w:w="1070" w:type="dxa"/>
                  <w:noWrap w:val="0"/>
                  <w:vAlign w:val="center"/>
                </w:tcPr>
                <w:p w14:paraId="407260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w:t>
                  </w:r>
                </w:p>
              </w:tc>
              <w:tc>
                <w:tcPr>
                  <w:tcW w:w="299" w:type="dxa"/>
                  <w:noWrap w:val="0"/>
                  <w:vAlign w:val="center"/>
                </w:tcPr>
                <w:p w14:paraId="0E56A9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99</w:t>
                  </w:r>
                </w:p>
              </w:tc>
              <w:tc>
                <w:tcPr>
                  <w:tcW w:w="358" w:type="dxa"/>
                  <w:vMerge w:val="continue"/>
                  <w:noWrap w:val="0"/>
                  <w:vAlign w:val="center"/>
                </w:tcPr>
                <w:p w14:paraId="171C8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498" w:type="dxa"/>
                  <w:noWrap w:val="0"/>
                  <w:vAlign w:val="center"/>
                </w:tcPr>
                <w:p w14:paraId="4CF67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55F815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46" w:type="dxa"/>
                  <w:noWrap w:val="0"/>
                  <w:vAlign w:val="center"/>
                </w:tcPr>
                <w:p w14:paraId="227FB4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0.313</w:t>
                  </w:r>
                </w:p>
              </w:tc>
              <w:tc>
                <w:tcPr>
                  <w:tcW w:w="740" w:type="dxa"/>
                  <w:gridSpan w:val="2"/>
                  <w:noWrap w:val="0"/>
                  <w:vAlign w:val="center"/>
                </w:tcPr>
                <w:p w14:paraId="2B507E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pacing w:val="0"/>
                      <w:position w:val="0"/>
                      <w:sz w:val="18"/>
                      <w:szCs w:val="18"/>
                      <w:highlight w:val="none"/>
                      <w:lang w:val="en-US" w:eastAsia="zh-CN"/>
                    </w:rPr>
                    <w:t>1.35</w:t>
                  </w:r>
                </w:p>
              </w:tc>
            </w:tr>
            <w:tr w14:paraId="332FC1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dxa"/>
                  <w:vMerge w:val="continue"/>
                  <w:noWrap w:val="0"/>
                  <w:vAlign w:val="center"/>
                </w:tcPr>
                <w:p w14:paraId="1085D4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306" w:type="dxa"/>
                  <w:noWrap w:val="0"/>
                  <w:vAlign w:val="center"/>
                </w:tcPr>
                <w:p w14:paraId="035B9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烘干</w:t>
                  </w:r>
                </w:p>
              </w:tc>
              <w:tc>
                <w:tcPr>
                  <w:tcW w:w="343" w:type="dxa"/>
                  <w:vMerge w:val="continue"/>
                  <w:noWrap w:val="0"/>
                  <w:vAlign w:val="center"/>
                </w:tcPr>
                <w:p w14:paraId="45124F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6" w:type="dxa"/>
                  <w:vMerge w:val="continue"/>
                  <w:noWrap w:val="0"/>
                  <w:vAlign w:val="center"/>
                </w:tcPr>
                <w:p w14:paraId="5F48E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535" w:type="dxa"/>
                  <w:noWrap w:val="0"/>
                  <w:vAlign w:val="center"/>
                </w:tcPr>
                <w:p w14:paraId="1595A5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61" w:type="dxa"/>
                  <w:noWrap w:val="0"/>
                  <w:vAlign w:val="center"/>
                </w:tcPr>
                <w:p w14:paraId="4B699A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23729E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eastAsia" w:cs="Times New Roman"/>
                      <w:bCs/>
                      <w:color w:val="auto"/>
                      <w:kern w:val="0"/>
                      <w:sz w:val="18"/>
                      <w:szCs w:val="18"/>
                      <w:highlight w:val="none"/>
                      <w:lang w:val="en-US" w:eastAsia="zh-CN"/>
                    </w:rPr>
                    <w:t>2.083</w:t>
                  </w:r>
                </w:p>
              </w:tc>
              <w:tc>
                <w:tcPr>
                  <w:tcW w:w="650" w:type="dxa"/>
                  <w:noWrap w:val="0"/>
                  <w:vAlign w:val="center"/>
                </w:tcPr>
                <w:p w14:paraId="79A87D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1070" w:type="dxa"/>
                  <w:noWrap w:val="0"/>
                  <w:vAlign w:val="center"/>
                </w:tcPr>
                <w:p w14:paraId="160322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p>
              </w:tc>
              <w:tc>
                <w:tcPr>
                  <w:tcW w:w="299" w:type="dxa"/>
                  <w:noWrap w:val="0"/>
                  <w:vAlign w:val="center"/>
                </w:tcPr>
                <w:p w14:paraId="2838DC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358" w:type="dxa"/>
                  <w:vMerge w:val="continue"/>
                  <w:noWrap w:val="0"/>
                  <w:vAlign w:val="center"/>
                </w:tcPr>
                <w:p w14:paraId="056EB4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498" w:type="dxa"/>
                  <w:noWrap w:val="0"/>
                  <w:vAlign w:val="center"/>
                </w:tcPr>
                <w:p w14:paraId="29323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675" w:type="dxa"/>
                  <w:noWrap w:val="0"/>
                  <w:vAlign w:val="center"/>
                </w:tcPr>
                <w:p w14:paraId="01FDDC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646" w:type="dxa"/>
                  <w:noWrap w:val="0"/>
                  <w:vAlign w:val="center"/>
                </w:tcPr>
                <w:p w14:paraId="1F11B4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z w:val="18"/>
                      <w:szCs w:val="18"/>
                      <w:highlight w:val="none"/>
                      <w:lang w:val="en-US"/>
                    </w:rPr>
                  </w:pPr>
                  <w:r>
                    <w:rPr>
                      <w:rFonts w:hint="eastAsia" w:cs="Times New Roman"/>
                      <w:color w:val="auto"/>
                      <w:spacing w:val="0"/>
                      <w:position w:val="0"/>
                      <w:sz w:val="18"/>
                      <w:szCs w:val="18"/>
                      <w:highlight w:val="none"/>
                      <w:lang w:val="en-US" w:eastAsia="zh-CN"/>
                    </w:rPr>
                    <w:t>0.208</w:t>
                  </w:r>
                </w:p>
              </w:tc>
              <w:tc>
                <w:tcPr>
                  <w:tcW w:w="740" w:type="dxa"/>
                  <w:gridSpan w:val="2"/>
                  <w:noWrap w:val="0"/>
                  <w:vAlign w:val="center"/>
                </w:tcPr>
                <w:p w14:paraId="69BED7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0.9</w:t>
                  </w:r>
                </w:p>
              </w:tc>
            </w:tr>
          </w:tbl>
          <w:p w14:paraId="59A43F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1</w:t>
            </w:r>
            <w:r>
              <w:rPr>
                <w:rFonts w:hint="default"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热风炉</w:t>
            </w:r>
            <w:r>
              <w:rPr>
                <w:rFonts w:hint="default" w:ascii="Times New Roman" w:hAnsi="Times New Roman" w:eastAsia="宋体" w:cs="Times New Roman"/>
                <w:bCs/>
                <w:color w:val="auto"/>
                <w:kern w:val="0"/>
                <w:sz w:val="21"/>
                <w:szCs w:val="21"/>
                <w:highlight w:val="none"/>
                <w:lang w:eastAsia="zh-CN"/>
              </w:rPr>
              <w:t>废气</w:t>
            </w:r>
          </w:p>
          <w:p w14:paraId="4C150268">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cs="Times New Roman"/>
                <w:bCs/>
                <w:color w:val="auto"/>
                <w:szCs w:val="21"/>
                <w:highlight w:val="none"/>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新建1座500t/d烘干塔，1台</w:t>
            </w:r>
            <w:r>
              <w:rPr>
                <w:rFonts w:hint="eastAsia" w:cs="Times New Roman"/>
                <w:b w:val="0"/>
                <w:bCs w:val="0"/>
                <w:color w:val="auto"/>
                <w:sz w:val="21"/>
                <w:szCs w:val="21"/>
                <w:highlight w:val="none"/>
                <w:lang w:val="en-US" w:eastAsia="zh-CN"/>
              </w:rPr>
              <w:t>720万Kcal/h</w:t>
            </w:r>
            <w:r>
              <w:rPr>
                <w:rFonts w:hint="eastAsia" w:ascii="Times New Roman" w:hAnsi="Times New Roman" w:eastAsia="宋体" w:cs="Times New Roman"/>
                <w:b w:val="0"/>
                <w:bCs w:val="0"/>
                <w:color w:val="auto"/>
                <w:sz w:val="21"/>
                <w:szCs w:val="21"/>
                <w:highlight w:val="none"/>
                <w:lang w:val="en-US" w:eastAsia="zh-CN"/>
              </w:rPr>
              <w:t>燃生物质热风炉，</w:t>
            </w:r>
            <w:r>
              <w:rPr>
                <w:rFonts w:hint="default" w:ascii="Times New Roman" w:hAnsi="Times New Roman" w:cs="Times New Roman"/>
                <w:color w:val="auto"/>
                <w:sz w:val="21"/>
                <w:szCs w:val="21"/>
                <w:highlight w:val="none"/>
                <w:lang w:val="en-US" w:eastAsia="zh-CN"/>
              </w:rPr>
              <w:t>处理后经过</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排放，热风炉的燃料为</w:t>
            </w:r>
            <w:r>
              <w:rPr>
                <w:rFonts w:hint="eastAsia" w:ascii="Times New Roman" w:hAnsi="Times New Roman" w:cs="Times New Roman"/>
                <w:color w:val="auto"/>
                <w:sz w:val="21"/>
                <w:szCs w:val="21"/>
                <w:highlight w:val="none"/>
                <w:lang w:val="en-US" w:eastAsia="zh-CN"/>
              </w:rPr>
              <w:t>生物质</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根据前文计算</w:t>
            </w: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9272.6</w:t>
            </w:r>
            <w:r>
              <w:rPr>
                <w:rFonts w:hint="eastAsia"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p w14:paraId="07691F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本项目热风炉</w:t>
            </w:r>
            <w:r>
              <w:rPr>
                <w:rFonts w:hint="eastAsia" w:ascii="Times New Roman" w:hAnsi="Times New Roman" w:eastAsia="宋体" w:cs="Times New Roman"/>
                <w:color w:val="auto"/>
                <w:sz w:val="21"/>
                <w:szCs w:val="21"/>
                <w:highlight w:val="none"/>
                <w:lang w:eastAsia="zh-CN"/>
              </w:rPr>
              <w:t>颗粒物</w:t>
            </w:r>
            <w:r>
              <w:rPr>
                <w:rFonts w:hint="eastAsia" w:ascii="Times New Roman" w:hAnsi="Times New Roman" w:eastAsia="宋体" w:cs="Times New Roman"/>
                <w:color w:val="auto"/>
                <w:sz w:val="21"/>
                <w:szCs w:val="21"/>
                <w:highlight w:val="none"/>
              </w:rPr>
              <w:t>产生情况参照</w:t>
            </w:r>
            <w:r>
              <w:rPr>
                <w:rFonts w:hint="default" w:ascii="Times New Roman" w:hAnsi="Times New Roman" w:eastAsia="宋体" w:cs="Times New Roman"/>
                <w:color w:val="auto"/>
                <w:sz w:val="21"/>
                <w:szCs w:val="21"/>
                <w:highlight w:val="none"/>
              </w:rPr>
              <w:t>《排污许可证申请与核发技术规范 锅炉》</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HJ953-2018</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中相关方法</w:t>
            </w:r>
            <w:r>
              <w:rPr>
                <w:rFonts w:hint="eastAsia" w:ascii="Times New Roman" w:hAnsi="Times New Roman" w:eastAsia="宋体" w:cs="Times New Roman"/>
                <w:color w:val="auto"/>
                <w:sz w:val="21"/>
                <w:szCs w:val="21"/>
                <w:highlight w:val="none"/>
                <w:lang w:eastAsia="zh-CN"/>
              </w:rPr>
              <w:t>计算烟气量</w:t>
            </w:r>
            <w:r>
              <w:rPr>
                <w:rFonts w:hint="eastAsia" w:ascii="Times New Roman" w:hAnsi="Times New Roman" w:eastAsia="宋体" w:cs="Times New Roman"/>
                <w:color w:val="auto"/>
                <w:sz w:val="21"/>
                <w:szCs w:val="21"/>
                <w:highlight w:val="none"/>
              </w:rPr>
              <w:t>。</w:t>
            </w:r>
          </w:p>
          <w:p w14:paraId="6E35FD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outlineLvl w:val="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59250103">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outlineLvl w:val="2"/>
              <w:rPr>
                <w:rFonts w:hint="default"/>
                <w:color w:val="auto"/>
                <w:highlight w:val="none"/>
              </w:rPr>
            </w:pPr>
            <w:r>
              <w:rPr>
                <w:rFonts w:hint="default" w:ascii="Times New Roman" w:hAnsi="Times New Roman" w:eastAsia="宋体" w:cs="Times New Roman"/>
                <w:color w:val="auto"/>
                <w:sz w:val="21"/>
                <w:szCs w:val="21"/>
                <w:highlight w:val="none"/>
              </w:rPr>
              <w:t>本项目Q</w:t>
            </w:r>
            <w:r>
              <w:rPr>
                <w:rFonts w:hint="default" w:ascii="Times New Roman" w:hAnsi="Times New Roman" w:eastAsia="宋体" w:cs="Times New Roman"/>
                <w:color w:val="auto"/>
                <w:sz w:val="21"/>
                <w:szCs w:val="21"/>
                <w:highlight w:val="none"/>
                <w:vertAlign w:val="subscript"/>
              </w:rPr>
              <w:t>net,ar</w:t>
            </w:r>
            <w:r>
              <w:rPr>
                <w:rFonts w:hint="default" w:ascii="Times New Roman" w:hAnsi="Times New Roman" w:eastAsia="宋体" w:cs="Times New Roman"/>
                <w:color w:val="auto"/>
                <w:sz w:val="21"/>
                <w:szCs w:val="21"/>
                <w:highlight w:val="none"/>
              </w:rPr>
              <w:t>（收到基低位发热量）为</w:t>
            </w:r>
            <w:r>
              <w:rPr>
                <w:rFonts w:hint="eastAsia"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MJ/kg，V</w:t>
            </w:r>
            <w:r>
              <w:rPr>
                <w:rFonts w:hint="default" w:ascii="Times New Roman" w:hAnsi="Times New Roman" w:eastAsia="宋体" w:cs="Times New Roman"/>
                <w:color w:val="auto"/>
                <w:sz w:val="21"/>
                <w:szCs w:val="21"/>
                <w:highlight w:val="none"/>
                <w:vertAlign w:val="subscript"/>
              </w:rPr>
              <w:t>daf</w:t>
            </w:r>
            <w:r>
              <w:rPr>
                <w:rFonts w:hint="default" w:ascii="Times New Roman" w:hAnsi="Times New Roman" w:eastAsia="宋体" w:cs="Times New Roman"/>
                <w:color w:val="auto"/>
                <w:sz w:val="21"/>
                <w:szCs w:val="21"/>
                <w:highlight w:val="none"/>
              </w:rPr>
              <w:t>&gt;15%，则基准烟气量经验公式可定为V</w:t>
            </w:r>
            <w:r>
              <w:rPr>
                <w:rFonts w:hint="default" w:ascii="Times New Roman" w:hAnsi="Times New Roman" w:eastAsia="宋体" w:cs="Times New Roman"/>
                <w:color w:val="auto"/>
                <w:sz w:val="21"/>
                <w:szCs w:val="21"/>
                <w:highlight w:val="none"/>
                <w:vertAlign w:val="subscript"/>
              </w:rPr>
              <w:t>gy</w:t>
            </w:r>
            <w:r>
              <w:rPr>
                <w:rFonts w:hint="default" w:ascii="Times New Roman" w:hAnsi="Times New Roman" w:eastAsia="宋体" w:cs="Times New Roman"/>
                <w:color w:val="auto"/>
                <w:sz w:val="21"/>
                <w:szCs w:val="21"/>
                <w:highlight w:val="none"/>
              </w:rPr>
              <w:t>=0.393Qnet.ar+0.876。</w:t>
            </w:r>
          </w:p>
          <w:p w14:paraId="17E422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则本项目的基准烟气量为Vgy=（</w:t>
            </w:r>
            <w:r>
              <w:rPr>
                <w:rFonts w:hint="eastAsia" w:cs="Times New Roman"/>
                <w:color w:val="auto"/>
                <w:sz w:val="21"/>
                <w:highlight w:val="none"/>
                <w:lang w:val="en-US" w:eastAsia="zh-CN"/>
              </w:rPr>
              <w:t>0.393</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17.52</w:t>
            </w:r>
            <w:r>
              <w:rPr>
                <w:rFonts w:hint="default" w:ascii="Times New Roman" w:hAnsi="Times New Roman" w:eastAsia="宋体" w:cs="Times New Roman"/>
                <w:color w:val="auto"/>
                <w:sz w:val="21"/>
                <w:highlight w:val="none"/>
              </w:rPr>
              <w:t>+0.</w:t>
            </w:r>
            <w:r>
              <w:rPr>
                <w:rFonts w:hint="eastAsia" w:cs="Times New Roman"/>
                <w:color w:val="auto"/>
                <w:sz w:val="21"/>
                <w:highlight w:val="none"/>
                <w:lang w:val="en-US" w:eastAsia="zh-CN"/>
              </w:rPr>
              <w:t>876</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7.</w:t>
            </w:r>
            <w:r>
              <w:rPr>
                <w:rFonts w:hint="eastAsia" w:cs="Times New Roman"/>
                <w:color w:val="auto"/>
                <w:sz w:val="21"/>
                <w:highlight w:val="none"/>
                <w:lang w:val="en-US" w:eastAsia="zh-CN"/>
              </w:rPr>
              <w:t>76</w:t>
            </w:r>
            <w:r>
              <w:rPr>
                <w:rFonts w:hint="default" w:ascii="Times New Roman" w:hAnsi="Times New Roman" w:eastAsia="宋体" w:cs="Times New Roman"/>
                <w:color w:val="auto"/>
                <w:sz w:val="21"/>
                <w:highlight w:val="none"/>
              </w:rPr>
              <w:t>m</w:t>
            </w:r>
            <w:r>
              <w:rPr>
                <w:rFonts w:hint="default" w:ascii="Times New Roman" w:hAnsi="Times New Roman" w:eastAsia="宋体" w:cs="Times New Roman"/>
                <w:color w:val="auto"/>
                <w:sz w:val="21"/>
                <w:highlight w:val="none"/>
                <w:vertAlign w:val="superscript"/>
              </w:rPr>
              <w:t>3</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kg</w:t>
            </w:r>
          </w:p>
          <w:p w14:paraId="4F323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则总烟气量为：</w:t>
            </w:r>
            <w:r>
              <w:rPr>
                <w:rFonts w:hint="eastAsia" w:cs="Times New Roman"/>
                <w:color w:val="auto"/>
                <w:sz w:val="21"/>
                <w:szCs w:val="21"/>
                <w:highlight w:val="none"/>
                <w:lang w:val="en-US" w:eastAsia="zh-CN"/>
              </w:rPr>
              <w:t>7.76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7.196798674</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p w14:paraId="46011C7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②颗粒物排放量</w:t>
            </w:r>
          </w:p>
          <w:p w14:paraId="36411FD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5" o:spt="75" type="#_x0000_t75" style="height:43.8pt;width:149.25pt;" o:ole="t" filled="f" o:preferrelative="t" stroked="f" coordsize="21600,21600">
                  <v:path/>
                  <v:fill on="f" focussize="0,0"/>
                  <v:stroke on="f"/>
                  <v:imagedata r:id="rId17" o:title=""/>
                  <o:lock v:ext="edit" aspectratio="t"/>
                  <w10:wrap type="none"/>
                  <w10:anchorlock/>
                </v:shape>
                <o:OLEObject Type="Embed" ProgID="Equations" ShapeID="_x0000_i1025" DrawAspect="Content" ObjectID="_1468075725" r:id="rId16">
                  <o:LockedField>false</o:LockedField>
                </o:OLEObject>
              </w:object>
            </w:r>
          </w:p>
          <w:p w14:paraId="79DE06AD">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----核算时段内颗粒物排放量，t；</w:t>
            </w:r>
          </w:p>
          <w:p w14:paraId="60FE5B84">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sz w:val="21"/>
                <w:szCs w:val="21"/>
                <w:highlight w:val="none"/>
              </w:rPr>
              <w:t>t/a；</w:t>
            </w:r>
          </w:p>
          <w:p w14:paraId="4F7058DB">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----收到基灰分的质量分数，%；取</w:t>
            </w:r>
            <w:r>
              <w:rPr>
                <w:rFonts w:hint="eastAsia" w:cs="Times New Roman"/>
                <w:color w:val="auto"/>
                <w:sz w:val="21"/>
                <w:szCs w:val="21"/>
                <w:highlight w:val="none"/>
                <w:lang w:val="en-US" w:eastAsia="zh-CN"/>
              </w:rPr>
              <w:t>3.71</w:t>
            </w:r>
            <w:r>
              <w:rPr>
                <w:rFonts w:hint="default" w:ascii="Times New Roman" w:hAnsi="Times New Roman" w:eastAsia="宋体" w:cs="Times New Roman"/>
                <w:color w:val="auto"/>
                <w:sz w:val="21"/>
                <w:szCs w:val="21"/>
                <w:highlight w:val="none"/>
              </w:rPr>
              <w:t>%。（根据生物质成分分析报告</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227EBAF7">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----锅炉烟气带出的灰分份额，%；取50%。（链条炉排炉灰分份额为10%-20%，本项目取20%，燃生物质时飞灰份额加30%，则最终灰分份额取50%）；</w:t>
            </w:r>
          </w:p>
          <w:p w14:paraId="5B98444A">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----综合除尘效率，%；取99%。</w:t>
            </w:r>
          </w:p>
          <w:p w14:paraId="7A7568DD">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%。（项目使用生物质成型燃料，飞灰中可燃物含量类比烟煤II类，根据《工业锅炉经济运行》（GB/T17954-2007），取1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71742ABC">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由计算可得出颗粒物排放量为</w:t>
            </w:r>
            <w:r>
              <w:rPr>
                <w:rFonts w:hint="eastAsia" w:cs="Times New Roman"/>
                <w:color w:val="auto"/>
                <w:position w:val="0"/>
                <w:sz w:val="21"/>
                <w:szCs w:val="21"/>
                <w:highlight w:val="none"/>
                <w:lang w:val="en-US" w:eastAsia="zh-CN"/>
              </w:rPr>
              <w:t>2.048t</w:t>
            </w:r>
            <w:r>
              <w:rPr>
                <w:rFonts w:hint="default" w:ascii="Times New Roman" w:hAnsi="Times New Roman" w:eastAsia="宋体" w:cs="Times New Roman"/>
                <w:color w:val="auto"/>
                <w:position w:val="0"/>
                <w:sz w:val="21"/>
                <w:szCs w:val="21"/>
                <w:highlight w:val="none"/>
              </w:rPr>
              <w:t>/a，</w:t>
            </w:r>
            <w:r>
              <w:rPr>
                <w:rFonts w:hint="eastAsia" w:cs="Times New Roman"/>
                <w:color w:val="auto"/>
                <w:position w:val="0"/>
                <w:sz w:val="21"/>
                <w:szCs w:val="21"/>
                <w:highlight w:val="none"/>
                <w:lang w:val="en-US" w:eastAsia="zh-CN"/>
              </w:rPr>
              <w:t>0.474</w:t>
            </w:r>
            <w:r>
              <w:rPr>
                <w:rFonts w:hint="default" w:ascii="Times New Roman" w:hAnsi="Times New Roman" w:eastAsia="宋体" w:cs="Times New Roman"/>
                <w:color w:val="auto"/>
                <w:position w:val="0"/>
                <w:sz w:val="21"/>
                <w:szCs w:val="21"/>
                <w:highlight w:val="none"/>
              </w:rPr>
              <w:t>kg/h。</w:t>
            </w:r>
          </w:p>
          <w:p w14:paraId="5A71654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0C83CDC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6" o:spt="75" type="#_x0000_t75" style="height:33pt;width:204pt;" o:ole="t" filled="f" o:preferrelative="t" stroked="f" coordsize="21600,21600">
                  <v:path/>
                  <v:fill on="f" focussize="0,0"/>
                  <v:stroke on="f"/>
                  <v:imagedata r:id="rId19" o:title=""/>
                  <o:lock v:ext="edit" aspectratio="t"/>
                  <w10:wrap type="none"/>
                  <w10:anchorlock/>
                </v:shape>
                <o:OLEObject Type="Embed" ProgID="Equations" ShapeID="_x0000_i1026" DrawAspect="Content" ObjectID="_1468075726" r:id="rId18">
                  <o:LockedField>false</o:LockedField>
                </o:OLEObject>
              </w:object>
            </w:r>
          </w:p>
          <w:p w14:paraId="04C8EFF9">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5589ACD8">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R----核算时段内锅炉燃料耗量</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position w:val="0"/>
                <w:sz w:val="21"/>
                <w:szCs w:val="21"/>
                <w:highlight w:val="none"/>
              </w:rPr>
              <w:t>t；</w:t>
            </w:r>
          </w:p>
          <w:p w14:paraId="041EFD10">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----收到基硫的质量分数，0.0</w:t>
            </w:r>
            <w:r>
              <w:rPr>
                <w:rFonts w:hint="eastAsia" w:cs="Times New Roman"/>
                <w:color w:val="auto"/>
                <w:position w:val="0"/>
                <w:sz w:val="21"/>
                <w:szCs w:val="21"/>
                <w:highlight w:val="none"/>
                <w:lang w:val="en-US" w:eastAsia="zh-CN"/>
              </w:rPr>
              <w:t>3</w:t>
            </w:r>
            <w:r>
              <w:rPr>
                <w:rFonts w:hint="default" w:ascii="Times New Roman" w:hAnsi="Times New Roman" w:eastAsia="宋体" w:cs="Times New Roman"/>
                <w:color w:val="auto"/>
                <w:position w:val="0"/>
                <w:sz w:val="21"/>
                <w:szCs w:val="21"/>
                <w:highlight w:val="none"/>
              </w:rPr>
              <w:t>%，（根据生物质成分分析报告）；</w:t>
            </w:r>
          </w:p>
          <w:p w14:paraId="04F606E9">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----锅炉机械不完全燃烧热损失，%；取1</w:t>
            </w:r>
            <w:r>
              <w:rPr>
                <w:rFonts w:hint="eastAsia" w:cs="Times New Roman"/>
                <w:color w:val="auto"/>
                <w:position w:val="0"/>
                <w:sz w:val="21"/>
                <w:szCs w:val="21"/>
                <w:highlight w:val="none"/>
                <w:lang w:val="en-US" w:eastAsia="zh-CN"/>
              </w:rPr>
              <w:t>0</w:t>
            </w:r>
            <w:r>
              <w:rPr>
                <w:rFonts w:hint="default" w:ascii="Times New Roman" w:hAnsi="Times New Roman" w:eastAsia="宋体" w:cs="Times New Roman"/>
                <w:color w:val="auto"/>
                <w:position w:val="0"/>
                <w:sz w:val="21"/>
                <w:szCs w:val="21"/>
                <w:highlight w:val="none"/>
              </w:rPr>
              <w:t>%，（链条炉排炉不完全燃烧热损失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326361E5">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5EEC7FE1">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5BBF412B">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由计算可得出SO</w:t>
            </w:r>
            <w:r>
              <w:rPr>
                <w:rFonts w:hint="default" w:ascii="Times New Roman" w:hAnsi="Times New Roman" w:eastAsia="宋体" w:cs="Times New Roman"/>
                <w:color w:val="auto"/>
                <w:position w:val="0"/>
                <w:sz w:val="21"/>
                <w:szCs w:val="21"/>
                <w:highlight w:val="none"/>
                <w:vertAlign w:val="subscript"/>
              </w:rPr>
              <w:t>2</w:t>
            </w:r>
            <w:r>
              <w:rPr>
                <w:rFonts w:hint="default" w:ascii="Times New Roman" w:hAnsi="Times New Roman" w:eastAsia="宋体" w:cs="Times New Roman"/>
                <w:color w:val="auto"/>
                <w:position w:val="0"/>
                <w:sz w:val="21"/>
                <w:szCs w:val="21"/>
                <w:highlight w:val="none"/>
              </w:rPr>
              <w:t>排放量为</w:t>
            </w:r>
            <w:r>
              <w:rPr>
                <w:rFonts w:hint="eastAsia" w:cs="Times New Roman"/>
                <w:color w:val="auto"/>
                <w:position w:val="0"/>
                <w:sz w:val="21"/>
                <w:szCs w:val="21"/>
                <w:highlight w:val="none"/>
                <w:lang w:val="en-US" w:eastAsia="zh-CN"/>
              </w:rPr>
              <w:t>2.504</w:t>
            </w:r>
            <w:r>
              <w:rPr>
                <w:rFonts w:hint="default" w:ascii="Times New Roman" w:hAnsi="Times New Roman" w:eastAsia="宋体" w:cs="Times New Roman"/>
                <w:color w:val="auto"/>
                <w:position w:val="0"/>
                <w:sz w:val="21"/>
                <w:szCs w:val="21"/>
                <w:highlight w:val="none"/>
              </w:rPr>
              <w:t>t/a，0.</w:t>
            </w:r>
            <w:r>
              <w:rPr>
                <w:rFonts w:hint="eastAsia" w:cs="Times New Roman"/>
                <w:color w:val="auto"/>
                <w:position w:val="0"/>
                <w:sz w:val="21"/>
                <w:szCs w:val="21"/>
                <w:highlight w:val="none"/>
                <w:lang w:val="en-US" w:eastAsia="zh-CN"/>
              </w:rPr>
              <w:t>58</w:t>
            </w:r>
            <w:r>
              <w:rPr>
                <w:rFonts w:hint="default" w:ascii="Times New Roman" w:hAnsi="Times New Roman" w:eastAsia="宋体" w:cs="Times New Roman"/>
                <w:color w:val="auto"/>
                <w:position w:val="0"/>
                <w:sz w:val="21"/>
                <w:szCs w:val="21"/>
                <w:highlight w:val="none"/>
              </w:rPr>
              <w:t>kg/h。</w:t>
            </w:r>
          </w:p>
          <w:p w14:paraId="5F306C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④氮氧化物排放量</w:t>
            </w:r>
          </w:p>
          <w:p w14:paraId="049FDCDB">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本项目锅炉出口NOx产生浓度无法估算，故氮氧化物采用</w:t>
            </w:r>
            <w:r>
              <w:rPr>
                <w:rFonts w:hint="eastAsia" w:ascii="Times New Roman" w:hAnsi="Times New Roman" w:eastAsia="宋体" w:cs="Times New Roman"/>
                <w:bCs/>
                <w:color w:val="auto"/>
                <w:spacing w:val="0"/>
                <w:kern w:val="0"/>
                <w:sz w:val="21"/>
                <w:szCs w:val="21"/>
                <w:highlight w:val="none"/>
                <w:lang w:val="en-US" w:eastAsia="zh-CN" w:bidi="ar-SA"/>
              </w:rPr>
              <w:t>类比法</w:t>
            </w:r>
            <w:r>
              <w:rPr>
                <w:rFonts w:hint="default" w:ascii="Times New Roman" w:hAnsi="Times New Roman" w:eastAsia="宋体" w:cs="Times New Roman"/>
                <w:bCs/>
                <w:color w:val="auto"/>
                <w:spacing w:val="0"/>
                <w:kern w:val="0"/>
                <w:sz w:val="21"/>
                <w:szCs w:val="21"/>
                <w:highlight w:val="none"/>
                <w:lang w:val="en-US" w:eastAsia="zh-CN" w:bidi="ar-SA"/>
              </w:rPr>
              <w:t>核算（无实测值无法采用类比法），</w:t>
            </w:r>
            <w:r>
              <w:rPr>
                <w:rFonts w:hint="eastAsia" w:ascii="Times New Roman" w:hAnsi="Times New Roman" w:eastAsia="宋体" w:cs="Times New Roman"/>
                <w:bCs/>
                <w:color w:val="auto"/>
                <w:spacing w:val="0"/>
                <w:kern w:val="0"/>
                <w:sz w:val="21"/>
                <w:szCs w:val="21"/>
                <w:highlight w:val="none"/>
                <w:lang w:val="en-US" w:eastAsia="zh-CN" w:bidi="ar-SA"/>
              </w:rPr>
              <w:t>本项目类比黑龙江省庆丰农场烘干塔项目竣工环境保护验收报告（2022年7月）中辽宁省第六地质大队有限责任公司大连实验中心12t生物质热风炉监测数据，监测报告编号（HB-2022-A118-1），氮氧化物排放平均浓度为149.66mg/m</w:t>
            </w:r>
            <w:r>
              <w:rPr>
                <w:rFonts w:hint="eastAsia" w:ascii="Times New Roman" w:hAnsi="Times New Roman" w:eastAsia="宋体" w:cs="Times New Roman"/>
                <w:bCs/>
                <w:color w:val="auto"/>
                <w:spacing w:val="0"/>
                <w:kern w:val="0"/>
                <w:sz w:val="21"/>
                <w:szCs w:val="21"/>
                <w:highlight w:val="none"/>
                <w:vertAlign w:val="superscript"/>
                <w:lang w:val="en-US" w:eastAsia="zh-CN" w:bidi="ar-SA"/>
              </w:rPr>
              <w:t>3</w:t>
            </w:r>
            <w:r>
              <w:rPr>
                <w:rFonts w:hint="eastAsia" w:ascii="Times New Roman" w:hAnsi="Times New Roman" w:eastAsia="宋体" w:cs="Times New Roman"/>
                <w:bCs/>
                <w:color w:val="auto"/>
                <w:spacing w:val="0"/>
                <w:kern w:val="0"/>
                <w:sz w:val="21"/>
                <w:szCs w:val="21"/>
                <w:highlight w:val="none"/>
                <w:lang w:val="en-US" w:eastAsia="zh-CN" w:bidi="ar-SA"/>
              </w:rPr>
              <w:t>。</w:t>
            </w:r>
          </w:p>
          <w:p w14:paraId="644748F7">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eastAsia" w:ascii="Times New Roman" w:hAnsi="Times New Roman" w:eastAsia="宋体" w:cs="Times New Roman"/>
                <w:bCs/>
                <w:color w:val="auto"/>
                <w:spacing w:val="0"/>
                <w:kern w:val="0"/>
                <w:sz w:val="21"/>
                <w:szCs w:val="21"/>
                <w:highlight w:val="none"/>
                <w:lang w:val="en-US" w:eastAsia="zh-CN" w:bidi="ar-SA"/>
              </w:rPr>
              <w:t>燃生物质氮氧化物产生量参照</w:t>
            </w:r>
            <w:r>
              <w:rPr>
                <w:rFonts w:hint="default" w:ascii="Times New Roman" w:hAnsi="Times New Roman" w:eastAsia="宋体" w:cs="Times New Roman"/>
                <w:bCs/>
                <w:color w:val="auto"/>
                <w:spacing w:val="0"/>
                <w:kern w:val="0"/>
                <w:sz w:val="21"/>
                <w:szCs w:val="21"/>
                <w:highlight w:val="none"/>
                <w:lang w:val="en-US" w:eastAsia="zh-CN" w:bidi="ar-SA"/>
              </w:rPr>
              <w:t>《污染源源强核算技术指南 锅炉》（HJ991-2018）</w:t>
            </w:r>
            <w:r>
              <w:rPr>
                <w:rFonts w:hint="eastAsia" w:ascii="Times New Roman" w:hAnsi="Times New Roman" w:eastAsia="宋体" w:cs="Times New Roman"/>
                <w:bCs/>
                <w:color w:val="auto"/>
                <w:spacing w:val="0"/>
                <w:kern w:val="0"/>
                <w:sz w:val="21"/>
                <w:szCs w:val="21"/>
                <w:highlight w:val="none"/>
                <w:lang w:val="en-US" w:eastAsia="zh-CN" w:bidi="ar-SA"/>
              </w:rPr>
              <w:t>中式（5）计算。</w:t>
            </w:r>
          </w:p>
          <w:p w14:paraId="46DC239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630" w:firstLineChars="30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drawing>
                <wp:inline distT="0" distB="0" distL="114300" distR="114300">
                  <wp:extent cx="2620010" cy="703580"/>
                  <wp:effectExtent l="0" t="0" r="8890" b="1270"/>
                  <wp:docPr id="86" name="图片 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
                          <pic:cNvPicPr>
                            <a:picLocks noChangeAspect="1"/>
                          </pic:cNvPicPr>
                        </pic:nvPicPr>
                        <pic:blipFill>
                          <a:blip r:embed="rId20"/>
                          <a:stretch>
                            <a:fillRect/>
                          </a:stretch>
                        </pic:blipFill>
                        <pic:spPr>
                          <a:xfrm>
                            <a:off x="0" y="0"/>
                            <a:ext cx="2620010" cy="703580"/>
                          </a:xfrm>
                          <a:prstGeom prst="rect">
                            <a:avLst/>
                          </a:prstGeom>
                          <a:noFill/>
                          <a:ln>
                            <a:noFill/>
                          </a:ln>
                        </pic:spPr>
                      </pic:pic>
                    </a:graphicData>
                  </a:graphic>
                </wp:inline>
              </w:drawing>
            </w:r>
          </w:p>
          <w:p w14:paraId="076394EB">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式中：ENOx——氮氧化物产生量，t/h；</w:t>
            </w:r>
          </w:p>
          <w:p w14:paraId="28ED210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ρNOx——锅炉炉膛出口氮氧化物质量浓度，mg/m</w:t>
            </w:r>
            <w:r>
              <w:rPr>
                <w:rFonts w:hint="default" w:ascii="Times New Roman" w:hAnsi="Times New Roman" w:eastAsia="宋体" w:cs="Times New Roman"/>
                <w:bCs/>
                <w:color w:val="auto"/>
                <w:spacing w:val="0"/>
                <w:kern w:val="0"/>
                <w:sz w:val="21"/>
                <w:szCs w:val="21"/>
                <w:highlight w:val="none"/>
                <w:vertAlign w:val="superscript"/>
                <w:lang w:val="en-US" w:eastAsia="zh-CN" w:bidi="ar-SA"/>
              </w:rPr>
              <w:t>3</w:t>
            </w:r>
            <w:r>
              <w:rPr>
                <w:rFonts w:hint="default" w:ascii="Times New Roman" w:hAnsi="Times New Roman" w:eastAsia="宋体" w:cs="Times New Roman"/>
                <w:bCs/>
                <w:color w:val="auto"/>
                <w:spacing w:val="0"/>
                <w:kern w:val="0"/>
                <w:sz w:val="21"/>
                <w:szCs w:val="21"/>
                <w:highlight w:val="none"/>
                <w:lang w:val="en-US" w:eastAsia="zh-CN" w:bidi="ar-SA"/>
              </w:rPr>
              <w:t>；</w:t>
            </w:r>
            <w:r>
              <w:rPr>
                <w:rFonts w:hint="eastAsia" w:ascii="Times New Roman" w:hAnsi="Times New Roman" w:eastAsia="宋体" w:cs="Times New Roman"/>
                <w:bCs/>
                <w:color w:val="auto"/>
                <w:spacing w:val="0"/>
                <w:kern w:val="0"/>
                <w:sz w:val="21"/>
                <w:szCs w:val="21"/>
                <w:highlight w:val="none"/>
                <w:lang w:val="en-US" w:eastAsia="zh-CN" w:bidi="ar-SA"/>
              </w:rPr>
              <w:t>本项目通过类比取149.66mg/m3。</w:t>
            </w:r>
          </w:p>
          <w:p w14:paraId="182536F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Q——标态干烟气产生量，m</w:t>
            </w:r>
            <w:r>
              <w:rPr>
                <w:rFonts w:hint="default" w:ascii="Times New Roman" w:hAnsi="Times New Roman" w:eastAsia="宋体" w:cs="Times New Roman"/>
                <w:bCs/>
                <w:color w:val="auto"/>
                <w:spacing w:val="0"/>
                <w:kern w:val="0"/>
                <w:sz w:val="21"/>
                <w:szCs w:val="21"/>
                <w:highlight w:val="none"/>
                <w:vertAlign w:val="superscript"/>
                <w:lang w:val="en-US" w:eastAsia="zh-CN" w:bidi="ar-SA"/>
              </w:rPr>
              <w:t>3</w:t>
            </w:r>
            <w:r>
              <w:rPr>
                <w:rFonts w:hint="default" w:ascii="Times New Roman" w:hAnsi="Times New Roman" w:eastAsia="宋体" w:cs="Times New Roman"/>
                <w:bCs/>
                <w:color w:val="auto"/>
                <w:spacing w:val="0"/>
                <w:kern w:val="0"/>
                <w:sz w:val="21"/>
                <w:szCs w:val="21"/>
                <w:highlight w:val="none"/>
                <w:lang w:val="en-US" w:eastAsia="zh-CN" w:bidi="ar-SA"/>
              </w:rPr>
              <w:t>/h；</w:t>
            </w:r>
          </w:p>
          <w:p w14:paraId="6CF1D40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bCs/>
                <w:color w:val="auto"/>
                <w:spacing w:val="0"/>
                <w:kern w:val="0"/>
                <w:sz w:val="21"/>
                <w:szCs w:val="21"/>
                <w:highlight w:val="none"/>
                <w:lang w:val="en-US" w:eastAsia="zh-CN" w:bidi="ar-SA"/>
              </w:rPr>
              <w:t>ηNOx——脱硝效率，%。</w:t>
            </w:r>
            <w:r>
              <w:rPr>
                <w:rFonts w:hint="eastAsia" w:ascii="Times New Roman" w:hAnsi="Times New Roman" w:eastAsia="宋体" w:cs="Times New Roman"/>
                <w:bCs/>
                <w:color w:val="auto"/>
                <w:spacing w:val="0"/>
                <w:kern w:val="0"/>
                <w:sz w:val="21"/>
                <w:szCs w:val="21"/>
                <w:highlight w:val="none"/>
                <w:lang w:val="en-US" w:eastAsia="zh-CN" w:bidi="ar-SA"/>
              </w:rPr>
              <w:t>无脱硝</w:t>
            </w:r>
            <w:r>
              <w:rPr>
                <w:rFonts w:hint="default" w:ascii="Times New Roman" w:hAnsi="Times New Roman" w:eastAsia="宋体" w:cs="Times New Roman"/>
                <w:bCs/>
                <w:color w:val="auto"/>
                <w:spacing w:val="0"/>
                <w:kern w:val="0"/>
                <w:sz w:val="21"/>
                <w:szCs w:val="21"/>
                <w:highlight w:val="none"/>
                <w:lang w:val="en-US" w:eastAsia="zh-CN" w:bidi="ar-SA"/>
              </w:rPr>
              <w:t>设施取</w:t>
            </w:r>
            <w:r>
              <w:rPr>
                <w:rFonts w:hint="eastAsia" w:ascii="Times New Roman" w:hAnsi="Times New Roman" w:eastAsia="宋体" w:cs="Times New Roman"/>
                <w:bCs/>
                <w:color w:val="auto"/>
                <w:spacing w:val="0"/>
                <w:kern w:val="0"/>
                <w:sz w:val="21"/>
                <w:szCs w:val="21"/>
                <w:highlight w:val="none"/>
                <w:lang w:val="en-US" w:eastAsia="zh-CN" w:bidi="ar-SA"/>
              </w:rPr>
              <w:t>0</w:t>
            </w:r>
            <w:r>
              <w:rPr>
                <w:rFonts w:hint="default" w:ascii="Times New Roman" w:hAnsi="Times New Roman" w:eastAsia="宋体" w:cs="Times New Roman"/>
                <w:bCs/>
                <w:color w:val="auto"/>
                <w:spacing w:val="0"/>
                <w:kern w:val="0"/>
                <w:sz w:val="21"/>
                <w:szCs w:val="21"/>
                <w:highlight w:val="none"/>
                <w:lang w:val="en-US" w:eastAsia="zh-CN" w:bidi="ar-SA"/>
              </w:rPr>
              <w:t>。</w:t>
            </w:r>
          </w:p>
          <w:p w14:paraId="4DD88B05">
            <w:pPr>
              <w:pStyle w:val="165"/>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bCs/>
                <w:color w:val="auto"/>
                <w:spacing w:val="0"/>
                <w:kern w:val="0"/>
                <w:sz w:val="21"/>
                <w:szCs w:val="21"/>
                <w:highlight w:val="none"/>
                <w:lang w:val="en-US" w:eastAsia="zh-CN" w:bidi="ar-SA"/>
              </w:rPr>
              <w:t>经计算，本项目</w:t>
            </w:r>
            <w:r>
              <w:rPr>
                <w:rFonts w:hint="eastAsia" w:ascii="Times New Roman" w:hAnsi="Times New Roman" w:eastAsia="宋体" w:cs="Times New Roman"/>
                <w:bCs/>
                <w:color w:val="auto"/>
                <w:spacing w:val="0"/>
                <w:kern w:val="0"/>
                <w:sz w:val="21"/>
                <w:szCs w:val="21"/>
                <w:highlight w:val="none"/>
                <w:lang w:val="en-US" w:eastAsia="zh-CN" w:bidi="ar-SA"/>
              </w:rPr>
              <w:t>热风炉废气中氮氧化物产生量为</w:t>
            </w:r>
            <w:r>
              <w:rPr>
                <w:rFonts w:hint="eastAsia" w:cs="Times New Roman"/>
                <w:bCs/>
                <w:color w:val="auto"/>
                <w:spacing w:val="0"/>
                <w:kern w:val="0"/>
                <w:sz w:val="21"/>
                <w:szCs w:val="21"/>
                <w:highlight w:val="none"/>
                <w:lang w:val="en-US" w:eastAsia="zh-CN" w:bidi="ar-SA"/>
              </w:rPr>
              <w:t>10.771</w:t>
            </w:r>
            <w:r>
              <w:rPr>
                <w:rFonts w:hint="eastAsia" w:ascii="Times New Roman" w:hAnsi="Times New Roman" w:eastAsia="宋体" w:cs="Times New Roman"/>
                <w:bCs/>
                <w:color w:val="auto"/>
                <w:spacing w:val="0"/>
                <w:kern w:val="0"/>
                <w:sz w:val="21"/>
                <w:szCs w:val="21"/>
                <w:highlight w:val="none"/>
                <w:lang w:val="en-US" w:eastAsia="zh-CN" w:bidi="ar-SA"/>
              </w:rPr>
              <w:t>t/a。</w:t>
            </w:r>
          </w:p>
          <w:p w14:paraId="208F358E">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spacing w:val="0"/>
                <w:sz w:val="21"/>
                <w:szCs w:val="21"/>
                <w:highlight w:val="none"/>
              </w:rPr>
              <w:t>故本项目</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产生</w:t>
            </w:r>
            <w:r>
              <w:rPr>
                <w:rFonts w:hint="default" w:ascii="Times New Roman" w:hAnsi="Times New Roman" w:eastAsia="宋体" w:cs="Times New Roman"/>
                <w:bCs/>
                <w:color w:val="auto"/>
                <w:spacing w:val="0"/>
                <w:sz w:val="21"/>
                <w:szCs w:val="21"/>
                <w:highlight w:val="none"/>
              </w:rPr>
              <w:t>量为：</w:t>
            </w:r>
            <w:r>
              <w:rPr>
                <w:rFonts w:hint="eastAsia" w:cs="Times New Roman"/>
                <w:bCs/>
                <w:color w:val="auto"/>
                <w:spacing w:val="0"/>
                <w:sz w:val="21"/>
                <w:szCs w:val="21"/>
                <w:highlight w:val="none"/>
                <w:lang w:val="en-US" w:eastAsia="zh-CN"/>
              </w:rPr>
              <w:t>颗粒物</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204.77</w:t>
            </w:r>
            <w:r>
              <w:rPr>
                <w:rFonts w:hint="default" w:ascii="Times New Roman" w:hAnsi="Times New Roman" w:eastAsia="宋体" w:cs="Times New Roman"/>
                <w:bCs/>
                <w:color w:val="auto"/>
                <w:spacing w:val="0"/>
                <w:sz w:val="21"/>
                <w:szCs w:val="21"/>
                <w:highlight w:val="none"/>
              </w:rPr>
              <w:t>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2.504</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：10.771</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r>
              <w:rPr>
                <w:rFonts w:hint="default" w:ascii="Times New Roman" w:hAnsi="Times New Roman" w:cs="Times New Roman"/>
                <w:color w:val="auto"/>
                <w:sz w:val="21"/>
                <w:szCs w:val="21"/>
                <w:highlight w:val="none"/>
                <w:lang w:val="en-US" w:eastAsia="zh-CN"/>
              </w:rPr>
              <w:t>热风炉烟气</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lang w:val="en-US" w:eastAsia="zh-CN"/>
              </w:rPr>
              <w:t>布袋除尘器（除尘效率99%）处理后经过</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排放</w:t>
            </w:r>
            <w:r>
              <w:rPr>
                <w:rFonts w:hint="eastAsia" w:ascii="Times New Roman" w:hAnsi="Times New Roman" w:cs="Times New Roman"/>
                <w:color w:val="auto"/>
                <w:sz w:val="21"/>
                <w:szCs w:val="21"/>
                <w:highlight w:val="none"/>
                <w:lang w:val="en-US" w:eastAsia="zh-CN"/>
              </w:rPr>
              <w:t>。则</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排放</w:t>
            </w:r>
            <w:r>
              <w:rPr>
                <w:rFonts w:hint="default" w:ascii="Times New Roman" w:hAnsi="Times New Roman" w:eastAsia="宋体" w:cs="Times New Roman"/>
                <w:bCs/>
                <w:color w:val="auto"/>
                <w:spacing w:val="0"/>
                <w:sz w:val="21"/>
                <w:szCs w:val="21"/>
                <w:highlight w:val="none"/>
              </w:rPr>
              <w:t>量为：</w:t>
            </w:r>
            <w:r>
              <w:rPr>
                <w:rFonts w:hint="eastAsia" w:cs="Times New Roman"/>
                <w:bCs/>
                <w:color w:val="auto"/>
                <w:spacing w:val="0"/>
                <w:sz w:val="21"/>
                <w:szCs w:val="21"/>
                <w:highlight w:val="none"/>
                <w:lang w:val="en-US" w:eastAsia="zh-CN"/>
              </w:rPr>
              <w:t>颗粒物</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2.048</w:t>
            </w:r>
            <w:r>
              <w:rPr>
                <w:rFonts w:hint="default" w:ascii="Times New Roman" w:hAnsi="Times New Roman" w:eastAsia="宋体" w:cs="Times New Roman"/>
                <w:bCs/>
                <w:color w:val="auto"/>
                <w:spacing w:val="0"/>
                <w:sz w:val="21"/>
                <w:szCs w:val="21"/>
                <w:highlight w:val="none"/>
              </w:rPr>
              <w:t>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2.504</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：10.771</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p>
          <w:p w14:paraId="41E0F9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ascii="Times New Roman" w:hAnsi="Times New Roman" w:eastAsia="宋体" w:cs="Times New Roman"/>
                <w:bCs/>
                <w:color w:val="auto"/>
                <w:kern w:val="0"/>
                <w:sz w:val="21"/>
                <w:szCs w:val="21"/>
                <w:highlight w:val="none"/>
                <w:lang w:val="en-US" w:eastAsia="zh-CN"/>
              </w:rPr>
              <w:t>2</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热风炉灰渣</w:t>
            </w:r>
            <w:r>
              <w:rPr>
                <w:rFonts w:hint="eastAsia" w:cs="Times New Roman"/>
                <w:bCs/>
                <w:color w:val="auto"/>
                <w:kern w:val="0"/>
                <w:sz w:val="21"/>
                <w:szCs w:val="21"/>
                <w:highlight w:val="none"/>
                <w:lang w:val="en-US" w:eastAsia="zh-CN"/>
              </w:rPr>
              <w:t>及除尘器收尘灰</w:t>
            </w:r>
            <w:r>
              <w:rPr>
                <w:rFonts w:hint="default" w:ascii="Times New Roman" w:hAnsi="Times New Roman" w:eastAsia="宋体" w:cs="Times New Roman"/>
                <w:bCs/>
                <w:color w:val="auto"/>
                <w:kern w:val="0"/>
                <w:sz w:val="21"/>
                <w:szCs w:val="21"/>
                <w:highlight w:val="none"/>
                <w:lang w:eastAsia="zh-CN"/>
              </w:rPr>
              <w:t>储运扬尘</w:t>
            </w:r>
          </w:p>
          <w:p w14:paraId="2A5CCE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本项目热风炉</w:t>
            </w:r>
            <w:r>
              <w:rPr>
                <w:rFonts w:hint="eastAsia" w:cs="Times New Roman"/>
                <w:bCs/>
                <w:color w:val="auto"/>
                <w:kern w:val="0"/>
                <w:sz w:val="21"/>
                <w:szCs w:val="21"/>
                <w:highlight w:val="none"/>
                <w:lang w:eastAsia="zh-CN"/>
              </w:rPr>
              <w:t>采取机械除渣方式，</w:t>
            </w:r>
            <w:r>
              <w:rPr>
                <w:rFonts w:hint="default" w:ascii="Times New Roman" w:hAnsi="Times New Roman" w:eastAsia="宋体" w:cs="Times New Roman"/>
                <w:bCs/>
                <w:color w:val="auto"/>
                <w:kern w:val="0"/>
                <w:sz w:val="21"/>
                <w:szCs w:val="21"/>
                <w:highlight w:val="none"/>
                <w:lang w:eastAsia="zh-CN"/>
              </w:rPr>
              <w:t>灰渣</w:t>
            </w:r>
            <w:r>
              <w:rPr>
                <w:rFonts w:hint="eastAsia" w:cs="Times New Roman"/>
                <w:bCs/>
                <w:color w:val="auto"/>
                <w:kern w:val="0"/>
                <w:sz w:val="21"/>
                <w:szCs w:val="21"/>
                <w:highlight w:val="none"/>
                <w:lang w:val="en-US" w:eastAsia="zh-CN"/>
              </w:rPr>
              <w:t>及除尘器收尘灰</w:t>
            </w:r>
            <w:r>
              <w:rPr>
                <w:rFonts w:hint="default" w:ascii="Times New Roman" w:hAnsi="Times New Roman" w:eastAsia="宋体" w:cs="Times New Roman"/>
                <w:bCs/>
                <w:color w:val="auto"/>
                <w:kern w:val="0"/>
                <w:sz w:val="21"/>
                <w:szCs w:val="21"/>
                <w:highlight w:val="none"/>
                <w:lang w:eastAsia="zh-CN"/>
              </w:rPr>
              <w:t>储存在</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lang w:eastAsia="zh-CN"/>
              </w:rPr>
              <w:t>内，每10天外运1次。热风炉灰渣储存及外运过程将产生扬尘，对灰渣暂存位置、灰渣装运过程采取洒水降尘措施</w:t>
            </w:r>
            <w:r>
              <w:rPr>
                <w:rFonts w:hint="eastAsia" w:cs="Times New Roman"/>
                <w:bCs/>
                <w:color w:val="auto"/>
                <w:kern w:val="0"/>
                <w:sz w:val="21"/>
                <w:szCs w:val="21"/>
                <w:highlight w:val="none"/>
                <w:lang w:eastAsia="zh-CN"/>
              </w:rPr>
              <w:t>，运输车辆苫布遮盖，封闭运输，</w:t>
            </w:r>
            <w:r>
              <w:rPr>
                <w:rFonts w:hint="default" w:ascii="Times New Roman" w:hAnsi="Times New Roman" w:eastAsia="宋体" w:cs="Times New Roman"/>
                <w:bCs/>
                <w:color w:val="auto"/>
                <w:kern w:val="0"/>
                <w:sz w:val="21"/>
                <w:szCs w:val="21"/>
                <w:highlight w:val="none"/>
                <w:lang w:eastAsia="zh-CN"/>
              </w:rPr>
              <w:t>可有效控制扬尘污染。</w:t>
            </w:r>
          </w:p>
          <w:p w14:paraId="478162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3</w:t>
            </w:r>
            <w:r>
              <w:rPr>
                <w:rFonts w:hint="eastAsia"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初清</w:t>
            </w:r>
            <w:r>
              <w:rPr>
                <w:rFonts w:hint="default" w:ascii="Times New Roman" w:hAnsi="Times New Roman" w:eastAsia="宋体" w:cs="Times New Roman"/>
                <w:bCs/>
                <w:color w:val="auto"/>
                <w:kern w:val="0"/>
                <w:sz w:val="21"/>
                <w:szCs w:val="21"/>
                <w:highlight w:val="none"/>
                <w:lang w:eastAsia="zh-CN"/>
              </w:rPr>
              <w:t>筛分粉尘</w:t>
            </w:r>
          </w:p>
          <w:p w14:paraId="3FC80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本项目粮食进入粮仓之前进行筛分，筛分产生的粉尘根据《逸散性工业粉尘控制技术》中谷物贮仓，筛分和清理系数为1.5kg/t（清理料）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本项目</w:t>
            </w:r>
            <w:r>
              <w:rPr>
                <w:rFonts w:hint="default" w:ascii="Times New Roman" w:hAnsi="Times New Roman" w:eastAsia="宋体" w:cs="Times New Roman"/>
                <w:bCs/>
                <w:color w:val="auto"/>
                <w:kern w:val="0"/>
                <w:sz w:val="21"/>
                <w:szCs w:val="21"/>
                <w:highlight w:val="none"/>
                <w:lang w:eastAsia="zh-CN"/>
              </w:rPr>
              <w:t>筛分量为</w:t>
            </w:r>
            <w:r>
              <w:rPr>
                <w:rFonts w:hint="eastAsia" w:cs="Times New Roman"/>
                <w:bCs/>
                <w:color w:val="auto"/>
                <w:kern w:val="0"/>
                <w:sz w:val="21"/>
                <w:szCs w:val="21"/>
                <w:highlight w:val="none"/>
                <w:lang w:val="en-US" w:eastAsia="zh-CN"/>
              </w:rPr>
              <w:t>90000</w:t>
            </w:r>
            <w:r>
              <w:rPr>
                <w:rFonts w:hint="default" w:ascii="Times New Roman" w:hAnsi="Times New Roman" w:eastAsia="宋体" w:cs="Times New Roman"/>
                <w:bCs/>
                <w:color w:val="auto"/>
                <w:kern w:val="0"/>
                <w:sz w:val="21"/>
                <w:szCs w:val="21"/>
                <w:highlight w:val="none"/>
                <w:lang w:eastAsia="zh-CN"/>
              </w:rPr>
              <w:t>t，</w:t>
            </w:r>
            <w:r>
              <w:rPr>
                <w:rFonts w:hint="eastAsia" w:ascii="Times New Roman" w:hAnsi="Times New Roman" w:eastAsia="宋体"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w:t>
            </w:r>
            <w:r>
              <w:rPr>
                <w:rFonts w:hint="eastAsia" w:ascii="Times New Roman" w:hAnsi="Times New Roman" w:eastAsia="宋体" w:cs="Times New Roman"/>
                <w:bCs/>
                <w:color w:val="auto"/>
                <w:kern w:val="0"/>
                <w:sz w:val="21"/>
                <w:szCs w:val="21"/>
                <w:highlight w:val="none"/>
                <w:lang w:val="en-US" w:eastAsia="zh-CN"/>
              </w:rPr>
              <w:t>产生</w:t>
            </w:r>
            <w:r>
              <w:rPr>
                <w:rFonts w:hint="default" w:ascii="Times New Roman" w:hAnsi="Times New Roman" w:eastAsia="宋体" w:cs="Times New Roman"/>
                <w:bCs/>
                <w:color w:val="auto"/>
                <w:kern w:val="0"/>
                <w:sz w:val="21"/>
                <w:szCs w:val="21"/>
                <w:highlight w:val="none"/>
                <w:lang w:eastAsia="zh-CN"/>
              </w:rPr>
              <w:t>量为</w:t>
            </w:r>
            <w:r>
              <w:rPr>
                <w:rFonts w:hint="eastAsia" w:cs="Times New Roman"/>
                <w:bCs/>
                <w:color w:val="auto"/>
                <w:kern w:val="0"/>
                <w:sz w:val="21"/>
                <w:szCs w:val="21"/>
                <w:highlight w:val="none"/>
                <w:lang w:val="en-US" w:eastAsia="zh-CN"/>
              </w:rPr>
              <w:t>135</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cs="Times New Roman"/>
                <w:color w:val="auto"/>
                <w:sz w:val="21"/>
                <w:szCs w:val="21"/>
                <w:highlight w:val="none"/>
                <w:lang w:eastAsia="zh-CN"/>
              </w:rPr>
              <w:t>清粮采用全密闭</w:t>
            </w:r>
            <w:r>
              <w:rPr>
                <w:rFonts w:hint="eastAsia" w:ascii="Times New Roman" w:hAnsi="Times New Roman" w:cs="Times New Roman"/>
                <w:color w:val="auto"/>
                <w:sz w:val="21"/>
                <w:szCs w:val="21"/>
                <w:highlight w:val="none"/>
                <w:lang w:val="en-US" w:eastAsia="zh-CN"/>
              </w:rPr>
              <w:t>清选</w:t>
            </w:r>
            <w:r>
              <w:rPr>
                <w:rFonts w:hint="eastAsia" w:ascii="Times New Roman" w:hAnsi="Times New Roman" w:cs="Times New Roman"/>
                <w:color w:val="auto"/>
                <w:sz w:val="21"/>
                <w:szCs w:val="21"/>
                <w:highlight w:val="none"/>
                <w:lang w:eastAsia="zh-CN"/>
              </w:rPr>
              <w:t>筛，产生的粉尘经设备自带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w:t>
            </w:r>
            <w:r>
              <w:rPr>
                <w:rFonts w:hint="default" w:ascii="Times New Roman" w:hAnsi="Times New Roman" w:eastAsia="宋体" w:cs="Times New Roman"/>
                <w:bCs/>
                <w:color w:val="auto"/>
                <w:kern w:val="0"/>
                <w:sz w:val="21"/>
                <w:szCs w:val="21"/>
                <w:highlight w:val="none"/>
                <w:lang w:eastAsia="zh-CN"/>
              </w:rPr>
              <w:t>处理效率为99%，则粉尘排放量为</w:t>
            </w:r>
            <w:r>
              <w:rPr>
                <w:rFonts w:hint="eastAsia" w:cs="Times New Roman"/>
                <w:bCs/>
                <w:color w:val="auto"/>
                <w:kern w:val="0"/>
                <w:sz w:val="21"/>
                <w:szCs w:val="21"/>
                <w:highlight w:val="none"/>
                <w:lang w:val="en-US" w:eastAsia="zh-CN"/>
              </w:rPr>
              <w:t>1.35</w:t>
            </w:r>
            <w:r>
              <w:rPr>
                <w:rFonts w:hint="default" w:ascii="Times New Roman" w:hAnsi="Times New Roman" w:eastAsia="宋体" w:cs="Times New Roman"/>
                <w:bCs/>
                <w:color w:val="auto"/>
                <w:kern w:val="0"/>
                <w:sz w:val="21"/>
                <w:szCs w:val="21"/>
                <w:highlight w:val="none"/>
                <w:lang w:eastAsia="zh-CN"/>
              </w:rPr>
              <w:t>t/a，排放速率为</w:t>
            </w:r>
            <w:r>
              <w:rPr>
                <w:rFonts w:hint="eastAsia" w:cs="Times New Roman"/>
                <w:bCs/>
                <w:color w:val="auto"/>
                <w:kern w:val="0"/>
                <w:sz w:val="21"/>
                <w:szCs w:val="21"/>
                <w:highlight w:val="none"/>
                <w:lang w:val="en-US" w:eastAsia="zh-CN"/>
              </w:rPr>
              <w:t>0.313</w:t>
            </w:r>
            <w:r>
              <w:rPr>
                <w:rFonts w:hint="default" w:ascii="Times New Roman" w:hAnsi="Times New Roman" w:eastAsia="宋体" w:cs="Times New Roman"/>
                <w:bCs/>
                <w:color w:val="auto"/>
                <w:kern w:val="0"/>
                <w:sz w:val="21"/>
                <w:szCs w:val="21"/>
                <w:highlight w:val="none"/>
                <w:lang w:eastAsia="zh-CN"/>
              </w:rPr>
              <w:t>kg/h。</w:t>
            </w:r>
          </w:p>
          <w:p w14:paraId="4B6BA0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4</w:t>
            </w:r>
            <w:r>
              <w:rPr>
                <w:rFonts w:hint="eastAsia"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输送装卸粉尘</w:t>
            </w:r>
          </w:p>
          <w:p w14:paraId="13E54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本项目装卸、运输过程中会产生废气，主要污染物为颗粒物，根据《逸散性工业粉尘控制技术》中谷物贮仓，卡车装卸粉尘系数为0.1kg/t（卸料），本项目</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装卸</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量</w:t>
            </w:r>
            <w:r>
              <w:rPr>
                <w:rFonts w:hint="eastAsia" w:cs="Times New Roman"/>
                <w:bCs/>
                <w:color w:val="auto"/>
                <w:kern w:val="0"/>
                <w:sz w:val="21"/>
                <w:szCs w:val="21"/>
                <w:highlight w:val="none"/>
                <w:lang w:val="en-US" w:eastAsia="zh-CN"/>
              </w:rPr>
              <w:t>90000t</w:t>
            </w:r>
            <w:r>
              <w:rPr>
                <w:rFonts w:hint="default"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粉尘产生量为</w:t>
            </w:r>
            <w:r>
              <w:rPr>
                <w:rFonts w:hint="eastAsia" w:cs="Times New Roman"/>
                <w:bCs/>
                <w:color w:val="auto"/>
                <w:kern w:val="0"/>
                <w:sz w:val="21"/>
                <w:szCs w:val="21"/>
                <w:highlight w:val="none"/>
                <w:lang w:val="en-US" w:eastAsia="zh-CN"/>
              </w:rPr>
              <w:t>9</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eastAsia="宋体" w:cs="Times New Roman"/>
                <w:bCs/>
                <w:color w:val="auto"/>
                <w:kern w:val="0"/>
                <w:sz w:val="21"/>
                <w:szCs w:val="21"/>
                <w:highlight w:val="none"/>
                <w:lang w:eastAsia="zh-CN"/>
              </w:rPr>
              <w:t>粉</w:t>
            </w:r>
            <w:r>
              <w:rPr>
                <w:rFonts w:hint="default" w:ascii="Times New Roman" w:hAnsi="Times New Roman" w:eastAsia="宋体" w:cs="Times New Roman"/>
                <w:bCs/>
                <w:color w:val="auto"/>
                <w:kern w:val="0"/>
                <w:sz w:val="21"/>
                <w:szCs w:val="21"/>
                <w:highlight w:val="none"/>
                <w:lang w:eastAsia="zh-CN"/>
              </w:rPr>
              <w:t>尘产生速率为</w:t>
            </w:r>
            <w:r>
              <w:rPr>
                <w:rFonts w:hint="eastAsia" w:cs="Times New Roman"/>
                <w:bCs/>
                <w:color w:val="auto"/>
                <w:kern w:val="0"/>
                <w:sz w:val="21"/>
                <w:szCs w:val="21"/>
                <w:highlight w:val="none"/>
                <w:lang w:val="en-US" w:eastAsia="zh-CN"/>
              </w:rPr>
              <w:t>2.083</w:t>
            </w:r>
            <w:r>
              <w:rPr>
                <w:rFonts w:hint="default" w:ascii="Times New Roman" w:hAnsi="Times New Roman" w:eastAsia="宋体" w:cs="Times New Roman"/>
                <w:bCs/>
                <w:color w:val="auto"/>
                <w:kern w:val="0"/>
                <w:sz w:val="21"/>
                <w:szCs w:val="21"/>
                <w:highlight w:val="none"/>
                <w:lang w:eastAsia="zh-CN"/>
              </w:rPr>
              <w:t>kg/h，装卸工段采取粮仓密闭四周设置围挡、减小装卸高度等降尘措施，运输过程中采用封闭输送，粉尘可降低90%，则原粮装卸运输过程无组织排放粉尘为</w:t>
            </w:r>
            <w:r>
              <w:rPr>
                <w:rFonts w:hint="eastAsia" w:cs="Times New Roman"/>
                <w:bCs/>
                <w:color w:val="auto"/>
                <w:kern w:val="0"/>
                <w:sz w:val="21"/>
                <w:szCs w:val="21"/>
                <w:highlight w:val="none"/>
                <w:lang w:val="en-US" w:eastAsia="zh-CN"/>
              </w:rPr>
              <w:t>0.9</w:t>
            </w:r>
            <w:r>
              <w:rPr>
                <w:rFonts w:hint="default" w:ascii="Times New Roman" w:hAnsi="Times New Roman" w:eastAsia="宋体" w:cs="Times New Roman"/>
                <w:bCs/>
                <w:color w:val="auto"/>
                <w:kern w:val="0"/>
                <w:sz w:val="21"/>
                <w:szCs w:val="21"/>
                <w:highlight w:val="none"/>
                <w:lang w:eastAsia="zh-CN"/>
              </w:rPr>
              <w:t>t/a，</w:t>
            </w:r>
            <w:r>
              <w:rPr>
                <w:rFonts w:hint="eastAsia" w:cs="Times New Roman"/>
                <w:bCs/>
                <w:color w:val="auto"/>
                <w:kern w:val="0"/>
                <w:sz w:val="21"/>
                <w:szCs w:val="21"/>
                <w:highlight w:val="none"/>
                <w:lang w:val="en-US" w:eastAsia="zh-CN"/>
              </w:rPr>
              <w:t>0.208</w:t>
            </w:r>
            <w:r>
              <w:rPr>
                <w:rFonts w:hint="default" w:ascii="Times New Roman" w:hAnsi="Times New Roman" w:eastAsia="宋体" w:cs="Times New Roman"/>
                <w:bCs/>
                <w:color w:val="auto"/>
                <w:kern w:val="0"/>
                <w:sz w:val="21"/>
                <w:szCs w:val="21"/>
                <w:highlight w:val="none"/>
                <w:lang w:eastAsia="zh-CN"/>
              </w:rPr>
              <w:t>kg/h。</w:t>
            </w:r>
          </w:p>
          <w:p w14:paraId="3F1945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5</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烘干粉尘</w:t>
            </w:r>
          </w:p>
          <w:p w14:paraId="0873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highlight w:val="none"/>
                <w:lang w:val="en-US" w:eastAsia="zh-CN"/>
              </w:rPr>
            </w:pPr>
            <w:r>
              <w:rPr>
                <w:rFonts w:hint="default" w:ascii="Times New Roman" w:hAnsi="Times New Roman" w:eastAsia="宋体" w:cs="Times New Roman"/>
                <w:bCs/>
                <w:color w:val="auto"/>
                <w:kern w:val="0"/>
                <w:sz w:val="21"/>
                <w:szCs w:val="21"/>
                <w:highlight w:val="none"/>
                <w:lang w:eastAsia="zh-CN"/>
              </w:rPr>
              <w:t>本项目在粮食初清过程中已将绝大部分杂质清除干净，烘干过程中粉尘产生量根据《逸散性工业粉尘控制技术》第五章谷物仓储中的颗粒特性，干燥工序逸散尘排放因子取0.1kg/t，</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烘干</w:t>
            </w:r>
            <w:r>
              <w:rPr>
                <w:rFonts w:hint="eastAsia" w:ascii="Times New Roman" w:hAnsi="Times New Roman" w:eastAsia="宋体" w:cs="Times New Roman"/>
                <w:bCs/>
                <w:color w:val="auto"/>
                <w:kern w:val="0"/>
                <w:sz w:val="21"/>
                <w:szCs w:val="21"/>
                <w:highlight w:val="none"/>
                <w:lang w:eastAsia="zh-CN"/>
              </w:rPr>
              <w:t>量</w:t>
            </w:r>
            <w:r>
              <w:rPr>
                <w:rFonts w:hint="default" w:ascii="Times New Roman" w:hAnsi="Times New Roman" w:eastAsia="宋体" w:cs="Times New Roman"/>
                <w:bCs/>
                <w:color w:val="auto"/>
                <w:kern w:val="0"/>
                <w:sz w:val="21"/>
                <w:szCs w:val="21"/>
                <w:highlight w:val="none"/>
                <w:lang w:eastAsia="zh-CN"/>
              </w:rPr>
              <w:t>为</w:t>
            </w:r>
            <w:r>
              <w:rPr>
                <w:rFonts w:hint="eastAsia" w:cs="Times New Roman"/>
                <w:bCs/>
                <w:color w:val="auto"/>
                <w:kern w:val="0"/>
                <w:sz w:val="21"/>
                <w:szCs w:val="21"/>
                <w:highlight w:val="none"/>
                <w:lang w:val="en-US" w:eastAsia="zh-CN"/>
              </w:rPr>
              <w:t>90000</w:t>
            </w:r>
            <w:r>
              <w:rPr>
                <w:rFonts w:hint="default" w:ascii="Times New Roman" w:hAnsi="Times New Roman" w:eastAsia="宋体" w:cs="Times New Roman"/>
                <w:bCs/>
                <w:color w:val="auto"/>
                <w:kern w:val="0"/>
                <w:sz w:val="21"/>
                <w:szCs w:val="21"/>
                <w:highlight w:val="none"/>
                <w:lang w:eastAsia="zh-CN"/>
              </w:rPr>
              <w:t>t/a，则</w:t>
            </w:r>
            <w:r>
              <w:rPr>
                <w:rFonts w:hint="eastAsia" w:cs="Times New Roman"/>
                <w:bCs/>
                <w:color w:val="auto"/>
                <w:kern w:val="0"/>
                <w:sz w:val="21"/>
                <w:szCs w:val="21"/>
                <w:highlight w:val="none"/>
                <w:lang w:val="en-US" w:eastAsia="zh-CN"/>
              </w:rPr>
              <w:t>新增</w:t>
            </w:r>
            <w:r>
              <w:rPr>
                <w:rFonts w:hint="default" w:ascii="Times New Roman" w:hAnsi="Times New Roman" w:eastAsia="宋体" w:cs="Times New Roman"/>
                <w:bCs/>
                <w:color w:val="auto"/>
                <w:kern w:val="0"/>
                <w:sz w:val="21"/>
                <w:szCs w:val="21"/>
                <w:highlight w:val="none"/>
                <w:lang w:eastAsia="zh-CN"/>
              </w:rPr>
              <w:t>粉尘产生量</w:t>
            </w:r>
            <w:r>
              <w:rPr>
                <w:rFonts w:hint="eastAsia" w:cs="Times New Roman"/>
                <w:bCs/>
                <w:color w:val="auto"/>
                <w:kern w:val="0"/>
                <w:sz w:val="21"/>
                <w:szCs w:val="21"/>
                <w:highlight w:val="none"/>
                <w:lang w:val="en-US" w:eastAsia="zh-CN"/>
              </w:rPr>
              <w:t>9</w:t>
            </w:r>
            <w:r>
              <w:rPr>
                <w:rFonts w:hint="default" w:ascii="Times New Roman" w:hAnsi="Times New Roman" w:eastAsia="宋体" w:cs="Times New Roman"/>
                <w:bCs/>
                <w:color w:val="auto"/>
                <w:kern w:val="0"/>
                <w:sz w:val="21"/>
                <w:szCs w:val="21"/>
                <w:highlight w:val="none"/>
                <w:lang w:eastAsia="zh-CN"/>
              </w:rPr>
              <w:t>t/a，产生速率为</w:t>
            </w:r>
            <w:r>
              <w:rPr>
                <w:rFonts w:hint="eastAsia" w:cs="Times New Roman"/>
                <w:bCs/>
                <w:color w:val="auto"/>
                <w:kern w:val="0"/>
                <w:sz w:val="21"/>
                <w:szCs w:val="21"/>
                <w:highlight w:val="none"/>
                <w:lang w:val="en-US" w:eastAsia="zh-CN"/>
              </w:rPr>
              <w:t>2.083</w:t>
            </w:r>
            <w:r>
              <w:rPr>
                <w:rFonts w:hint="default" w:ascii="Times New Roman" w:hAnsi="Times New Roman" w:eastAsia="宋体" w:cs="Times New Roman"/>
                <w:bCs/>
                <w:color w:val="auto"/>
                <w:kern w:val="0"/>
                <w:sz w:val="21"/>
                <w:szCs w:val="21"/>
                <w:highlight w:val="none"/>
                <w:lang w:eastAsia="zh-CN"/>
              </w:rPr>
              <w:t>kg/h。烘干过程粉尘随着风力作用从烘干塔四周风口（占90%）及顶部溢出（占10%），最终以无组织形式排放。烘干塔内部自带重力沉降室，烘干塔底部四周设置防尘挡板，粉尘受挡板格挡后受重力作用回落到烘干塔底部收尘设施中，参照《扬尘源颗粒物排放清单编制技术指南》中围挡遮围对TSP的控制效率，本项目抑尘效率按90%计，则项目烘干塔无组织粉尘排放量为</w:t>
            </w:r>
            <w:r>
              <w:rPr>
                <w:rFonts w:hint="eastAsia" w:cs="Times New Roman"/>
                <w:bCs/>
                <w:color w:val="auto"/>
                <w:kern w:val="0"/>
                <w:sz w:val="21"/>
                <w:szCs w:val="21"/>
                <w:highlight w:val="none"/>
                <w:lang w:val="en-US" w:eastAsia="zh-CN"/>
              </w:rPr>
              <w:t>0.9</w:t>
            </w:r>
            <w:r>
              <w:rPr>
                <w:rFonts w:hint="default" w:ascii="Times New Roman" w:hAnsi="Times New Roman" w:eastAsia="宋体" w:cs="Times New Roman"/>
                <w:bCs/>
                <w:color w:val="auto"/>
                <w:kern w:val="0"/>
                <w:sz w:val="21"/>
                <w:szCs w:val="21"/>
                <w:highlight w:val="none"/>
                <w:lang w:eastAsia="zh-CN"/>
              </w:rPr>
              <w:t>t/a，排放速率为</w:t>
            </w:r>
            <w:r>
              <w:rPr>
                <w:rFonts w:hint="eastAsia" w:cs="Times New Roman"/>
                <w:bCs/>
                <w:color w:val="auto"/>
                <w:kern w:val="0"/>
                <w:sz w:val="21"/>
                <w:szCs w:val="21"/>
                <w:highlight w:val="none"/>
                <w:lang w:val="en-US" w:eastAsia="zh-CN"/>
              </w:rPr>
              <w:t>0.208</w:t>
            </w:r>
            <w:r>
              <w:rPr>
                <w:rFonts w:hint="default" w:ascii="Times New Roman" w:hAnsi="Times New Roman" w:eastAsia="宋体" w:cs="Times New Roman"/>
                <w:bCs/>
                <w:color w:val="auto"/>
                <w:kern w:val="0"/>
                <w:sz w:val="21"/>
                <w:szCs w:val="21"/>
                <w:highlight w:val="none"/>
                <w:lang w:eastAsia="zh-CN"/>
              </w:rPr>
              <w:t>kg/h。</w:t>
            </w:r>
          </w:p>
          <w:p w14:paraId="582EF17E">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14:paraId="09F02485">
            <w:pPr>
              <w:pStyle w:val="142"/>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废气排放口基本情况一览表</w:t>
            </w:r>
          </w:p>
          <w:tbl>
            <w:tblPr>
              <w:tblStyle w:val="35"/>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488"/>
              <w:gridCol w:w="856"/>
              <w:gridCol w:w="856"/>
              <w:gridCol w:w="962"/>
              <w:gridCol w:w="1233"/>
              <w:gridCol w:w="1895"/>
            </w:tblGrid>
            <w:tr w14:paraId="6C622DF1">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left w:val="nil"/>
                    <w:bottom w:val="single" w:color="auto" w:sz="4" w:space="0"/>
                    <w:right w:val="single" w:color="auto" w:sz="4" w:space="0"/>
                  </w:tcBorders>
                  <w:noWrap w:val="0"/>
                  <w:vAlign w:val="center"/>
                </w:tcPr>
                <w:p w14:paraId="08DF383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left w:val="single" w:color="auto" w:sz="4" w:space="0"/>
                    <w:bottom w:val="single" w:color="auto" w:sz="4" w:space="0"/>
                    <w:right w:val="single" w:color="auto" w:sz="4" w:space="0"/>
                  </w:tcBorders>
                  <w:noWrap w:val="0"/>
                  <w:vAlign w:val="center"/>
                </w:tcPr>
                <w:p w14:paraId="60946B1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left w:val="single" w:color="auto" w:sz="4" w:space="0"/>
                    <w:bottom w:val="single" w:color="auto" w:sz="4" w:space="0"/>
                    <w:right w:val="single" w:color="auto" w:sz="4" w:space="0"/>
                  </w:tcBorders>
                  <w:noWrap w:val="0"/>
                  <w:vAlign w:val="center"/>
                </w:tcPr>
                <w:p w14:paraId="0C6378E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left w:val="single" w:color="auto" w:sz="4" w:space="0"/>
                    <w:bottom w:val="single" w:color="auto" w:sz="4" w:space="0"/>
                    <w:right w:val="single" w:color="auto" w:sz="4" w:space="0"/>
                  </w:tcBorders>
                  <w:noWrap w:val="0"/>
                  <w:vAlign w:val="center"/>
                </w:tcPr>
                <w:p w14:paraId="1C18236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left w:val="single" w:color="auto" w:sz="4" w:space="0"/>
                    <w:bottom w:val="single" w:color="auto" w:sz="4" w:space="0"/>
                    <w:right w:val="single" w:color="auto" w:sz="4" w:space="0"/>
                  </w:tcBorders>
                  <w:noWrap w:val="0"/>
                  <w:vAlign w:val="center"/>
                </w:tcPr>
                <w:p w14:paraId="42CF453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left w:val="single" w:color="auto" w:sz="4" w:space="0"/>
                    <w:bottom w:val="single" w:color="auto" w:sz="4" w:space="0"/>
                    <w:right w:val="single" w:color="auto" w:sz="4" w:space="0"/>
                  </w:tcBorders>
                  <w:noWrap w:val="0"/>
                  <w:vAlign w:val="center"/>
                </w:tcPr>
                <w:p w14:paraId="3C5BFF3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6" w:type="pct"/>
                  <w:tcBorders>
                    <w:left w:val="single" w:color="auto" w:sz="4" w:space="0"/>
                    <w:bottom w:val="single" w:color="auto" w:sz="4" w:space="0"/>
                    <w:right w:val="nil"/>
                  </w:tcBorders>
                  <w:noWrap w:val="0"/>
                  <w:vAlign w:val="center"/>
                </w:tcPr>
                <w:p w14:paraId="116A144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14:paraId="03B0712E">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noWrap w:val="0"/>
                  <w:vAlign w:val="center"/>
                </w:tcPr>
                <w:p w14:paraId="0DB5ADB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DA001</w:t>
                  </w:r>
                </w:p>
              </w:tc>
              <w:tc>
                <w:tcPr>
                  <w:tcW w:w="1488" w:type="dxa"/>
                  <w:tcBorders>
                    <w:top w:val="single" w:color="auto" w:sz="4" w:space="0"/>
                    <w:left w:val="single" w:color="auto" w:sz="4" w:space="0"/>
                    <w:bottom w:val="single" w:color="auto" w:sz="4" w:space="0"/>
                    <w:right w:val="single" w:color="auto" w:sz="4" w:space="0"/>
                  </w:tcBorders>
                  <w:noWrap w:val="0"/>
                  <w:vAlign w:val="center"/>
                </w:tcPr>
                <w:p w14:paraId="5287F54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EA5849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1363EF5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eastAsia="宋体"/>
                      <w:color w:val="auto"/>
                      <w:sz w:val="18"/>
                      <w:szCs w:val="18"/>
                      <w:highlight w:val="none"/>
                      <w:lang w:val="en-US" w:eastAsia="zh-CN"/>
                    </w:rPr>
                    <w:t>0.</w:t>
                  </w:r>
                  <w:r>
                    <w:rPr>
                      <w:rFonts w:hint="eastAsia"/>
                      <w:color w:val="auto"/>
                      <w:sz w:val="18"/>
                      <w:szCs w:val="18"/>
                      <w:highlight w:val="none"/>
                      <w:lang w:val="en-US" w:eastAsia="zh-CN"/>
                    </w:rPr>
                    <w:t>6</w:t>
                  </w:r>
                </w:p>
              </w:tc>
              <w:tc>
                <w:tcPr>
                  <w:tcW w:w="962" w:type="dxa"/>
                  <w:tcBorders>
                    <w:top w:val="single" w:color="auto" w:sz="4" w:space="0"/>
                    <w:left w:val="single" w:color="auto" w:sz="4" w:space="0"/>
                    <w:bottom w:val="single" w:color="auto" w:sz="4" w:space="0"/>
                    <w:right w:val="single" w:color="auto" w:sz="4" w:space="0"/>
                  </w:tcBorders>
                  <w:noWrap w:val="0"/>
                  <w:vAlign w:val="center"/>
                </w:tcPr>
                <w:p w14:paraId="6837C10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40</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334E59F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color w:val="auto"/>
                      <w:sz w:val="18"/>
                      <w:szCs w:val="18"/>
                      <w:highlight w:val="none"/>
                    </w:rPr>
                    <w:t>一般排放口</w:t>
                  </w:r>
                </w:p>
              </w:tc>
              <w:tc>
                <w:tcPr>
                  <w:tcW w:w="1895" w:type="dxa"/>
                  <w:tcBorders>
                    <w:top w:val="single" w:color="auto" w:sz="4" w:space="0"/>
                    <w:left w:val="single" w:color="auto" w:sz="4" w:space="0"/>
                    <w:bottom w:val="single" w:color="auto" w:sz="4" w:space="0"/>
                    <w:right w:val="nil"/>
                  </w:tcBorders>
                  <w:noWrap w:val="0"/>
                  <w:vAlign w:val="center"/>
                </w:tcPr>
                <w:p w14:paraId="1E3BFCC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131.</w:t>
                  </w:r>
                  <w:r>
                    <w:rPr>
                      <w:rFonts w:hint="eastAsia"/>
                      <w:bCs/>
                      <w:color w:val="auto"/>
                      <w:sz w:val="18"/>
                      <w:szCs w:val="18"/>
                      <w:highlight w:val="none"/>
                      <w:lang w:val="en-US" w:eastAsia="zh-CN"/>
                    </w:rPr>
                    <w:t>521945</w:t>
                  </w:r>
                </w:p>
                <w:p w14:paraId="601DF5A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w:t>
                  </w:r>
                  <w:r>
                    <w:rPr>
                      <w:rFonts w:hint="eastAsia"/>
                      <w:bCs/>
                      <w:color w:val="auto"/>
                      <w:sz w:val="18"/>
                      <w:szCs w:val="18"/>
                      <w:highlight w:val="none"/>
                      <w:lang w:val="en-US" w:eastAsia="zh-CN"/>
                    </w:rPr>
                    <w:t>237610</w:t>
                  </w:r>
                </w:p>
              </w:tc>
            </w:tr>
          </w:tbl>
          <w:p w14:paraId="410198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14:paraId="09D0AE7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废气治理措施发生故障，废气未经</w:t>
            </w:r>
            <w:r>
              <w:rPr>
                <w:rFonts w:hint="eastAsia"/>
                <w:color w:val="auto"/>
                <w:sz w:val="21"/>
                <w:szCs w:val="21"/>
                <w:highlight w:val="none"/>
                <w:lang w:val="en-US" w:eastAsia="zh-CN"/>
              </w:rPr>
              <w:t>有效的</w:t>
            </w:r>
            <w:r>
              <w:rPr>
                <w:rFonts w:hint="default"/>
                <w:color w:val="auto"/>
                <w:sz w:val="21"/>
                <w:szCs w:val="21"/>
                <w:highlight w:val="none"/>
              </w:rPr>
              <w:t>处理直接排放</w:t>
            </w:r>
            <w:r>
              <w:rPr>
                <w:rFonts w:hint="eastAsia"/>
                <w:color w:val="auto"/>
                <w:sz w:val="21"/>
                <w:szCs w:val="21"/>
                <w:highlight w:val="none"/>
                <w:lang w:eastAsia="zh-CN"/>
              </w:rPr>
              <w:t>。</w:t>
            </w:r>
          </w:p>
          <w:p w14:paraId="663EABB8">
            <w:pPr>
              <w:pStyle w:val="7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非正常排放参数表</w:t>
            </w:r>
          </w:p>
          <w:tbl>
            <w:tblPr>
              <w:tblStyle w:val="35"/>
              <w:tblW w:w="5000" w:type="pct"/>
              <w:jc w:val="center"/>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24"/>
              <w:gridCol w:w="1398"/>
              <w:gridCol w:w="793"/>
              <w:gridCol w:w="1056"/>
              <w:gridCol w:w="1056"/>
              <w:gridCol w:w="829"/>
              <w:gridCol w:w="887"/>
              <w:gridCol w:w="911"/>
            </w:tblGrid>
            <w:tr w14:paraId="4F2B2889">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left w:val="nil"/>
                    <w:bottom w:val="single" w:color="000000" w:sz="4" w:space="0"/>
                    <w:right w:val="single" w:color="000000" w:sz="4" w:space="0"/>
                  </w:tcBorders>
                  <w:noWrap w:val="0"/>
                  <w:vAlign w:val="center"/>
                </w:tcPr>
                <w:p w14:paraId="6888DC9B">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867" w:type="pct"/>
                  <w:tcBorders>
                    <w:left w:val="single" w:color="000000" w:sz="4" w:space="0"/>
                    <w:bottom w:val="single" w:color="000000" w:sz="4" w:space="0"/>
                    <w:right w:val="single" w:color="000000" w:sz="4" w:space="0"/>
                  </w:tcBorders>
                  <w:noWrap w:val="0"/>
                  <w:vAlign w:val="center"/>
                </w:tcPr>
                <w:p w14:paraId="798B34A7">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w:t>
                  </w:r>
                </w:p>
                <w:p w14:paraId="45ADB49D">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排放原因</w:t>
                  </w:r>
                </w:p>
              </w:tc>
              <w:tc>
                <w:tcPr>
                  <w:tcW w:w="492" w:type="pct"/>
                  <w:tcBorders>
                    <w:left w:val="single" w:color="000000" w:sz="4" w:space="0"/>
                    <w:bottom w:val="single" w:color="000000" w:sz="4" w:space="0"/>
                    <w:right w:val="single" w:color="000000" w:sz="4" w:space="0"/>
                  </w:tcBorders>
                  <w:noWrap w:val="0"/>
                  <w:vAlign w:val="center"/>
                </w:tcPr>
                <w:p w14:paraId="2889463A">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655" w:type="pct"/>
                  <w:tcBorders>
                    <w:left w:val="single" w:color="auto" w:sz="4" w:space="0"/>
                    <w:bottom w:val="single" w:color="000000" w:sz="4" w:space="0"/>
                    <w:right w:val="single" w:color="000000" w:sz="4" w:space="0"/>
                  </w:tcBorders>
                  <w:noWrap w:val="0"/>
                  <w:vAlign w:val="center"/>
                </w:tcPr>
                <w:p w14:paraId="35746312">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18"/>
                      <w:szCs w:val="18"/>
                      <w:highlight w:val="none"/>
                    </w:rPr>
                  </w:pPr>
                  <w:r>
                    <w:rPr>
                      <w:rFonts w:hint="default"/>
                      <w:bCs/>
                      <w:color w:val="auto"/>
                      <w:spacing w:val="0"/>
                      <w:position w:val="0"/>
                      <w:sz w:val="18"/>
                      <w:szCs w:val="18"/>
                      <w:highlight w:val="none"/>
                    </w:rPr>
                    <w:t>排放浓度mg/m</w:t>
                  </w:r>
                  <w:r>
                    <w:rPr>
                      <w:rFonts w:hint="default"/>
                      <w:bCs/>
                      <w:color w:val="auto"/>
                      <w:spacing w:val="0"/>
                      <w:position w:val="0"/>
                      <w:sz w:val="18"/>
                      <w:szCs w:val="18"/>
                      <w:highlight w:val="none"/>
                      <w:vertAlign w:val="superscript"/>
                    </w:rPr>
                    <w:t>3</w:t>
                  </w:r>
                </w:p>
              </w:tc>
              <w:tc>
                <w:tcPr>
                  <w:tcW w:w="655" w:type="pct"/>
                  <w:tcBorders>
                    <w:left w:val="single" w:color="auto" w:sz="4" w:space="0"/>
                    <w:bottom w:val="single" w:color="000000" w:sz="4" w:space="0"/>
                    <w:right w:val="single" w:color="000000" w:sz="4" w:space="0"/>
                  </w:tcBorders>
                  <w:noWrap w:val="0"/>
                  <w:vAlign w:val="center"/>
                </w:tcPr>
                <w:p w14:paraId="35C98D95">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w:t>
                  </w:r>
                  <w:r>
                    <w:rPr>
                      <w:rFonts w:hint="default" w:ascii="Times New Roman" w:hAnsi="Times New Roman" w:eastAsia="宋体" w:cs="Times New Roman"/>
                      <w:bCs/>
                      <w:color w:val="auto"/>
                      <w:sz w:val="18"/>
                      <w:szCs w:val="18"/>
                      <w:highlight w:val="none"/>
                    </w:rPr>
                    <w:t>速率kg/h</w:t>
                  </w:r>
                </w:p>
              </w:tc>
              <w:tc>
                <w:tcPr>
                  <w:tcW w:w="514" w:type="pct"/>
                  <w:tcBorders>
                    <w:left w:val="single" w:color="000000" w:sz="4" w:space="0"/>
                    <w:bottom w:val="single" w:color="000000" w:sz="4" w:space="0"/>
                    <w:right w:val="single" w:color="000000" w:sz="4" w:space="0"/>
                  </w:tcBorders>
                  <w:noWrap w:val="0"/>
                  <w:vAlign w:val="center"/>
                </w:tcPr>
                <w:p w14:paraId="607B4E98">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550" w:type="pct"/>
                  <w:tcBorders>
                    <w:left w:val="single" w:color="000000" w:sz="4" w:space="0"/>
                    <w:bottom w:val="single" w:color="000000" w:sz="4" w:space="0"/>
                    <w:right w:val="single" w:color="auto" w:sz="4" w:space="0"/>
                  </w:tcBorders>
                  <w:noWrap w:val="0"/>
                  <w:vAlign w:val="center"/>
                </w:tcPr>
                <w:p w14:paraId="01BB1D74">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565" w:type="pct"/>
                  <w:tcBorders>
                    <w:left w:val="single" w:color="auto" w:sz="4" w:space="0"/>
                    <w:bottom w:val="single" w:color="000000" w:sz="4" w:space="0"/>
                    <w:right w:val="nil"/>
                  </w:tcBorders>
                  <w:noWrap w:val="0"/>
                  <w:vAlign w:val="center"/>
                </w:tcPr>
                <w:p w14:paraId="759C6A0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14:paraId="084D465E">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7E6C16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1398" w:type="dxa"/>
                  <w:tcBorders>
                    <w:top w:val="single" w:color="000000" w:sz="4" w:space="0"/>
                    <w:left w:val="single" w:color="000000" w:sz="4" w:space="0"/>
                    <w:bottom w:val="single" w:color="000000" w:sz="4" w:space="0"/>
                    <w:right w:val="single" w:color="000000" w:sz="4" w:space="0"/>
                  </w:tcBorders>
                  <w:noWrap w:val="0"/>
                  <w:vAlign w:val="center"/>
                </w:tcPr>
                <w:p w14:paraId="16232D0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90</w:t>
                  </w:r>
                  <w:r>
                    <w:rPr>
                      <w:rFonts w:hint="default" w:ascii="Times New Roman" w:hAnsi="Times New Roman" w:eastAsia="宋体" w:cs="Times New Roman"/>
                      <w:color w:val="auto"/>
                      <w:sz w:val="18"/>
                      <w:szCs w:val="18"/>
                      <w:highlight w:val="none"/>
                    </w:rPr>
                    <w:t>%</w:t>
                  </w:r>
                </w:p>
              </w:tc>
              <w:tc>
                <w:tcPr>
                  <w:tcW w:w="793" w:type="dxa"/>
                  <w:tcBorders>
                    <w:top w:val="single" w:color="000000" w:sz="4" w:space="0"/>
                    <w:left w:val="single" w:color="000000" w:sz="4" w:space="0"/>
                    <w:bottom w:val="single" w:color="000000" w:sz="4" w:space="0"/>
                    <w:right w:val="single" w:color="000000" w:sz="4" w:space="0"/>
                  </w:tcBorders>
                  <w:noWrap w:val="0"/>
                  <w:vAlign w:val="center"/>
                </w:tcPr>
                <w:p w14:paraId="6336E97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颗粒物</w:t>
                  </w:r>
                </w:p>
              </w:tc>
              <w:tc>
                <w:tcPr>
                  <w:tcW w:w="1056" w:type="dxa"/>
                  <w:tcBorders>
                    <w:top w:val="single" w:color="000000" w:sz="4" w:space="0"/>
                    <w:left w:val="single" w:color="auto" w:sz="4" w:space="0"/>
                    <w:bottom w:val="single" w:color="000000" w:sz="4" w:space="0"/>
                    <w:right w:val="single" w:color="000000" w:sz="4" w:space="0"/>
                  </w:tcBorders>
                  <w:noWrap w:val="0"/>
                  <w:vAlign w:val="center"/>
                </w:tcPr>
                <w:p w14:paraId="63BD35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284.529</w:t>
                  </w:r>
                </w:p>
              </w:tc>
              <w:tc>
                <w:tcPr>
                  <w:tcW w:w="1056" w:type="dxa"/>
                  <w:tcBorders>
                    <w:top w:val="single" w:color="000000" w:sz="4" w:space="0"/>
                    <w:left w:val="single" w:color="auto" w:sz="4" w:space="0"/>
                    <w:bottom w:val="single" w:color="000000" w:sz="4" w:space="0"/>
                    <w:right w:val="single" w:color="000000" w:sz="4" w:space="0"/>
                  </w:tcBorders>
                  <w:noWrap w:val="0"/>
                  <w:vAlign w:val="center"/>
                </w:tcPr>
                <w:p w14:paraId="6EA64C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4.74</w:t>
                  </w:r>
                </w:p>
              </w:tc>
              <w:tc>
                <w:tcPr>
                  <w:tcW w:w="829" w:type="dxa"/>
                  <w:tcBorders>
                    <w:top w:val="single" w:color="000000" w:sz="4" w:space="0"/>
                    <w:left w:val="single" w:color="000000" w:sz="4" w:space="0"/>
                    <w:bottom w:val="single" w:color="000000" w:sz="4" w:space="0"/>
                    <w:right w:val="single" w:color="000000" w:sz="4" w:space="0"/>
                  </w:tcBorders>
                  <w:noWrap w:val="0"/>
                  <w:vAlign w:val="center"/>
                </w:tcPr>
                <w:p w14:paraId="1154578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887" w:type="dxa"/>
                  <w:tcBorders>
                    <w:top w:val="single" w:color="000000" w:sz="4" w:space="0"/>
                    <w:left w:val="single" w:color="000000" w:sz="4" w:space="0"/>
                    <w:bottom w:val="single" w:color="000000" w:sz="4" w:space="0"/>
                    <w:right w:val="single" w:color="auto" w:sz="4" w:space="0"/>
                  </w:tcBorders>
                  <w:noWrap w:val="0"/>
                  <w:vAlign w:val="center"/>
                </w:tcPr>
                <w:p w14:paraId="549C1FF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911" w:type="dxa"/>
                  <w:tcBorders>
                    <w:top w:val="single" w:color="000000" w:sz="4" w:space="0"/>
                    <w:left w:val="single" w:color="auto" w:sz="4" w:space="0"/>
                    <w:bottom w:val="single" w:color="000000" w:sz="4" w:space="0"/>
                    <w:right w:val="nil"/>
                  </w:tcBorders>
                  <w:noWrap w:val="0"/>
                  <w:vAlign w:val="center"/>
                </w:tcPr>
                <w:p w14:paraId="4B2582D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14:paraId="74D666B6">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14:paraId="2A4D59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w:t>
            </w:r>
            <w:r>
              <w:rPr>
                <w:rFonts w:hint="default" w:ascii="Times New Roman" w:hAnsi="Times New Roman" w:cs="Times New Roman"/>
                <w:color w:val="auto"/>
                <w:sz w:val="21"/>
                <w:szCs w:val="21"/>
                <w:highlight w:val="none"/>
              </w:rPr>
              <w:t>《排污许可证申请与核发技术规范 工业炉窑》（HJ1121-2020）</w:t>
            </w:r>
            <w:r>
              <w:rPr>
                <w:rFonts w:hint="default"/>
                <w:color w:val="auto"/>
                <w:sz w:val="21"/>
                <w:szCs w:val="21"/>
                <w:highlight w:val="none"/>
              </w:rPr>
              <w:t>和</w:t>
            </w:r>
            <w:r>
              <w:rPr>
                <w:rFonts w:hint="default" w:ascii="Times New Roman" w:hAnsi="Times New Roman" w:cs="Times New Roman"/>
                <w:color w:val="auto"/>
                <w:sz w:val="21"/>
                <w:szCs w:val="21"/>
                <w:highlight w:val="none"/>
              </w:rPr>
              <w:t>《排污单位自行监测技术指南</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总则》（HJ819-2017）</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制定本项目废气监测计划如下。</w:t>
            </w:r>
          </w:p>
          <w:p w14:paraId="1BB442D5">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4 </w:t>
            </w:r>
            <w:r>
              <w:rPr>
                <w:rFonts w:hint="default" w:ascii="Times New Roman" w:hAnsi="Times New Roman" w:cs="Times New Roman"/>
                <w:b/>
                <w:color w:val="auto"/>
                <w:szCs w:val="21"/>
                <w:highlight w:val="none"/>
              </w:rPr>
              <w:t>废气监测方案</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334"/>
              <w:gridCol w:w="2190"/>
              <w:gridCol w:w="1087"/>
              <w:gridCol w:w="2550"/>
            </w:tblGrid>
            <w:tr w14:paraId="6D1136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93" w:type="dxa"/>
                  <w:tcBorders>
                    <w:left w:val="nil"/>
                    <w:bottom w:val="single" w:color="auto" w:sz="4" w:space="0"/>
                    <w:right w:val="single" w:color="auto" w:sz="4" w:space="0"/>
                  </w:tcBorders>
                  <w:noWrap w:val="0"/>
                  <w:vAlign w:val="center"/>
                </w:tcPr>
                <w:p w14:paraId="279FA0D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334" w:type="dxa"/>
                  <w:tcBorders>
                    <w:left w:val="single" w:color="auto" w:sz="4" w:space="0"/>
                    <w:bottom w:val="single" w:color="auto" w:sz="4" w:space="0"/>
                    <w:right w:val="single" w:color="auto" w:sz="4" w:space="0"/>
                  </w:tcBorders>
                  <w:noWrap w:val="0"/>
                  <w:vAlign w:val="center"/>
                </w:tcPr>
                <w:p w14:paraId="41B6EB6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2190" w:type="dxa"/>
                  <w:tcBorders>
                    <w:left w:val="single" w:color="auto" w:sz="4" w:space="0"/>
                    <w:bottom w:val="single" w:color="auto" w:sz="4" w:space="0"/>
                    <w:right w:val="single" w:color="auto" w:sz="4" w:space="0"/>
                  </w:tcBorders>
                  <w:noWrap w:val="0"/>
                  <w:vAlign w:val="center"/>
                </w:tcPr>
                <w:p w14:paraId="348BAAD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1087" w:type="dxa"/>
                  <w:tcBorders>
                    <w:left w:val="single" w:color="auto" w:sz="4" w:space="0"/>
                    <w:bottom w:val="single" w:color="auto" w:sz="4" w:space="0"/>
                    <w:right w:val="single" w:color="auto" w:sz="4" w:space="0"/>
                  </w:tcBorders>
                  <w:noWrap w:val="0"/>
                  <w:vAlign w:val="center"/>
                </w:tcPr>
                <w:p w14:paraId="0FE6B0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2550" w:type="dxa"/>
                  <w:tcBorders>
                    <w:left w:val="single" w:color="auto" w:sz="4" w:space="0"/>
                    <w:bottom w:val="single" w:color="auto" w:sz="4" w:space="0"/>
                    <w:right w:val="nil"/>
                  </w:tcBorders>
                  <w:noWrap w:val="0"/>
                  <w:vAlign w:val="center"/>
                </w:tcPr>
                <w:p w14:paraId="0068D3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14:paraId="530BF8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93" w:type="dxa"/>
                  <w:vMerge w:val="restart"/>
                  <w:tcBorders>
                    <w:top w:val="single" w:color="auto" w:sz="4" w:space="0"/>
                    <w:left w:val="nil"/>
                    <w:right w:val="single" w:color="auto" w:sz="4" w:space="0"/>
                  </w:tcBorders>
                  <w:noWrap w:val="0"/>
                  <w:vAlign w:val="center"/>
                </w:tcPr>
                <w:p w14:paraId="407159B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1334" w:type="dxa"/>
                  <w:vMerge w:val="restart"/>
                  <w:tcBorders>
                    <w:top w:val="single" w:color="auto" w:sz="4" w:space="0"/>
                    <w:left w:val="single" w:color="auto" w:sz="4" w:space="0"/>
                    <w:right w:val="single" w:color="auto" w:sz="4" w:space="0"/>
                  </w:tcBorders>
                  <w:noWrap w:val="0"/>
                  <w:vAlign w:val="center"/>
                </w:tcPr>
                <w:p w14:paraId="49A541B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2190" w:type="dxa"/>
                  <w:tcBorders>
                    <w:top w:val="single" w:color="auto" w:sz="4" w:space="0"/>
                    <w:left w:val="single" w:color="auto" w:sz="4" w:space="0"/>
                    <w:bottom w:val="single" w:color="auto" w:sz="4" w:space="0"/>
                    <w:right w:val="single" w:color="auto" w:sz="4" w:space="0"/>
                  </w:tcBorders>
                  <w:noWrap w:val="0"/>
                  <w:vAlign w:val="center"/>
                </w:tcPr>
                <w:p w14:paraId="743B413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颗粒物</w:t>
                  </w:r>
                  <w:r>
                    <w:rPr>
                      <w:rFonts w:hint="eastAsia"/>
                      <w:color w:val="auto"/>
                      <w:sz w:val="18"/>
                      <w:szCs w:val="18"/>
                      <w:highlight w:val="none"/>
                      <w:lang w:eastAsia="zh-CN"/>
                    </w:rPr>
                    <w:t>、烟气黑度</w:t>
                  </w:r>
                  <w:r>
                    <w:rPr>
                      <w:rFonts w:hint="default"/>
                      <w:color w:val="auto"/>
                      <w:sz w:val="18"/>
                      <w:szCs w:val="18"/>
                      <w:highlight w:val="none"/>
                    </w:rPr>
                    <w:t>、SO</w:t>
                  </w:r>
                  <w:r>
                    <w:rPr>
                      <w:rFonts w:hint="default"/>
                      <w:color w:val="auto"/>
                      <w:sz w:val="18"/>
                      <w:szCs w:val="18"/>
                      <w:highlight w:val="none"/>
                      <w:vertAlign w:val="subscript"/>
                    </w:rPr>
                    <w:t>2</w:t>
                  </w:r>
                </w:p>
              </w:tc>
              <w:tc>
                <w:tcPr>
                  <w:tcW w:w="1087" w:type="dxa"/>
                  <w:tcBorders>
                    <w:top w:val="single" w:color="auto" w:sz="4" w:space="0"/>
                    <w:left w:val="single" w:color="auto" w:sz="4" w:space="0"/>
                    <w:right w:val="single" w:color="auto" w:sz="4" w:space="0"/>
                  </w:tcBorders>
                  <w:noWrap w:val="0"/>
                  <w:vAlign w:val="center"/>
                </w:tcPr>
                <w:p w14:paraId="774EC0E0">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tc>
              <w:tc>
                <w:tcPr>
                  <w:tcW w:w="2550" w:type="dxa"/>
                  <w:vMerge w:val="restart"/>
                  <w:tcBorders>
                    <w:top w:val="single" w:color="auto" w:sz="4" w:space="0"/>
                    <w:left w:val="single" w:color="auto" w:sz="4" w:space="0"/>
                    <w:right w:val="nil"/>
                  </w:tcBorders>
                  <w:noWrap w:val="0"/>
                  <w:vAlign w:val="center"/>
                </w:tcPr>
                <w:p w14:paraId="01493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rPr>
                  </w:pPr>
                  <w:r>
                    <w:rPr>
                      <w:rFonts w:hint="eastAsia" w:ascii="Times New Roman" w:hAnsi="Times New Roman" w:eastAsia="宋体" w:cs="Times New Roman"/>
                      <w:b w:val="0"/>
                      <w:bCs w:val="0"/>
                      <w:color w:val="auto"/>
                      <w:sz w:val="18"/>
                      <w:szCs w:val="18"/>
                      <w:highlight w:val="none"/>
                      <w:lang w:val="en-US" w:eastAsia="zh-CN"/>
                    </w:rPr>
                    <w:t>《工业炉窑大气污染物排放标准》（GB9078-1996）</w:t>
                  </w:r>
                </w:p>
              </w:tc>
            </w:tr>
            <w:tr w14:paraId="17971F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93" w:type="dxa"/>
                  <w:vMerge w:val="continue"/>
                  <w:tcBorders>
                    <w:left w:val="nil"/>
                    <w:right w:val="single" w:color="auto" w:sz="4" w:space="0"/>
                  </w:tcBorders>
                  <w:noWrap w:val="0"/>
                  <w:vAlign w:val="center"/>
                </w:tcPr>
                <w:p w14:paraId="5880979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334" w:type="dxa"/>
                  <w:vMerge w:val="continue"/>
                  <w:tcBorders>
                    <w:left w:val="single" w:color="auto" w:sz="4" w:space="0"/>
                    <w:bottom w:val="single" w:color="auto" w:sz="4" w:space="0"/>
                    <w:right w:val="single" w:color="auto" w:sz="4" w:space="0"/>
                  </w:tcBorders>
                  <w:noWrap w:val="0"/>
                  <w:vAlign w:val="center"/>
                </w:tcPr>
                <w:p w14:paraId="02ABBF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2190" w:type="dxa"/>
                  <w:tcBorders>
                    <w:top w:val="single" w:color="auto" w:sz="4" w:space="0"/>
                    <w:left w:val="single" w:color="auto" w:sz="4" w:space="0"/>
                    <w:bottom w:val="single" w:color="auto" w:sz="4" w:space="0"/>
                    <w:right w:val="single" w:color="auto" w:sz="4" w:space="0"/>
                  </w:tcBorders>
                  <w:noWrap w:val="0"/>
                  <w:vAlign w:val="center"/>
                </w:tcPr>
                <w:p w14:paraId="3642FBA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X</w:t>
                  </w:r>
                </w:p>
              </w:tc>
              <w:tc>
                <w:tcPr>
                  <w:tcW w:w="1087" w:type="dxa"/>
                  <w:tcBorders>
                    <w:left w:val="single" w:color="auto" w:sz="4" w:space="0"/>
                    <w:bottom w:val="single" w:color="auto" w:sz="4" w:space="0"/>
                    <w:right w:val="single" w:color="auto" w:sz="4" w:space="0"/>
                  </w:tcBorders>
                  <w:noWrap w:val="0"/>
                  <w:vAlign w:val="center"/>
                </w:tcPr>
                <w:p w14:paraId="1273910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次/月</w:t>
                  </w:r>
                </w:p>
              </w:tc>
              <w:tc>
                <w:tcPr>
                  <w:tcW w:w="2550" w:type="dxa"/>
                  <w:vMerge w:val="continue"/>
                  <w:tcBorders>
                    <w:left w:val="single" w:color="auto" w:sz="4" w:space="0"/>
                    <w:bottom w:val="single" w:color="auto" w:sz="4" w:space="0"/>
                    <w:right w:val="nil"/>
                  </w:tcBorders>
                  <w:noWrap w:val="0"/>
                  <w:vAlign w:val="center"/>
                </w:tcPr>
                <w:p w14:paraId="280305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p>
              </w:tc>
            </w:tr>
          </w:tbl>
          <w:p w14:paraId="0C636A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5</w:t>
            </w:r>
            <w:r>
              <w:rPr>
                <w:rFonts w:hint="default"/>
                <w:b/>
                <w:bCs/>
                <w:color w:val="auto"/>
                <w:highlight w:val="none"/>
              </w:rPr>
              <w:t xml:space="preserve"> 无组织废气监测要求</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41"/>
              <w:gridCol w:w="2856"/>
              <w:gridCol w:w="2857"/>
            </w:tblGrid>
            <w:tr w14:paraId="6306D2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625D167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监测点位</w:t>
                  </w:r>
                </w:p>
              </w:tc>
              <w:tc>
                <w:tcPr>
                  <w:tcW w:w="2108" w:type="dxa"/>
                  <w:noWrap w:val="0"/>
                  <w:vAlign w:val="center"/>
                </w:tcPr>
                <w:p w14:paraId="6B4E8584">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监测因子</w:t>
                  </w:r>
                </w:p>
              </w:tc>
              <w:tc>
                <w:tcPr>
                  <w:tcW w:w="2109" w:type="dxa"/>
                  <w:noWrap w:val="0"/>
                  <w:vAlign w:val="center"/>
                </w:tcPr>
                <w:p w14:paraId="35F8B235">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监测频次</w:t>
                  </w:r>
                </w:p>
              </w:tc>
            </w:tr>
            <w:tr w14:paraId="5ECB5C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0755B3E2">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厂界</w:t>
                  </w:r>
                </w:p>
              </w:tc>
              <w:tc>
                <w:tcPr>
                  <w:tcW w:w="2108" w:type="dxa"/>
                  <w:noWrap w:val="0"/>
                  <w:vAlign w:val="center"/>
                </w:tcPr>
                <w:p w14:paraId="5A1F6718">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颗粒物</w:t>
                  </w:r>
                </w:p>
              </w:tc>
              <w:tc>
                <w:tcPr>
                  <w:tcW w:w="2109" w:type="dxa"/>
                  <w:noWrap w:val="0"/>
                  <w:vAlign w:val="center"/>
                </w:tcPr>
                <w:p w14:paraId="53B427D5">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default"/>
                      <w:color w:val="auto"/>
                      <w:sz w:val="18"/>
                      <w:szCs w:val="18"/>
                      <w:highlight w:val="none"/>
                    </w:rPr>
                    <w:t>1次/</w:t>
                  </w:r>
                  <w:r>
                    <w:rPr>
                      <w:rFonts w:hint="eastAsia"/>
                      <w:color w:val="auto"/>
                      <w:sz w:val="18"/>
                      <w:szCs w:val="18"/>
                      <w:highlight w:val="none"/>
                      <w:lang w:val="en-US" w:eastAsia="zh-CN"/>
                    </w:rPr>
                    <w:t>年</w:t>
                  </w:r>
                </w:p>
              </w:tc>
            </w:tr>
            <w:tr w14:paraId="11F87E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694B592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eastAsia"/>
                      <w:color w:val="auto"/>
                      <w:sz w:val="18"/>
                      <w:szCs w:val="18"/>
                      <w:highlight w:val="none"/>
                      <w:lang w:val="en-US" w:eastAsia="zh-CN"/>
                    </w:rPr>
                    <w:t>有车间厂房</w:t>
                  </w:r>
                </w:p>
              </w:tc>
              <w:tc>
                <w:tcPr>
                  <w:tcW w:w="2108" w:type="dxa"/>
                  <w:noWrap w:val="0"/>
                  <w:vAlign w:val="center"/>
                </w:tcPr>
                <w:p w14:paraId="6C9A5BE1">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18"/>
                      <w:szCs w:val="18"/>
                      <w:highlight w:val="none"/>
                      <w:lang w:val="en-US" w:eastAsia="zh-CN"/>
                    </w:rPr>
                  </w:pPr>
                  <w:r>
                    <w:rPr>
                      <w:rFonts w:hint="eastAsia"/>
                      <w:color w:val="auto"/>
                      <w:sz w:val="18"/>
                      <w:szCs w:val="18"/>
                      <w:highlight w:val="none"/>
                      <w:lang w:val="en-US" w:eastAsia="zh-CN"/>
                    </w:rPr>
                    <w:t>颗粒物</w:t>
                  </w:r>
                </w:p>
              </w:tc>
              <w:tc>
                <w:tcPr>
                  <w:tcW w:w="2109" w:type="dxa"/>
                  <w:noWrap w:val="0"/>
                  <w:vAlign w:val="center"/>
                </w:tcPr>
                <w:p w14:paraId="354FFFA4">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default"/>
                      <w:color w:val="auto"/>
                      <w:sz w:val="18"/>
                      <w:szCs w:val="18"/>
                      <w:highlight w:val="none"/>
                    </w:rPr>
                    <w:t>1次/</w:t>
                  </w:r>
                  <w:r>
                    <w:rPr>
                      <w:rFonts w:hint="eastAsia"/>
                      <w:color w:val="auto"/>
                      <w:sz w:val="18"/>
                      <w:szCs w:val="18"/>
                      <w:highlight w:val="none"/>
                      <w:lang w:val="en-US" w:eastAsia="zh-CN"/>
                    </w:rPr>
                    <w:t>年</w:t>
                  </w:r>
                </w:p>
              </w:tc>
            </w:tr>
          </w:tbl>
          <w:p w14:paraId="4069902F">
            <w:pPr>
              <w:keepNext w:val="0"/>
              <w:keepLines w:val="0"/>
              <w:suppressLineNumbers w:val="0"/>
              <w:adjustRightInd w:val="0"/>
              <w:snapToGrid w:val="0"/>
              <w:spacing w:before="0" w:beforeAutospacing="0" w:after="0" w:afterAutospacing="0" w:line="360" w:lineRule="auto"/>
              <w:ind w:left="0" w:right="0" w:firstLine="420" w:firstLineChars="200"/>
              <w:rPr>
                <w:rFonts w:hint="eastAsia" w:cs="Times New Roman"/>
                <w:bCs/>
                <w:color w:val="auto"/>
                <w:szCs w:val="21"/>
                <w:highlight w:val="none"/>
                <w:lang w:eastAsia="zh-CN"/>
              </w:rPr>
            </w:pPr>
            <w:r>
              <w:rPr>
                <w:rFonts w:hint="eastAsia" w:cs="Times New Roman"/>
                <w:bCs/>
                <w:color w:val="auto"/>
                <w:szCs w:val="21"/>
                <w:highlight w:val="none"/>
                <w:lang w:eastAsia="zh-CN"/>
              </w:rPr>
              <w:t>（</w:t>
            </w:r>
            <w:r>
              <w:rPr>
                <w:rFonts w:hint="eastAsia" w:cs="Times New Roman"/>
                <w:bCs/>
                <w:color w:val="auto"/>
                <w:szCs w:val="21"/>
                <w:highlight w:val="none"/>
                <w:lang w:val="en-US" w:eastAsia="zh-CN"/>
              </w:rPr>
              <w:t>5）废气处理技术</w:t>
            </w:r>
            <w:r>
              <w:rPr>
                <w:rFonts w:hint="eastAsia" w:cs="Times New Roman"/>
                <w:bCs/>
                <w:color w:val="auto"/>
                <w:szCs w:val="21"/>
                <w:highlight w:val="none"/>
                <w:lang w:eastAsia="zh-CN"/>
              </w:rPr>
              <w:t>可行性分析</w:t>
            </w:r>
          </w:p>
          <w:p w14:paraId="093F2B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Times New Roman" w:hAnsi="Times New Roman"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lang w:val="en-US" w:eastAsia="zh-CN"/>
              </w:rPr>
              <w:t>《排污许可证申请与核发技术规范 工业炉窑》（HJ1121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2020）中对污染防治可行技术的要求，</w:t>
            </w: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lang w:val="en-US" w:eastAsia="zh-CN"/>
              </w:rPr>
              <w:t>项目燃生物质热风炉采取布袋除尘器处理烟气，属于可行技术。</w:t>
            </w:r>
          </w:p>
          <w:p w14:paraId="53457A23">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eastAsia="zh-CN"/>
              </w:rPr>
              <w:t>烟囱</w:t>
            </w:r>
            <w:r>
              <w:rPr>
                <w:rFonts w:hint="default" w:ascii="Times New Roman" w:hAnsi="Times New Roman" w:eastAsia="宋体" w:cs="Times New Roman"/>
                <w:color w:val="auto"/>
                <w:sz w:val="21"/>
                <w:szCs w:val="21"/>
                <w:highlight w:val="none"/>
              </w:rPr>
              <w:t>设置合理性分析</w:t>
            </w:r>
          </w:p>
          <w:p w14:paraId="78EE0C33">
            <w:pPr>
              <w:pStyle w:val="49"/>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中对于</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的要求可知，</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应不低于</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m，并应高于周边200m范围最高建筑物高度3m以上，本项目</w:t>
            </w:r>
            <w:r>
              <w:rPr>
                <w:rFonts w:hint="eastAsia" w:ascii="Times New Roman" w:hAnsi="Times New Roman" w:cs="Times New Roman"/>
                <w:color w:val="auto"/>
                <w:sz w:val="21"/>
                <w:szCs w:val="21"/>
                <w:highlight w:val="none"/>
                <w:lang w:val="en-US" w:eastAsia="zh-CN"/>
              </w:rPr>
              <w:t>热风炉</w:t>
            </w:r>
            <w:r>
              <w:rPr>
                <w:rFonts w:hint="eastAsia"/>
                <w:color w:val="auto"/>
                <w:sz w:val="21"/>
                <w:szCs w:val="21"/>
                <w:highlight w:val="none"/>
                <w:lang w:val="en-US" w:eastAsia="zh-CN"/>
              </w:rPr>
              <w:t>烟囱</w:t>
            </w:r>
            <w:r>
              <w:rPr>
                <w:rFonts w:hint="eastAsia" w:ascii="Times New Roman" w:hAnsi="Times New Roman" w:eastAsia="宋体" w:cs="Times New Roman"/>
                <w:color w:val="auto"/>
                <w:sz w:val="21"/>
                <w:szCs w:val="21"/>
                <w:highlight w:val="none"/>
                <w:lang w:val="en-US" w:eastAsia="zh-CN"/>
              </w:rPr>
              <w:t>（DA00</w:t>
            </w:r>
            <w:r>
              <w:rPr>
                <w:rFonts w:hint="eastAsia" w:ascii="Times New Roman" w:hAnsi="Times New Roman"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高度</w:t>
            </w:r>
            <w:r>
              <w:rPr>
                <w:rFonts w:hint="eastAsia" w:ascii="Times New Roman" w:hAnsi="Times New Roman"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高于</w:t>
            </w:r>
            <w:r>
              <w:rPr>
                <w:rFonts w:hint="default" w:ascii="Times New Roman" w:hAnsi="Times New Roman" w:eastAsia="宋体" w:cs="Times New Roman"/>
                <w:color w:val="auto"/>
                <w:sz w:val="21"/>
                <w:szCs w:val="21"/>
                <w:highlight w:val="none"/>
                <w:lang w:val="en-US" w:eastAsia="zh-CN"/>
              </w:rPr>
              <w:t>周边200m范围内建筑物，因此本项目</w:t>
            </w:r>
            <w:r>
              <w:rPr>
                <w:rFonts w:hint="eastAsia" w:ascii="Times New Roman" w:hAnsi="Times New Roman" w:cs="Times New Roman"/>
                <w:color w:val="auto"/>
                <w:sz w:val="21"/>
                <w:szCs w:val="21"/>
                <w:highlight w:val="none"/>
                <w:lang w:val="en-US" w:eastAsia="zh-CN"/>
              </w:rPr>
              <w:t>热风炉烟囱</w:t>
            </w:r>
            <w:r>
              <w:rPr>
                <w:rFonts w:hint="default" w:ascii="Times New Roman" w:hAnsi="Times New Roman" w:eastAsia="宋体"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对于</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高度的要求。</w:t>
            </w:r>
          </w:p>
          <w:p w14:paraId="24C6B0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color w:val="auto"/>
                <w:highlight w:val="none"/>
              </w:rPr>
            </w:pPr>
            <w:r>
              <w:rPr>
                <w:rFonts w:hint="eastAsia" w:ascii="Times New Roman" w:hAnsi="Times New Roman" w:cs="Times New Roman"/>
                <w:b w:val="0"/>
                <w:bCs w:val="0"/>
                <w:color w:val="auto"/>
                <w:szCs w:val="21"/>
                <w:highlight w:val="none"/>
                <w:lang w:eastAsia="zh-CN"/>
              </w:rPr>
              <w:t>（</w:t>
            </w:r>
            <w:r>
              <w:rPr>
                <w:rFonts w:hint="eastAsia" w:cs="Times New Roman"/>
                <w:b w:val="0"/>
                <w:bCs w:val="0"/>
                <w:color w:val="auto"/>
                <w:szCs w:val="21"/>
                <w:highlight w:val="none"/>
                <w:lang w:val="en-US" w:eastAsia="zh-CN"/>
              </w:rPr>
              <w:t>7</w:t>
            </w:r>
            <w:r>
              <w:rPr>
                <w:rFonts w:hint="eastAsia" w:ascii="Times New Roman" w:hAnsi="Times New Roman" w:cs="Times New Roman"/>
                <w:b w:val="0"/>
                <w:bCs w:val="0"/>
                <w:color w:val="auto"/>
                <w:szCs w:val="21"/>
                <w:highlight w:val="none"/>
                <w:lang w:val="en-US" w:eastAsia="zh-CN"/>
              </w:rPr>
              <w:t>）</w:t>
            </w:r>
            <w:r>
              <w:rPr>
                <w:rFonts w:hint="default" w:ascii="Times New Roman" w:hAnsi="Times New Roman" w:cs="Times New Roman"/>
                <w:b w:val="0"/>
                <w:bCs w:val="0"/>
                <w:color w:val="auto"/>
                <w:szCs w:val="21"/>
                <w:highlight w:val="none"/>
              </w:rPr>
              <w:t>废气排放环境影响</w:t>
            </w:r>
          </w:p>
          <w:p w14:paraId="7B47BB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b w:val="0"/>
                <w:bCs w:val="0"/>
                <w:color w:val="auto"/>
                <w:sz w:val="21"/>
                <w:szCs w:val="21"/>
                <w:highlight w:val="none"/>
                <w:lang w:val="en-US" w:eastAsia="zh-CN"/>
              </w:rPr>
              <w:t>项目周边大气环境保护目标为向阳镇、向阳村，距离厂界最近的大气环境保护目标为19米，本项目热风炉房位于厂区中心，热风炉排气筒距离最近的保护目标约为100米，厂区四周粮仓分布，可有效阻挡扬尘，项目</w:t>
            </w:r>
            <w:r>
              <w:rPr>
                <w:rFonts w:hint="eastAsia" w:ascii="Times New Roman" w:hAnsi="Times New Roman" w:eastAsia="宋体" w:cs="Times New Roman"/>
                <w:b w:val="0"/>
                <w:bCs w:val="0"/>
                <w:color w:val="auto"/>
                <w:sz w:val="21"/>
                <w:szCs w:val="21"/>
                <w:highlight w:val="none"/>
                <w:lang w:val="en-US" w:eastAsia="zh-CN"/>
              </w:rPr>
              <w:t>热风炉烟气通过布袋除尘器处理后经</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cs="Times New Roman"/>
                <w:color w:val="auto"/>
                <w:sz w:val="21"/>
                <w:szCs w:val="21"/>
                <w:highlight w:val="none"/>
                <w:lang w:eastAsia="zh-CN"/>
              </w:rPr>
              <w:t>烟囱</w:t>
            </w:r>
            <w:r>
              <w:rPr>
                <w:rFonts w:hint="eastAsia" w:cs="Times New Roman"/>
                <w:b w:val="0"/>
                <w:bCs w:val="0"/>
                <w:color w:val="auto"/>
                <w:sz w:val="21"/>
                <w:szCs w:val="21"/>
                <w:highlight w:val="none"/>
                <w:lang w:val="en-US" w:eastAsia="zh-CN"/>
              </w:rPr>
              <w:t>（DA001）</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w:t>
            </w:r>
            <w:r>
              <w:rPr>
                <w:rFonts w:hint="eastAsia" w:cs="Times New Roman"/>
                <w:color w:val="auto"/>
                <w:sz w:val="21"/>
                <w:szCs w:val="21"/>
                <w:highlight w:val="none"/>
                <w:lang w:val="en-US" w:eastAsia="zh-CN"/>
              </w:rPr>
              <w:t>筛分机</w:t>
            </w:r>
            <w:r>
              <w:rPr>
                <w:rFonts w:hint="eastAsia" w:ascii="Times New Roman" w:hAnsi="Times New Roman" w:cs="Times New Roman"/>
                <w:color w:val="auto"/>
                <w:sz w:val="21"/>
                <w:szCs w:val="21"/>
                <w:highlight w:val="none"/>
                <w:lang w:eastAsia="zh-CN"/>
              </w:rPr>
              <w:t>，产生的粉尘经设备自带</w:t>
            </w:r>
            <w:r>
              <w:rPr>
                <w:rFonts w:hint="eastAsia" w:ascii="Times New Roman" w:hAnsi="Times New Roman" w:cs="Times New Roman"/>
                <w:color w:val="auto"/>
                <w:sz w:val="21"/>
                <w:szCs w:val="21"/>
                <w:highlight w:val="none"/>
                <w:lang w:val="en-US" w:eastAsia="zh-CN"/>
              </w:rPr>
              <w:t>袋式除尘器</w:t>
            </w:r>
            <w:r>
              <w:rPr>
                <w:rFonts w:hint="eastAsia" w:ascii="Times New Roman" w:hAnsi="Times New Roman" w:cs="Times New Roman"/>
                <w:color w:val="auto"/>
                <w:sz w:val="21"/>
                <w:szCs w:val="21"/>
                <w:highlight w:val="none"/>
                <w:lang w:eastAsia="zh-CN"/>
              </w:rPr>
              <w:t>处理后排放；烘干塔内部自带重力沉降室，烘干塔底部四周设置防尘挡板，粉尘受挡板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default" w:ascii="Times New Roman" w:hAnsi="Times New Roman" w:cs="Times New Roman"/>
                <w:color w:val="auto"/>
                <w:sz w:val="21"/>
                <w:szCs w:val="21"/>
                <w:highlight w:val="none"/>
                <w:lang w:eastAsia="zh-CN"/>
              </w:rPr>
              <w:t>。燃料库</w:t>
            </w:r>
            <w:r>
              <w:rPr>
                <w:rFonts w:hint="eastAsia" w:cs="Times New Roman"/>
                <w:color w:val="auto"/>
                <w:sz w:val="21"/>
                <w:szCs w:val="21"/>
                <w:highlight w:val="none"/>
                <w:lang w:eastAsia="zh-CN"/>
              </w:rPr>
              <w:t>、</w:t>
            </w:r>
            <w:r>
              <w:rPr>
                <w:rFonts w:hint="eastAsia" w:cs="Times New Roman"/>
                <w:bCs/>
                <w:color w:val="auto"/>
                <w:kern w:val="0"/>
                <w:sz w:val="21"/>
                <w:szCs w:val="21"/>
                <w:highlight w:val="none"/>
                <w:lang w:val="en-US" w:eastAsia="zh-CN"/>
              </w:rPr>
              <w:t>热风炉房</w:t>
            </w:r>
            <w:r>
              <w:rPr>
                <w:rFonts w:hint="default" w:ascii="Times New Roman" w:hAnsi="Times New Roman" w:cs="Times New Roman"/>
                <w:color w:val="auto"/>
                <w:sz w:val="21"/>
                <w:szCs w:val="21"/>
                <w:highlight w:val="none"/>
                <w:lang w:eastAsia="zh-CN"/>
              </w:rPr>
              <w:t>密闭并定期洒水抑尘，减少粉尘扩散，</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r>
              <w:rPr>
                <w:rFonts w:hint="eastAsia" w:cs="Times New Roman"/>
                <w:color w:val="auto"/>
                <w:sz w:val="18"/>
                <w:szCs w:val="18"/>
                <w:highlight w:val="none"/>
                <w:lang w:eastAsia="zh-CN"/>
              </w:rPr>
              <w:t>。</w:t>
            </w:r>
            <w:r>
              <w:rPr>
                <w:rFonts w:hint="eastAsia" w:cs="Times New Roman"/>
                <w:color w:val="auto"/>
                <w:kern w:val="0"/>
                <w:sz w:val="21"/>
                <w:szCs w:val="21"/>
                <w:highlight w:val="none"/>
                <w:lang w:val="en-US" w:eastAsia="zh-CN"/>
              </w:rPr>
              <w:t>热风炉周边无组织排放颗粒物浓度执行</w:t>
            </w:r>
            <w:r>
              <w:rPr>
                <w:rFonts w:hint="default" w:ascii="Times New Roman" w:hAnsi="Times New Roman" w:eastAsia="宋体" w:cs="Times New Roman"/>
                <w:color w:val="auto"/>
                <w:kern w:val="0"/>
                <w:sz w:val="21"/>
                <w:szCs w:val="21"/>
                <w:highlight w:val="none"/>
              </w:rPr>
              <w:t>《工业炉窑大气污染物排放标准》（GB9078-1996）中的表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color w:val="auto"/>
                <w:kern w:val="0"/>
                <w:sz w:val="21"/>
                <w:szCs w:val="21"/>
                <w:highlight w:val="none"/>
                <w:lang w:eastAsia="zh-CN"/>
              </w:rPr>
              <w:t>。</w:t>
            </w:r>
          </w:p>
          <w:p w14:paraId="33411F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color w:val="auto"/>
                <w:sz w:val="21"/>
                <w:szCs w:val="21"/>
                <w:highlight w:val="none"/>
              </w:rPr>
              <w:t>综上所述，在落实污染防治措施的前提下，并保证环保设施正常运行，本项目排放的污染物对</w:t>
            </w:r>
            <w:r>
              <w:rPr>
                <w:rFonts w:hint="eastAsia" w:cs="Times New Roman"/>
                <w:color w:val="auto"/>
                <w:sz w:val="21"/>
                <w:szCs w:val="21"/>
                <w:highlight w:val="none"/>
                <w:lang w:val="en-US" w:eastAsia="zh-CN"/>
              </w:rPr>
              <w:t>大气环境保护目标及</w:t>
            </w:r>
            <w:r>
              <w:rPr>
                <w:rFonts w:hint="default" w:ascii="Times New Roman" w:hAnsi="Times New Roman" w:cs="Times New Roman"/>
                <w:color w:val="auto"/>
                <w:sz w:val="21"/>
                <w:szCs w:val="21"/>
                <w:highlight w:val="none"/>
              </w:rPr>
              <w:t>评价区域环境空气质量影响较小。</w:t>
            </w:r>
          </w:p>
          <w:p w14:paraId="71467097">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2A754F0A">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color w:val="auto"/>
                <w:szCs w:val="21"/>
                <w:highlight w:val="cyan"/>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w:t>
            </w:r>
          </w:p>
          <w:p w14:paraId="2A31EDF3">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-6 </w:t>
            </w:r>
            <w:r>
              <w:rPr>
                <w:rFonts w:hint="default"/>
                <w:b/>
                <w:bCs/>
                <w:color w:val="auto"/>
                <w:szCs w:val="21"/>
                <w:highlight w:val="none"/>
              </w:rPr>
              <w:t>废水污染源源强核算结果及相关参数一览表</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17"/>
              <w:gridCol w:w="359"/>
              <w:gridCol w:w="751"/>
              <w:gridCol w:w="740"/>
              <w:gridCol w:w="736"/>
              <w:gridCol w:w="921"/>
              <w:gridCol w:w="322"/>
              <w:gridCol w:w="333"/>
              <w:gridCol w:w="617"/>
              <w:gridCol w:w="845"/>
              <w:gridCol w:w="690"/>
            </w:tblGrid>
            <w:tr w14:paraId="428795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restart"/>
                  <w:tcBorders>
                    <w:tl2br w:val="nil"/>
                    <w:tr2bl w:val="nil"/>
                  </w:tcBorders>
                  <w:vAlign w:val="center"/>
                </w:tcPr>
                <w:p w14:paraId="5F55FE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排放源</w:t>
                  </w:r>
                </w:p>
              </w:tc>
              <w:tc>
                <w:tcPr>
                  <w:tcW w:w="569" w:type="pct"/>
                  <w:vMerge w:val="restart"/>
                  <w:tcBorders>
                    <w:tl2br w:val="nil"/>
                    <w:tr2bl w:val="nil"/>
                  </w:tcBorders>
                  <w:vAlign w:val="center"/>
                </w:tcPr>
                <w:p w14:paraId="7F902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w:t>
                  </w:r>
                </w:p>
              </w:tc>
              <w:tc>
                <w:tcPr>
                  <w:tcW w:w="1605" w:type="pct"/>
                  <w:gridSpan w:val="4"/>
                  <w:tcBorders>
                    <w:tl2br w:val="nil"/>
                    <w:tr2bl w:val="nil"/>
                  </w:tcBorders>
                  <w:vAlign w:val="center"/>
                </w:tcPr>
                <w:p w14:paraId="0E6FA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污染物产生</w:t>
                  </w:r>
                </w:p>
              </w:tc>
              <w:tc>
                <w:tcPr>
                  <w:tcW w:w="771" w:type="pct"/>
                  <w:gridSpan w:val="2"/>
                  <w:tcBorders>
                    <w:tl2br w:val="nil"/>
                    <w:tr2bl w:val="nil"/>
                  </w:tcBorders>
                  <w:vAlign w:val="center"/>
                </w:tcPr>
                <w:p w14:paraId="2F389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治理措施</w:t>
                  </w:r>
                </w:p>
              </w:tc>
              <w:tc>
                <w:tcPr>
                  <w:tcW w:w="1542" w:type="pct"/>
                  <w:gridSpan w:val="4"/>
                  <w:tcBorders>
                    <w:tl2br w:val="nil"/>
                    <w:tr2bl w:val="nil"/>
                  </w:tcBorders>
                  <w:vAlign w:val="center"/>
                </w:tcPr>
                <w:p w14:paraId="7741CB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污染物</w:t>
                  </w:r>
                  <w:r>
                    <w:rPr>
                      <w:rFonts w:hint="default" w:ascii="Times New Roman" w:hAnsi="Times New Roman" w:cs="Times New Roman" w:eastAsiaTheme="minorEastAsia"/>
                      <w:color w:val="auto"/>
                      <w:sz w:val="18"/>
                      <w:szCs w:val="18"/>
                      <w:highlight w:val="none"/>
                      <w:lang w:val="en-US" w:eastAsia="zh-CN"/>
                    </w:rPr>
                    <w:t>排放</w:t>
                  </w:r>
                </w:p>
              </w:tc>
            </w:tr>
            <w:tr w14:paraId="380B02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1FA55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vMerge w:val="continue"/>
                  <w:tcBorders>
                    <w:tl2br w:val="nil"/>
                    <w:tr2bl w:val="nil"/>
                  </w:tcBorders>
                  <w:vAlign w:val="center"/>
                </w:tcPr>
                <w:p w14:paraId="0FEDC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222" w:type="pct"/>
                  <w:tcBorders>
                    <w:tl2br w:val="nil"/>
                    <w:tr2bl w:val="nil"/>
                  </w:tcBorders>
                  <w:vAlign w:val="center"/>
                </w:tcPr>
                <w:p w14:paraId="3AFFF3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466" w:type="pct"/>
                  <w:tcBorders>
                    <w:tl2br w:val="nil"/>
                    <w:tr2bl w:val="nil"/>
                  </w:tcBorders>
                  <w:vAlign w:val="center"/>
                </w:tcPr>
                <w:p w14:paraId="30E9F0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459" w:type="pct"/>
                  <w:tcBorders>
                    <w:tl2br w:val="nil"/>
                    <w:tr2bl w:val="nil"/>
                  </w:tcBorders>
                  <w:vAlign w:val="center"/>
                </w:tcPr>
                <w:p w14:paraId="3FBC9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w:t>
                  </w:r>
                </w:p>
                <w:p w14:paraId="44CDD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浓度mg/L</w:t>
                  </w:r>
                </w:p>
              </w:tc>
              <w:tc>
                <w:tcPr>
                  <w:tcW w:w="456" w:type="pct"/>
                  <w:tcBorders>
                    <w:tl2br w:val="nil"/>
                    <w:tr2bl w:val="nil"/>
                  </w:tcBorders>
                  <w:vAlign w:val="center"/>
                </w:tcPr>
                <w:p w14:paraId="765E28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产生量t/a</w:t>
                  </w:r>
                </w:p>
              </w:tc>
              <w:tc>
                <w:tcPr>
                  <w:tcW w:w="571" w:type="pct"/>
                  <w:tcBorders>
                    <w:tl2br w:val="nil"/>
                    <w:tr2bl w:val="nil"/>
                  </w:tcBorders>
                  <w:vAlign w:val="center"/>
                </w:tcPr>
                <w:p w14:paraId="0783A5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工艺</w:t>
                  </w:r>
                </w:p>
              </w:tc>
              <w:tc>
                <w:tcPr>
                  <w:tcW w:w="199" w:type="pct"/>
                  <w:tcBorders>
                    <w:tl2br w:val="nil"/>
                    <w:tr2bl w:val="nil"/>
                  </w:tcBorders>
                  <w:vAlign w:val="center"/>
                </w:tcPr>
                <w:p w14:paraId="54483E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效率</w:t>
                  </w:r>
                </w:p>
                <w:p w14:paraId="19081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w:t>
                  </w:r>
                </w:p>
              </w:tc>
              <w:tc>
                <w:tcPr>
                  <w:tcW w:w="206" w:type="pct"/>
                  <w:tcBorders>
                    <w:tl2br w:val="nil"/>
                    <w:tr2bl w:val="nil"/>
                  </w:tcBorders>
                  <w:vAlign w:val="center"/>
                </w:tcPr>
                <w:p w14:paraId="129C7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383" w:type="pct"/>
                  <w:tcBorders>
                    <w:tl2br w:val="nil"/>
                    <w:tr2bl w:val="nil"/>
                  </w:tcBorders>
                  <w:vAlign w:val="center"/>
                </w:tcPr>
                <w:p w14:paraId="39BD2E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524" w:type="pct"/>
                  <w:tcBorders>
                    <w:tl2br w:val="nil"/>
                    <w:tr2bl w:val="nil"/>
                  </w:tcBorders>
                  <w:vAlign w:val="center"/>
                </w:tcPr>
                <w:p w14:paraId="0C890D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排放浓度mg/L</w:t>
                  </w:r>
                </w:p>
              </w:tc>
              <w:tc>
                <w:tcPr>
                  <w:tcW w:w="428" w:type="pct"/>
                  <w:tcBorders>
                    <w:tl2br w:val="nil"/>
                    <w:tr2bl w:val="nil"/>
                  </w:tcBorders>
                  <w:vAlign w:val="center"/>
                </w:tcPr>
                <w:p w14:paraId="088D08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排放量t/a</w:t>
                  </w:r>
                </w:p>
              </w:tc>
            </w:tr>
            <w:tr w14:paraId="763187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restart"/>
                  <w:tcBorders>
                    <w:tl2br w:val="nil"/>
                    <w:tr2bl w:val="nil"/>
                  </w:tcBorders>
                  <w:vAlign w:val="center"/>
                </w:tcPr>
                <w:p w14:paraId="602B1F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lang w:eastAsia="zh-CN"/>
                    </w:rPr>
                    <w:t>生活污水</w:t>
                  </w:r>
                </w:p>
              </w:tc>
              <w:tc>
                <w:tcPr>
                  <w:tcW w:w="569" w:type="pct"/>
                  <w:tcBorders>
                    <w:tl2br w:val="nil"/>
                    <w:tr2bl w:val="nil"/>
                  </w:tcBorders>
                  <w:vAlign w:val="center"/>
                </w:tcPr>
                <w:p w14:paraId="53074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COD</w:t>
                  </w:r>
                </w:p>
              </w:tc>
              <w:tc>
                <w:tcPr>
                  <w:tcW w:w="222" w:type="pct"/>
                  <w:vMerge w:val="restart"/>
                  <w:tcBorders>
                    <w:tl2br w:val="nil"/>
                    <w:tr2bl w:val="nil"/>
                  </w:tcBorders>
                  <w:vAlign w:val="center"/>
                </w:tcPr>
                <w:p w14:paraId="4A04F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类比法</w:t>
                  </w:r>
                </w:p>
              </w:tc>
              <w:tc>
                <w:tcPr>
                  <w:tcW w:w="466" w:type="pct"/>
                  <w:vMerge w:val="restart"/>
                  <w:tcBorders>
                    <w:tl2br w:val="nil"/>
                    <w:tr2bl w:val="nil"/>
                  </w:tcBorders>
                  <w:vAlign w:val="center"/>
                </w:tcPr>
                <w:p w14:paraId="13793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241.6</w:t>
                  </w:r>
                </w:p>
              </w:tc>
              <w:tc>
                <w:tcPr>
                  <w:tcW w:w="459" w:type="pct"/>
                  <w:tcBorders>
                    <w:tl2br w:val="nil"/>
                    <w:tr2bl w:val="nil"/>
                  </w:tcBorders>
                  <w:vAlign w:val="center"/>
                </w:tcPr>
                <w:p w14:paraId="3DC7C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300</w:t>
                  </w:r>
                </w:p>
              </w:tc>
              <w:tc>
                <w:tcPr>
                  <w:tcW w:w="456" w:type="pct"/>
                  <w:tcBorders>
                    <w:tl2br w:val="nil"/>
                    <w:tr2bl w:val="nil"/>
                  </w:tcBorders>
                  <w:vAlign w:val="center"/>
                </w:tcPr>
                <w:p w14:paraId="1FB1E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r>
                    <w:rPr>
                      <w:rFonts w:hint="eastAsia" w:cs="Times New Roman" w:eastAsiaTheme="minorEastAsia"/>
                      <w:color w:val="auto"/>
                      <w:kern w:val="0"/>
                      <w:sz w:val="18"/>
                      <w:szCs w:val="18"/>
                      <w:highlight w:val="none"/>
                      <w:shd w:val="clear" w:color="auto" w:fill="auto"/>
                      <w:lang w:val="en-US" w:eastAsia="zh-CN"/>
                    </w:rPr>
                    <w:t>0.0725</w:t>
                  </w:r>
                </w:p>
              </w:tc>
              <w:tc>
                <w:tcPr>
                  <w:tcW w:w="571" w:type="pct"/>
                  <w:vMerge w:val="restart"/>
                  <w:tcBorders>
                    <w:tl2br w:val="nil"/>
                    <w:tr2bl w:val="nil"/>
                  </w:tcBorders>
                  <w:vAlign w:val="center"/>
                </w:tcPr>
                <w:p w14:paraId="2FAE9D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kern w:val="0"/>
                      <w:sz w:val="18"/>
                      <w:szCs w:val="18"/>
                      <w:highlight w:val="none"/>
                    </w:rPr>
                  </w:pPr>
                  <w:r>
                    <w:rPr>
                      <w:rFonts w:hint="default" w:ascii="Times New Roman" w:hAnsi="Times New Roman" w:cs="Times New Roman" w:eastAsiaTheme="minorEastAsia"/>
                      <w:color w:val="auto"/>
                      <w:kern w:val="0"/>
                      <w:sz w:val="18"/>
                      <w:szCs w:val="18"/>
                      <w:highlight w:val="none"/>
                    </w:rPr>
                    <w:t>/</w:t>
                  </w:r>
                </w:p>
                <w:p w14:paraId="029059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p>
              </w:tc>
              <w:tc>
                <w:tcPr>
                  <w:tcW w:w="199" w:type="pct"/>
                  <w:vMerge w:val="restart"/>
                  <w:tcBorders>
                    <w:tl2br w:val="nil"/>
                    <w:tr2bl w:val="nil"/>
                  </w:tcBorders>
                  <w:vAlign w:val="center"/>
                </w:tcPr>
                <w:p w14:paraId="08071B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kern w:val="0"/>
                      <w:sz w:val="18"/>
                      <w:szCs w:val="18"/>
                      <w:highlight w:val="none"/>
                    </w:rPr>
                  </w:pPr>
                  <w:r>
                    <w:rPr>
                      <w:rFonts w:hint="default" w:ascii="Times New Roman" w:hAnsi="Times New Roman" w:cs="Times New Roman" w:eastAsiaTheme="minorEastAsia"/>
                      <w:color w:val="auto"/>
                      <w:kern w:val="0"/>
                      <w:sz w:val="18"/>
                      <w:szCs w:val="18"/>
                      <w:highlight w:val="none"/>
                    </w:rPr>
                    <w:t>/</w:t>
                  </w:r>
                </w:p>
                <w:p w14:paraId="2422E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restart"/>
                  <w:tcBorders>
                    <w:tl2br w:val="nil"/>
                    <w:tr2bl w:val="nil"/>
                  </w:tcBorders>
                  <w:vAlign w:val="center"/>
                </w:tcPr>
                <w:p w14:paraId="785708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物料衡算法</w:t>
                  </w:r>
                </w:p>
              </w:tc>
              <w:tc>
                <w:tcPr>
                  <w:tcW w:w="383" w:type="pct"/>
                  <w:vMerge w:val="restart"/>
                  <w:tcBorders>
                    <w:tl2br w:val="nil"/>
                    <w:tr2bl w:val="nil"/>
                  </w:tcBorders>
                  <w:vAlign w:val="center"/>
                </w:tcPr>
                <w:p w14:paraId="009795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524" w:type="pct"/>
                  <w:tcBorders>
                    <w:tl2br w:val="nil"/>
                    <w:tr2bl w:val="nil"/>
                  </w:tcBorders>
                  <w:vAlign w:val="center"/>
                </w:tcPr>
                <w:p w14:paraId="34708E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511B8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543AE83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652D0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5D860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BOD</w:t>
                  </w:r>
                  <w:r>
                    <w:rPr>
                      <w:rFonts w:hint="default" w:ascii="Times New Roman" w:hAnsi="Times New Roman" w:cs="Times New Roman" w:eastAsiaTheme="minorEastAsia"/>
                      <w:color w:val="auto"/>
                      <w:sz w:val="18"/>
                      <w:szCs w:val="18"/>
                      <w:highlight w:val="none"/>
                      <w:vertAlign w:val="subscript"/>
                    </w:rPr>
                    <w:t>5</w:t>
                  </w:r>
                </w:p>
              </w:tc>
              <w:tc>
                <w:tcPr>
                  <w:tcW w:w="222" w:type="pct"/>
                  <w:vMerge w:val="continue"/>
                  <w:tcBorders>
                    <w:tl2br w:val="nil"/>
                    <w:tr2bl w:val="nil"/>
                  </w:tcBorders>
                  <w:vAlign w:val="center"/>
                </w:tcPr>
                <w:p w14:paraId="2DF72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2653B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59" w:type="pct"/>
                  <w:tcBorders>
                    <w:tl2br w:val="nil"/>
                    <w:tr2bl w:val="nil"/>
                  </w:tcBorders>
                  <w:vAlign w:val="center"/>
                </w:tcPr>
                <w:p w14:paraId="246B69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456" w:type="pct"/>
                  <w:tcBorders>
                    <w:tl2br w:val="nil"/>
                    <w:tr2bl w:val="nil"/>
                  </w:tcBorders>
                  <w:vAlign w:val="center"/>
                </w:tcPr>
                <w:p w14:paraId="4C817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0.0483</w:t>
                  </w:r>
                </w:p>
              </w:tc>
              <w:tc>
                <w:tcPr>
                  <w:tcW w:w="571" w:type="pct"/>
                  <w:vMerge w:val="continue"/>
                  <w:tcBorders>
                    <w:tl2br w:val="nil"/>
                    <w:tr2bl w:val="nil"/>
                  </w:tcBorders>
                  <w:vAlign w:val="center"/>
                </w:tcPr>
                <w:p w14:paraId="22071D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09047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262BE6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6F8CED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3E9320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7487B0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4CB843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7E1EA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640B46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SS</w:t>
                  </w:r>
                </w:p>
              </w:tc>
              <w:tc>
                <w:tcPr>
                  <w:tcW w:w="222" w:type="pct"/>
                  <w:vMerge w:val="continue"/>
                  <w:tcBorders>
                    <w:tl2br w:val="nil"/>
                    <w:tr2bl w:val="nil"/>
                  </w:tcBorders>
                  <w:vAlign w:val="center"/>
                </w:tcPr>
                <w:p w14:paraId="77E31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7F0C6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59" w:type="pct"/>
                  <w:tcBorders>
                    <w:tl2br w:val="nil"/>
                    <w:tr2bl w:val="nil"/>
                  </w:tcBorders>
                  <w:vAlign w:val="center"/>
                </w:tcPr>
                <w:p w14:paraId="36E56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736" w:type="dxa"/>
                  <w:tcBorders>
                    <w:tl2br w:val="nil"/>
                    <w:tr2bl w:val="nil"/>
                  </w:tcBorders>
                  <w:vAlign w:val="center"/>
                </w:tcPr>
                <w:p w14:paraId="3FE75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0.0483</w:t>
                  </w:r>
                </w:p>
              </w:tc>
              <w:tc>
                <w:tcPr>
                  <w:tcW w:w="571" w:type="pct"/>
                  <w:vMerge w:val="continue"/>
                  <w:tcBorders>
                    <w:tl2br w:val="nil"/>
                    <w:tr2bl w:val="nil"/>
                  </w:tcBorders>
                  <w:vAlign w:val="center"/>
                </w:tcPr>
                <w:p w14:paraId="365B76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54CB6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34606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223329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499AAE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480FDC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r w14:paraId="550A23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Merge w:val="continue"/>
                  <w:tcBorders>
                    <w:tl2br w:val="nil"/>
                    <w:tr2bl w:val="nil"/>
                  </w:tcBorders>
                  <w:vAlign w:val="center"/>
                </w:tcPr>
                <w:p w14:paraId="04830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69" w:type="pct"/>
                  <w:tcBorders>
                    <w:tl2br w:val="nil"/>
                    <w:tr2bl w:val="nil"/>
                  </w:tcBorders>
                  <w:vAlign w:val="center"/>
                </w:tcPr>
                <w:p w14:paraId="732CA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氨氮</w:t>
                  </w:r>
                </w:p>
              </w:tc>
              <w:tc>
                <w:tcPr>
                  <w:tcW w:w="222" w:type="pct"/>
                  <w:vMerge w:val="continue"/>
                  <w:tcBorders>
                    <w:tl2br w:val="nil"/>
                    <w:tr2bl w:val="nil"/>
                  </w:tcBorders>
                  <w:vAlign w:val="center"/>
                </w:tcPr>
                <w:p w14:paraId="6012C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66" w:type="pct"/>
                  <w:vMerge w:val="continue"/>
                  <w:tcBorders>
                    <w:tl2br w:val="nil"/>
                    <w:tr2bl w:val="nil"/>
                  </w:tcBorders>
                  <w:vAlign w:val="center"/>
                </w:tcPr>
                <w:p w14:paraId="7407F1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459" w:type="pct"/>
                  <w:tcBorders>
                    <w:tl2br w:val="nil"/>
                    <w:tr2bl w:val="nil"/>
                  </w:tcBorders>
                  <w:vAlign w:val="center"/>
                </w:tcPr>
                <w:p w14:paraId="25A2E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25</w:t>
                  </w:r>
                </w:p>
              </w:tc>
              <w:tc>
                <w:tcPr>
                  <w:tcW w:w="456" w:type="pct"/>
                  <w:tcBorders>
                    <w:tl2br w:val="nil"/>
                    <w:tr2bl w:val="nil"/>
                  </w:tcBorders>
                  <w:vAlign w:val="center"/>
                </w:tcPr>
                <w:p w14:paraId="54F287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0.006</w:t>
                  </w:r>
                </w:p>
              </w:tc>
              <w:tc>
                <w:tcPr>
                  <w:tcW w:w="571" w:type="pct"/>
                  <w:vMerge w:val="continue"/>
                  <w:tcBorders>
                    <w:tl2br w:val="nil"/>
                    <w:tr2bl w:val="nil"/>
                  </w:tcBorders>
                  <w:vAlign w:val="center"/>
                </w:tcPr>
                <w:p w14:paraId="28232C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199" w:type="pct"/>
                  <w:vMerge w:val="continue"/>
                  <w:tcBorders>
                    <w:tl2br w:val="nil"/>
                    <w:tr2bl w:val="nil"/>
                  </w:tcBorders>
                  <w:vAlign w:val="center"/>
                </w:tcPr>
                <w:p w14:paraId="07CE4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206" w:type="pct"/>
                  <w:vMerge w:val="continue"/>
                  <w:tcBorders>
                    <w:tl2br w:val="nil"/>
                    <w:tr2bl w:val="nil"/>
                  </w:tcBorders>
                  <w:vAlign w:val="center"/>
                </w:tcPr>
                <w:p w14:paraId="23FB53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83" w:type="pct"/>
                  <w:vMerge w:val="continue"/>
                  <w:tcBorders>
                    <w:tl2br w:val="nil"/>
                    <w:tr2bl w:val="nil"/>
                  </w:tcBorders>
                  <w:vAlign w:val="center"/>
                </w:tcPr>
                <w:p w14:paraId="5A01EA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24" w:type="pct"/>
                  <w:tcBorders>
                    <w:tl2br w:val="nil"/>
                    <w:tr2bl w:val="nil"/>
                  </w:tcBorders>
                  <w:vAlign w:val="center"/>
                </w:tcPr>
                <w:p w14:paraId="43A8F5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kern w:val="0"/>
                      <w:sz w:val="18"/>
                      <w:szCs w:val="18"/>
                      <w:highlight w:val="none"/>
                    </w:rPr>
                    <w:t>/</w:t>
                  </w:r>
                </w:p>
              </w:tc>
              <w:tc>
                <w:tcPr>
                  <w:tcW w:w="428" w:type="pct"/>
                  <w:tcBorders>
                    <w:tl2br w:val="nil"/>
                    <w:tr2bl w:val="nil"/>
                  </w:tcBorders>
                  <w:vAlign w:val="center"/>
                </w:tcPr>
                <w:p w14:paraId="29CF8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rPr>
                    <w:t>/</w:t>
                  </w:r>
                </w:p>
              </w:tc>
            </w:tr>
          </w:tbl>
          <w:p w14:paraId="5D698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本项目</w:t>
            </w:r>
            <w:r>
              <w:rPr>
                <w:rFonts w:hint="default" w:ascii="Times New Roman" w:hAnsi="Times New Roman" w:cs="Times New Roman"/>
                <w:color w:val="auto"/>
                <w:kern w:val="0"/>
                <w:sz w:val="21"/>
                <w:szCs w:val="21"/>
                <w:highlight w:val="none"/>
                <w:shd w:val="clear" w:color="auto" w:fill="auto"/>
              </w:rPr>
              <w:t>生活污水</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1.472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241.6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kern w:val="0"/>
                <w:sz w:val="21"/>
                <w:szCs w:val="21"/>
                <w:highlight w:val="none"/>
                <w:shd w:val="clear" w:color="auto" w:fill="auto"/>
              </w:rPr>
              <w:t>，</w:t>
            </w:r>
            <w:r>
              <w:rPr>
                <w:rFonts w:hint="eastAsia"/>
                <w:color w:val="auto"/>
                <w:highlight w:val="none"/>
              </w:rPr>
              <w:t>参照《社会区域类环境影响评价》（主编：吴波，编制时间2007年）中给出的生活污水中各项污染物浓度</w:t>
            </w:r>
            <w:r>
              <w:rPr>
                <w:rFonts w:hint="eastAsia"/>
                <w:color w:val="auto"/>
                <w:highlight w:val="none"/>
                <w:lang w:eastAsia="zh-CN"/>
              </w:rPr>
              <w:t>，</w:t>
            </w:r>
            <w:r>
              <w:rPr>
                <w:rFonts w:hint="default" w:ascii="Times New Roman" w:hAnsi="Times New Roman" w:cs="Times New Roman"/>
                <w:color w:val="auto"/>
                <w:kern w:val="0"/>
                <w:sz w:val="21"/>
                <w:szCs w:val="21"/>
                <w:highlight w:val="none"/>
                <w:shd w:val="clear" w:color="auto" w:fill="auto"/>
              </w:rPr>
              <w:t>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浓度取值3</w:t>
            </w:r>
            <w:r>
              <w:rPr>
                <w:rFonts w:hint="default" w:ascii="Times New Roman" w:hAnsi="Times New Roman" w:cs="Times New Roman"/>
                <w:color w:val="auto"/>
                <w:kern w:val="0"/>
                <w:sz w:val="21"/>
                <w:szCs w:val="21"/>
                <w:highlight w:val="none"/>
                <w:shd w:val="clear" w:color="auto" w:fill="auto"/>
                <w:lang w:val="en-US" w:eastAsia="zh-CN"/>
              </w:rPr>
              <w:t>0</w:t>
            </w:r>
            <w:r>
              <w:rPr>
                <w:rFonts w:hint="default" w:ascii="Times New Roman" w:hAnsi="Times New Roman" w:cs="Times New Roman"/>
                <w:color w:val="auto"/>
                <w:kern w:val="0"/>
                <w:sz w:val="21"/>
                <w:szCs w:val="21"/>
                <w:highlight w:val="none"/>
                <w:shd w:val="clear" w:color="auto" w:fill="auto"/>
              </w:rPr>
              <w:t>0mg/L，氨氮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浓度取值25mg/L，BOD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浓度取值200mg/L，SS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w:t>
            </w:r>
            <w:r>
              <w:rPr>
                <w:rFonts w:hint="default" w:ascii="Times New Roman" w:hAnsi="Times New Roman" w:cs="Times New Roman"/>
                <w:color w:val="auto"/>
                <w:kern w:val="0"/>
                <w:sz w:val="21"/>
                <w:szCs w:val="21"/>
                <w:highlight w:val="none"/>
                <w:shd w:val="clear" w:color="auto" w:fill="auto"/>
                <w:lang w:val="en-US" w:eastAsia="zh-CN"/>
              </w:rPr>
              <w:t>2</w:t>
            </w:r>
            <w:r>
              <w:rPr>
                <w:rFonts w:hint="default" w:ascii="Times New Roman" w:hAnsi="Times New Roman" w:cs="Times New Roman"/>
                <w:color w:val="auto"/>
                <w:kern w:val="0"/>
                <w:sz w:val="21"/>
                <w:szCs w:val="21"/>
                <w:highlight w:val="none"/>
                <w:shd w:val="clear" w:color="auto" w:fill="auto"/>
              </w:rPr>
              <w:t>00mg/L。经计算生活污水COD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0.0725</w:t>
            </w:r>
            <w:r>
              <w:rPr>
                <w:rFonts w:hint="default" w:ascii="Times New Roman" w:hAnsi="Times New Roman" w:cs="Times New Roman"/>
                <w:color w:val="auto"/>
                <w:kern w:val="0"/>
                <w:sz w:val="21"/>
                <w:szCs w:val="21"/>
                <w:highlight w:val="none"/>
                <w:shd w:val="clear" w:color="auto" w:fill="auto"/>
              </w:rPr>
              <w:t>t/a、氨氮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0.006</w:t>
            </w:r>
            <w:r>
              <w:rPr>
                <w:rFonts w:hint="default" w:ascii="Times New Roman" w:hAnsi="Times New Roman" w:cs="Times New Roman"/>
                <w:color w:val="auto"/>
                <w:kern w:val="0"/>
                <w:sz w:val="21"/>
                <w:szCs w:val="21"/>
                <w:highlight w:val="none"/>
                <w:shd w:val="clear" w:color="auto" w:fill="auto"/>
              </w:rPr>
              <w:t>t/a、SS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0.0483</w:t>
            </w:r>
            <w:r>
              <w:rPr>
                <w:rFonts w:hint="default" w:ascii="Times New Roman" w:hAnsi="Times New Roman" w:cs="Times New Roman"/>
                <w:color w:val="auto"/>
                <w:kern w:val="0"/>
                <w:sz w:val="21"/>
                <w:szCs w:val="21"/>
                <w:highlight w:val="none"/>
                <w:shd w:val="clear" w:color="auto" w:fill="auto"/>
              </w:rPr>
              <w:t>t/a、BOD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0.0483</w:t>
            </w:r>
            <w:r>
              <w:rPr>
                <w:rFonts w:hint="default" w:ascii="Times New Roman" w:hAnsi="Times New Roman" w:cs="Times New Roman"/>
                <w:color w:val="auto"/>
                <w:kern w:val="0"/>
                <w:sz w:val="21"/>
                <w:szCs w:val="21"/>
                <w:highlight w:val="none"/>
                <w:shd w:val="clear" w:color="auto" w:fill="auto"/>
              </w:rPr>
              <w:t>t/a。</w:t>
            </w:r>
          </w:p>
          <w:p w14:paraId="2E9E5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2</w:t>
            </w: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污染防治措施及</w:t>
            </w:r>
            <w:r>
              <w:rPr>
                <w:rFonts w:hint="default"/>
                <w:bCs/>
                <w:color w:val="auto"/>
                <w:spacing w:val="0"/>
                <w:sz w:val="21"/>
                <w:szCs w:val="21"/>
                <w:highlight w:val="none"/>
              </w:rPr>
              <w:t>环境影响分析</w:t>
            </w:r>
          </w:p>
          <w:p w14:paraId="0073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color w:val="auto"/>
                <w:spacing w:val="0"/>
                <w:kern w:val="24"/>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r>
              <w:rPr>
                <w:rFonts w:hint="eastAsia"/>
                <w:color w:val="auto"/>
                <w:sz w:val="21"/>
                <w:szCs w:val="21"/>
                <w:highlight w:val="none"/>
              </w:rPr>
              <w:t>不会对周边地表水环境产生较大影响</w:t>
            </w:r>
            <w:r>
              <w:rPr>
                <w:rFonts w:hint="eastAsia" w:ascii="Times New Roman" w:hAnsi="Times New Roman" w:cs="Times New Roman"/>
                <w:bCs/>
                <w:color w:val="auto"/>
                <w:spacing w:val="-2"/>
                <w:szCs w:val="21"/>
                <w:highlight w:val="none"/>
                <w:lang w:eastAsia="zh-CN"/>
              </w:rPr>
              <w:t>。</w:t>
            </w:r>
          </w:p>
          <w:p w14:paraId="79C4D1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14:paraId="4DAB334C">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（1）噪声污染源源强核算结果及相关参数见表4-</w:t>
            </w:r>
            <w:r>
              <w:rPr>
                <w:rFonts w:hint="eastAsia" w:cs="Times New Roman"/>
                <w:bCs/>
                <w:color w:val="auto"/>
                <w:szCs w:val="21"/>
                <w:highlight w:val="none"/>
                <w:lang w:val="en-US" w:eastAsia="zh-CN"/>
              </w:rPr>
              <w:t>7</w:t>
            </w:r>
            <w:r>
              <w:rPr>
                <w:rFonts w:hint="default" w:ascii="Times New Roman" w:hAnsi="Times New Roman" w:cs="Times New Roman"/>
                <w:bCs/>
                <w:color w:val="auto"/>
                <w:szCs w:val="21"/>
                <w:highlight w:val="none"/>
              </w:rPr>
              <w:t>。</w:t>
            </w:r>
          </w:p>
          <w:p w14:paraId="5E22D307">
            <w:pPr>
              <w:pStyle w:val="165"/>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本项目噪声污染源主要为输送机、圆筒初清筛、风机等设备产生的噪声，其声压级为</w:t>
            </w:r>
            <w:r>
              <w:rPr>
                <w:rFonts w:hint="eastAsia" w:cs="Times New Roman"/>
                <w:color w:val="auto"/>
                <w:kern w:val="2"/>
                <w:sz w:val="21"/>
                <w:szCs w:val="24"/>
                <w:highlight w:val="none"/>
                <w:lang w:val="en-US" w:eastAsia="zh-CN" w:bidi="ar-SA"/>
              </w:rPr>
              <w:t>70</w:t>
            </w:r>
            <w:r>
              <w:rPr>
                <w:rFonts w:hint="eastAsia" w:ascii="Times New Roman" w:hAnsi="Times New Roman" w:eastAsia="宋体" w:cs="Times New Roman"/>
                <w:color w:val="auto"/>
                <w:kern w:val="2"/>
                <w:sz w:val="21"/>
                <w:szCs w:val="24"/>
                <w:highlight w:val="none"/>
                <w:lang w:val="en-US" w:eastAsia="zh-CN" w:bidi="ar-SA"/>
              </w:rPr>
              <w:t>-85dB(A)，项目噪声污染源源强核算结果及相关参数见表4-7及表4-8。</w:t>
            </w:r>
          </w:p>
          <w:p w14:paraId="61113D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表4-7  噪声污染源</w:t>
            </w:r>
            <w:r>
              <w:rPr>
                <w:rFonts w:hint="eastAsia" w:ascii="Times New Roman" w:hAnsi="Times New Roman" w:cs="Times New Roman"/>
                <w:b/>
                <w:bCs/>
                <w:color w:val="auto"/>
                <w:highlight w:val="none"/>
                <w:lang w:val="en-US" w:eastAsia="zh-CN"/>
              </w:rPr>
              <w:t>（室内）</w:t>
            </w:r>
            <w:r>
              <w:rPr>
                <w:rFonts w:hint="default" w:ascii="Times New Roman" w:hAnsi="Times New Roman" w:cs="Times New Roman"/>
                <w:b/>
                <w:bCs/>
                <w:color w:val="auto"/>
                <w:highlight w:val="none"/>
                <w:lang w:val="en-US" w:eastAsia="zh-CN"/>
              </w:rPr>
              <w:t>源强核算结果及相关参数一览表</w:t>
            </w:r>
          </w:p>
          <w:tbl>
            <w:tblPr>
              <w:tblStyle w:val="3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9"/>
              <w:gridCol w:w="406"/>
              <w:gridCol w:w="594"/>
              <w:gridCol w:w="549"/>
              <w:gridCol w:w="1691"/>
              <w:gridCol w:w="330"/>
              <w:gridCol w:w="262"/>
              <w:gridCol w:w="319"/>
              <w:gridCol w:w="433"/>
              <w:gridCol w:w="594"/>
              <w:gridCol w:w="786"/>
              <w:gridCol w:w="594"/>
              <w:gridCol w:w="618"/>
              <w:gridCol w:w="608"/>
            </w:tblGrid>
            <w:tr w14:paraId="2934B2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67" w:type="pct"/>
                  <w:vMerge w:val="restart"/>
                  <w:noWrap w:val="0"/>
                  <w:tcMar>
                    <w:top w:w="15" w:type="dxa"/>
                    <w:left w:w="15" w:type="dxa"/>
                    <w:bottom w:w="0" w:type="dxa"/>
                    <w:right w:w="15" w:type="dxa"/>
                  </w:tcMar>
                  <w:vAlign w:val="center"/>
                </w:tcPr>
                <w:p w14:paraId="43FE1B8E">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序号</w:t>
                  </w:r>
                </w:p>
              </w:tc>
              <w:tc>
                <w:tcPr>
                  <w:tcW w:w="252" w:type="pct"/>
                  <w:vMerge w:val="restart"/>
                  <w:noWrap w:val="0"/>
                  <w:tcMar>
                    <w:top w:w="15" w:type="dxa"/>
                    <w:left w:w="15" w:type="dxa"/>
                    <w:bottom w:w="0" w:type="dxa"/>
                    <w:right w:w="15" w:type="dxa"/>
                  </w:tcMar>
                  <w:vAlign w:val="center"/>
                </w:tcPr>
                <w:p w14:paraId="40A8651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声源名称</w:t>
                  </w:r>
                </w:p>
              </w:tc>
              <w:tc>
                <w:tcPr>
                  <w:tcW w:w="709" w:type="pct"/>
                  <w:gridSpan w:val="2"/>
                  <w:noWrap w:val="0"/>
                  <w:tcMar>
                    <w:top w:w="15" w:type="dxa"/>
                    <w:left w:w="15" w:type="dxa"/>
                    <w:bottom w:w="0" w:type="dxa"/>
                    <w:right w:w="15" w:type="dxa"/>
                  </w:tcMar>
                  <w:vAlign w:val="center"/>
                </w:tcPr>
                <w:p w14:paraId="595C7B1E">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声源源强</w:t>
                  </w:r>
                </w:p>
              </w:tc>
              <w:tc>
                <w:tcPr>
                  <w:tcW w:w="1049" w:type="pct"/>
                  <w:noWrap w:val="0"/>
                  <w:tcMar>
                    <w:top w:w="15" w:type="dxa"/>
                    <w:left w:w="15" w:type="dxa"/>
                    <w:bottom w:w="0" w:type="dxa"/>
                    <w:right w:w="15" w:type="dxa"/>
                  </w:tcMar>
                  <w:vAlign w:val="center"/>
                </w:tcPr>
                <w:p w14:paraId="09590F1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声源控制措施</w:t>
                  </w:r>
                </w:p>
              </w:tc>
              <w:tc>
                <w:tcPr>
                  <w:tcW w:w="565" w:type="pct"/>
                  <w:gridSpan w:val="3"/>
                  <w:noWrap w:val="0"/>
                  <w:tcMar>
                    <w:top w:w="15" w:type="dxa"/>
                    <w:left w:w="15" w:type="dxa"/>
                    <w:bottom w:w="0" w:type="dxa"/>
                    <w:right w:w="15" w:type="dxa"/>
                  </w:tcMar>
                  <w:vAlign w:val="center"/>
                </w:tcPr>
                <w:p w14:paraId="1EF70CEB">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空间相对位置/m</w:t>
                  </w:r>
                </w:p>
              </w:tc>
              <w:tc>
                <w:tcPr>
                  <w:tcW w:w="268" w:type="pct"/>
                  <w:vMerge w:val="restart"/>
                  <w:noWrap w:val="0"/>
                  <w:tcMar>
                    <w:top w:w="15" w:type="dxa"/>
                    <w:left w:w="15" w:type="dxa"/>
                    <w:bottom w:w="0" w:type="dxa"/>
                    <w:right w:w="15" w:type="dxa"/>
                  </w:tcMar>
                  <w:vAlign w:val="center"/>
                </w:tcPr>
                <w:p w14:paraId="1F909D5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距室内边</w:t>
                  </w:r>
                </w:p>
                <w:p w14:paraId="5EAFE777">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界距离/m</w:t>
                  </w:r>
                </w:p>
              </w:tc>
              <w:tc>
                <w:tcPr>
                  <w:tcW w:w="368" w:type="pct"/>
                  <w:vMerge w:val="restart"/>
                  <w:noWrap w:val="0"/>
                  <w:tcMar>
                    <w:top w:w="15" w:type="dxa"/>
                    <w:left w:w="15" w:type="dxa"/>
                    <w:bottom w:w="0" w:type="dxa"/>
                    <w:right w:w="15" w:type="dxa"/>
                  </w:tcMar>
                  <w:vAlign w:val="center"/>
                </w:tcPr>
                <w:p w14:paraId="6F608B8B">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室内边</w:t>
                  </w:r>
                </w:p>
                <w:p w14:paraId="13630D4D">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界声级</w:t>
                  </w:r>
                </w:p>
                <w:p w14:paraId="6CC7213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488" w:type="pct"/>
                  <w:vMerge w:val="restart"/>
                  <w:noWrap w:val="0"/>
                  <w:tcMar>
                    <w:top w:w="15" w:type="dxa"/>
                    <w:left w:w="15" w:type="dxa"/>
                    <w:bottom w:w="0" w:type="dxa"/>
                    <w:right w:w="15" w:type="dxa"/>
                  </w:tcMar>
                  <w:vAlign w:val="center"/>
                </w:tcPr>
                <w:p w14:paraId="3422E1F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建筑物插入损失</w:t>
                  </w:r>
                </w:p>
                <w:p w14:paraId="0846D70E">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752" w:type="pct"/>
                  <w:gridSpan w:val="2"/>
                  <w:noWrap w:val="0"/>
                  <w:tcMar>
                    <w:top w:w="15" w:type="dxa"/>
                    <w:left w:w="15" w:type="dxa"/>
                    <w:bottom w:w="0" w:type="dxa"/>
                    <w:right w:w="15" w:type="dxa"/>
                  </w:tcMar>
                  <w:vAlign w:val="center"/>
                </w:tcPr>
                <w:p w14:paraId="0C8EF5AB">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建筑物外噪声</w:t>
                  </w:r>
                </w:p>
              </w:tc>
              <w:tc>
                <w:tcPr>
                  <w:tcW w:w="377" w:type="pct"/>
                  <w:vMerge w:val="restart"/>
                  <w:noWrap w:val="0"/>
                  <w:vAlign w:val="center"/>
                </w:tcPr>
                <w:p w14:paraId="54FE4D2A">
                  <w:pPr>
                    <w:pStyle w:val="168"/>
                    <w:keepNext w:val="0"/>
                    <w:keepLines w:val="0"/>
                    <w:suppressLineNumbers w:val="0"/>
                    <w:spacing w:beforeAutospacing="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持续时间</w:t>
                  </w:r>
                </w:p>
                <w:p w14:paraId="60D33C1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kern w:val="0"/>
                      <w:sz w:val="18"/>
                      <w:szCs w:val="18"/>
                    </w:rPr>
                    <w:t>（h/a）</w:t>
                  </w:r>
                </w:p>
              </w:tc>
            </w:tr>
            <w:tr w14:paraId="52DB7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67" w:type="pct"/>
                  <w:vMerge w:val="continue"/>
                  <w:noWrap w:val="0"/>
                  <w:vAlign w:val="center"/>
                </w:tcPr>
                <w:p w14:paraId="1E2DA97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252" w:type="pct"/>
                  <w:vMerge w:val="continue"/>
                  <w:noWrap w:val="0"/>
                  <w:vAlign w:val="center"/>
                </w:tcPr>
                <w:p w14:paraId="3422229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368" w:type="pct"/>
                  <w:noWrap w:val="0"/>
                  <w:tcMar>
                    <w:top w:w="15" w:type="dxa"/>
                    <w:left w:w="15" w:type="dxa"/>
                    <w:bottom w:w="0" w:type="dxa"/>
                    <w:right w:w="15" w:type="dxa"/>
                  </w:tcMar>
                  <w:vAlign w:val="center"/>
                </w:tcPr>
                <w:p w14:paraId="1DB851F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声压级</w:t>
                  </w:r>
                </w:p>
                <w:p w14:paraId="6C0CEA5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340" w:type="pct"/>
                  <w:noWrap w:val="0"/>
                  <w:tcMar>
                    <w:top w:w="15" w:type="dxa"/>
                    <w:left w:w="15" w:type="dxa"/>
                    <w:bottom w:w="0" w:type="dxa"/>
                    <w:right w:w="15" w:type="dxa"/>
                  </w:tcMar>
                  <w:vAlign w:val="center"/>
                </w:tcPr>
                <w:p w14:paraId="7798078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距声源距离/m</w:t>
                  </w:r>
                </w:p>
              </w:tc>
              <w:tc>
                <w:tcPr>
                  <w:tcW w:w="1049" w:type="pct"/>
                  <w:noWrap w:val="0"/>
                  <w:vAlign w:val="center"/>
                </w:tcPr>
                <w:p w14:paraId="66950CF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工艺</w:t>
                  </w:r>
                </w:p>
              </w:tc>
              <w:tc>
                <w:tcPr>
                  <w:tcW w:w="204" w:type="pct"/>
                  <w:noWrap w:val="0"/>
                  <w:tcMar>
                    <w:top w:w="15" w:type="dxa"/>
                    <w:left w:w="15" w:type="dxa"/>
                    <w:bottom w:w="0" w:type="dxa"/>
                    <w:right w:w="15" w:type="dxa"/>
                  </w:tcMar>
                  <w:vAlign w:val="center"/>
                </w:tcPr>
                <w:p w14:paraId="2045BE8A">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X</w:t>
                  </w:r>
                </w:p>
              </w:tc>
              <w:tc>
                <w:tcPr>
                  <w:tcW w:w="162" w:type="pct"/>
                  <w:noWrap w:val="0"/>
                  <w:tcMar>
                    <w:top w:w="15" w:type="dxa"/>
                    <w:left w:w="15" w:type="dxa"/>
                    <w:bottom w:w="0" w:type="dxa"/>
                    <w:right w:w="15" w:type="dxa"/>
                  </w:tcMar>
                  <w:vAlign w:val="center"/>
                </w:tcPr>
                <w:p w14:paraId="1CE213D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Y</w:t>
                  </w:r>
                </w:p>
              </w:tc>
              <w:tc>
                <w:tcPr>
                  <w:tcW w:w="198" w:type="pct"/>
                  <w:noWrap w:val="0"/>
                  <w:tcMar>
                    <w:top w:w="15" w:type="dxa"/>
                    <w:left w:w="15" w:type="dxa"/>
                    <w:bottom w:w="0" w:type="dxa"/>
                    <w:right w:w="15" w:type="dxa"/>
                  </w:tcMar>
                  <w:vAlign w:val="center"/>
                </w:tcPr>
                <w:p w14:paraId="59FC3E1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Z</w:t>
                  </w:r>
                </w:p>
              </w:tc>
              <w:tc>
                <w:tcPr>
                  <w:tcW w:w="268" w:type="pct"/>
                  <w:vMerge w:val="continue"/>
                  <w:noWrap w:val="0"/>
                  <w:vAlign w:val="center"/>
                </w:tcPr>
                <w:p w14:paraId="235419C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368" w:type="pct"/>
                  <w:vMerge w:val="continue"/>
                  <w:noWrap w:val="0"/>
                  <w:tcMar>
                    <w:top w:w="15" w:type="dxa"/>
                    <w:left w:w="15" w:type="dxa"/>
                    <w:bottom w:w="0" w:type="dxa"/>
                    <w:right w:w="15" w:type="dxa"/>
                  </w:tcMar>
                  <w:vAlign w:val="center"/>
                </w:tcPr>
                <w:p w14:paraId="6FB41B7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488" w:type="pct"/>
                  <w:vMerge w:val="continue"/>
                  <w:noWrap w:val="0"/>
                  <w:tcMar>
                    <w:top w:w="15" w:type="dxa"/>
                    <w:left w:w="15" w:type="dxa"/>
                    <w:bottom w:w="0" w:type="dxa"/>
                    <w:right w:w="15" w:type="dxa"/>
                  </w:tcMar>
                  <w:vAlign w:val="center"/>
                </w:tcPr>
                <w:p w14:paraId="23FB359D">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368" w:type="pct"/>
                  <w:noWrap w:val="0"/>
                  <w:tcMar>
                    <w:top w:w="15" w:type="dxa"/>
                    <w:left w:w="15" w:type="dxa"/>
                    <w:bottom w:w="0" w:type="dxa"/>
                    <w:right w:w="15" w:type="dxa"/>
                  </w:tcMar>
                  <w:vAlign w:val="center"/>
                </w:tcPr>
                <w:p w14:paraId="75B7F712">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声压级</w:t>
                  </w:r>
                </w:p>
                <w:p w14:paraId="2ABC5A05">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383" w:type="pct"/>
                  <w:noWrap w:val="0"/>
                  <w:tcMar>
                    <w:top w:w="15" w:type="dxa"/>
                    <w:left w:w="15" w:type="dxa"/>
                    <w:bottom w:w="0" w:type="dxa"/>
                    <w:right w:w="15" w:type="dxa"/>
                  </w:tcMar>
                  <w:vAlign w:val="center"/>
                </w:tcPr>
                <w:p w14:paraId="029421D5">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建筑物外距离/m</w:t>
                  </w:r>
                </w:p>
              </w:tc>
              <w:tc>
                <w:tcPr>
                  <w:tcW w:w="377" w:type="pct"/>
                  <w:vMerge w:val="continue"/>
                  <w:noWrap w:val="0"/>
                  <w:vAlign w:val="center"/>
                </w:tcPr>
                <w:p w14:paraId="79C33004">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r>
            <w:tr w14:paraId="0A6A4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6007F5BA">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252" w:type="pct"/>
                  <w:noWrap w:val="0"/>
                  <w:tcMar>
                    <w:top w:w="15" w:type="dxa"/>
                    <w:left w:w="15" w:type="dxa"/>
                    <w:bottom w:w="0" w:type="dxa"/>
                    <w:right w:w="15" w:type="dxa"/>
                  </w:tcMar>
                  <w:vAlign w:val="center"/>
                </w:tcPr>
                <w:p w14:paraId="69EDB6C4">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热风炉</w:t>
                  </w:r>
                </w:p>
              </w:tc>
              <w:tc>
                <w:tcPr>
                  <w:tcW w:w="368" w:type="pct"/>
                  <w:noWrap w:val="0"/>
                  <w:tcMar>
                    <w:top w:w="15" w:type="dxa"/>
                    <w:left w:w="15" w:type="dxa"/>
                    <w:bottom w:w="0" w:type="dxa"/>
                    <w:right w:w="15" w:type="dxa"/>
                  </w:tcMar>
                  <w:vAlign w:val="center"/>
                </w:tcPr>
                <w:p w14:paraId="4BCFE51C">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75</w:t>
                  </w:r>
                </w:p>
              </w:tc>
              <w:tc>
                <w:tcPr>
                  <w:tcW w:w="340" w:type="pct"/>
                  <w:noWrap w:val="0"/>
                  <w:tcMar>
                    <w:top w:w="15" w:type="dxa"/>
                    <w:left w:w="15" w:type="dxa"/>
                    <w:bottom w:w="0" w:type="dxa"/>
                    <w:right w:w="15" w:type="dxa"/>
                  </w:tcMar>
                  <w:vAlign w:val="center"/>
                </w:tcPr>
                <w:p w14:paraId="2E206FD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1049" w:type="pct"/>
                  <w:noWrap w:val="0"/>
                  <w:tcMar>
                    <w:top w:w="15" w:type="dxa"/>
                    <w:left w:w="15" w:type="dxa"/>
                    <w:bottom w:w="0" w:type="dxa"/>
                    <w:right w:w="15" w:type="dxa"/>
                  </w:tcMar>
                  <w:vAlign w:val="center"/>
                </w:tcPr>
                <w:p w14:paraId="5FAFCAFE">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eastAsia="zh-CN"/>
                    </w:rPr>
                  </w:pPr>
                  <w:r>
                    <w:rPr>
                      <w:rFonts w:hint="eastAsia" w:cs="Times New Roman"/>
                      <w:b w:val="0"/>
                      <w:bCs/>
                      <w:color w:val="auto"/>
                      <w:spacing w:val="0"/>
                      <w:kern w:val="2"/>
                      <w:sz w:val="18"/>
                      <w:szCs w:val="18"/>
                      <w:highlight w:val="none"/>
                      <w:lang w:val="en-US" w:eastAsia="zh-CN" w:bidi="ar-SA"/>
                    </w:rPr>
                    <w:t>基础减震、厂房隔声</w:t>
                  </w:r>
                </w:p>
              </w:tc>
              <w:tc>
                <w:tcPr>
                  <w:tcW w:w="204" w:type="pct"/>
                  <w:noWrap/>
                  <w:tcMar>
                    <w:top w:w="15" w:type="dxa"/>
                    <w:left w:w="15" w:type="dxa"/>
                    <w:bottom w:w="0" w:type="dxa"/>
                    <w:right w:w="15" w:type="dxa"/>
                  </w:tcMar>
                  <w:vAlign w:val="center"/>
                </w:tcPr>
                <w:p w14:paraId="783F8AA7">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22</w:t>
                  </w:r>
                </w:p>
              </w:tc>
              <w:tc>
                <w:tcPr>
                  <w:tcW w:w="162" w:type="pct"/>
                  <w:noWrap/>
                  <w:tcMar>
                    <w:top w:w="15" w:type="dxa"/>
                    <w:left w:w="15" w:type="dxa"/>
                    <w:bottom w:w="0" w:type="dxa"/>
                    <w:right w:w="15" w:type="dxa"/>
                  </w:tcMar>
                  <w:vAlign w:val="center"/>
                </w:tcPr>
                <w:p w14:paraId="41127496">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197</w:t>
                  </w:r>
                </w:p>
              </w:tc>
              <w:tc>
                <w:tcPr>
                  <w:tcW w:w="198" w:type="pct"/>
                  <w:noWrap/>
                  <w:tcMar>
                    <w:top w:w="15" w:type="dxa"/>
                    <w:left w:w="15" w:type="dxa"/>
                    <w:bottom w:w="0" w:type="dxa"/>
                    <w:right w:w="15" w:type="dxa"/>
                  </w:tcMar>
                  <w:vAlign w:val="center"/>
                </w:tcPr>
                <w:p w14:paraId="0768741A">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50D9844A">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3</w:t>
                  </w:r>
                </w:p>
              </w:tc>
              <w:tc>
                <w:tcPr>
                  <w:tcW w:w="368" w:type="pct"/>
                  <w:noWrap w:val="0"/>
                  <w:tcMar>
                    <w:top w:w="15" w:type="dxa"/>
                    <w:left w:w="15" w:type="dxa"/>
                    <w:bottom w:w="0" w:type="dxa"/>
                    <w:right w:w="15" w:type="dxa"/>
                  </w:tcMar>
                  <w:vAlign w:val="center"/>
                </w:tcPr>
                <w:p w14:paraId="096E84B6">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65.5</w:t>
                  </w:r>
                </w:p>
              </w:tc>
              <w:tc>
                <w:tcPr>
                  <w:tcW w:w="488" w:type="pct"/>
                  <w:noWrap w:val="0"/>
                  <w:tcMar>
                    <w:top w:w="15" w:type="dxa"/>
                    <w:left w:w="15" w:type="dxa"/>
                    <w:bottom w:w="0" w:type="dxa"/>
                    <w:right w:w="15" w:type="dxa"/>
                  </w:tcMar>
                  <w:vAlign w:val="center"/>
                </w:tcPr>
                <w:p w14:paraId="6FFBD28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25CED7BC">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45.5</w:t>
                  </w:r>
                </w:p>
              </w:tc>
              <w:tc>
                <w:tcPr>
                  <w:tcW w:w="383" w:type="pct"/>
                  <w:noWrap w:val="0"/>
                  <w:tcMar>
                    <w:top w:w="15" w:type="dxa"/>
                    <w:left w:w="15" w:type="dxa"/>
                    <w:bottom w:w="0" w:type="dxa"/>
                    <w:right w:w="15" w:type="dxa"/>
                  </w:tcMar>
                  <w:vAlign w:val="center"/>
                </w:tcPr>
                <w:p w14:paraId="183C34F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restart"/>
                  <w:noWrap w:val="0"/>
                  <w:vAlign w:val="center"/>
                </w:tcPr>
                <w:p w14:paraId="1AF3203E">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kern w:val="0"/>
                      <w:sz w:val="18"/>
                      <w:szCs w:val="18"/>
                      <w:lang w:val="en-US" w:eastAsia="zh-CN"/>
                    </w:rPr>
                    <w:t>4320</w:t>
                  </w:r>
                </w:p>
              </w:tc>
            </w:tr>
            <w:tr w14:paraId="60B7B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292BA7E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252" w:type="pct"/>
                  <w:noWrap w:val="0"/>
                  <w:tcMar>
                    <w:top w:w="15" w:type="dxa"/>
                    <w:left w:w="15" w:type="dxa"/>
                    <w:bottom w:w="0" w:type="dxa"/>
                    <w:right w:w="15" w:type="dxa"/>
                  </w:tcMar>
                  <w:vAlign w:val="center"/>
                </w:tcPr>
                <w:p w14:paraId="3FAE167E">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鼓风机</w:t>
                  </w:r>
                </w:p>
              </w:tc>
              <w:tc>
                <w:tcPr>
                  <w:tcW w:w="368" w:type="pct"/>
                  <w:noWrap w:val="0"/>
                  <w:tcMar>
                    <w:top w:w="15" w:type="dxa"/>
                    <w:left w:w="15" w:type="dxa"/>
                    <w:bottom w:w="0" w:type="dxa"/>
                    <w:right w:w="15" w:type="dxa"/>
                  </w:tcMar>
                  <w:vAlign w:val="center"/>
                </w:tcPr>
                <w:p w14:paraId="0E791DEC">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85</w:t>
                  </w:r>
                </w:p>
              </w:tc>
              <w:tc>
                <w:tcPr>
                  <w:tcW w:w="340" w:type="pct"/>
                  <w:noWrap w:val="0"/>
                  <w:tcMar>
                    <w:top w:w="15" w:type="dxa"/>
                    <w:left w:w="15" w:type="dxa"/>
                    <w:bottom w:w="0" w:type="dxa"/>
                    <w:right w:w="15" w:type="dxa"/>
                  </w:tcMar>
                  <w:vAlign w:val="center"/>
                </w:tcPr>
                <w:p w14:paraId="2F3A35D1">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1049" w:type="pct"/>
                  <w:noWrap w:val="0"/>
                  <w:tcMar>
                    <w:top w:w="15" w:type="dxa"/>
                    <w:left w:w="15" w:type="dxa"/>
                    <w:bottom w:w="0" w:type="dxa"/>
                    <w:right w:w="15" w:type="dxa"/>
                  </w:tcMar>
                  <w:vAlign w:val="center"/>
                </w:tcPr>
                <w:p w14:paraId="6039D44D">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eastAsia="zh-CN"/>
                    </w:rPr>
                  </w:pPr>
                  <w:r>
                    <w:rPr>
                      <w:rFonts w:hint="eastAsia" w:ascii="宋体" w:hAnsi="宋体" w:eastAsia="宋体" w:cs="宋体"/>
                      <w:color w:val="auto"/>
                      <w:sz w:val="18"/>
                      <w:szCs w:val="18"/>
                    </w:rPr>
                    <w:t>进风口消声器、管道外壳阻尼</w:t>
                  </w:r>
                </w:p>
              </w:tc>
              <w:tc>
                <w:tcPr>
                  <w:tcW w:w="204" w:type="pct"/>
                  <w:noWrap/>
                  <w:tcMar>
                    <w:top w:w="15" w:type="dxa"/>
                    <w:left w:w="15" w:type="dxa"/>
                    <w:bottom w:w="0" w:type="dxa"/>
                    <w:right w:w="15" w:type="dxa"/>
                  </w:tcMar>
                  <w:vAlign w:val="center"/>
                </w:tcPr>
                <w:p w14:paraId="13D96CFC">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27</w:t>
                  </w:r>
                </w:p>
              </w:tc>
              <w:tc>
                <w:tcPr>
                  <w:tcW w:w="162" w:type="pct"/>
                  <w:noWrap/>
                  <w:tcMar>
                    <w:top w:w="15" w:type="dxa"/>
                    <w:left w:w="15" w:type="dxa"/>
                    <w:bottom w:w="0" w:type="dxa"/>
                    <w:right w:w="15" w:type="dxa"/>
                  </w:tcMar>
                  <w:vAlign w:val="center"/>
                </w:tcPr>
                <w:p w14:paraId="79B969B2">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189</w:t>
                  </w:r>
                </w:p>
              </w:tc>
              <w:tc>
                <w:tcPr>
                  <w:tcW w:w="198" w:type="pct"/>
                  <w:noWrap/>
                  <w:tcMar>
                    <w:top w:w="15" w:type="dxa"/>
                    <w:left w:w="15" w:type="dxa"/>
                    <w:bottom w:w="0" w:type="dxa"/>
                    <w:right w:w="15" w:type="dxa"/>
                  </w:tcMar>
                  <w:vAlign w:val="center"/>
                </w:tcPr>
                <w:p w14:paraId="201203F6">
                  <w:pPr>
                    <w:keepNext w:val="0"/>
                    <w:keepLines w:val="0"/>
                    <w:suppressLineNumbers w:val="0"/>
                    <w:spacing w:before="0" w:beforeAutospacing="0" w:after="0" w:afterAutospacing="0"/>
                    <w:ind w:left="0" w:right="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00E4F8FF">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4</w:t>
                  </w:r>
                </w:p>
              </w:tc>
              <w:tc>
                <w:tcPr>
                  <w:tcW w:w="368" w:type="pct"/>
                  <w:noWrap w:val="0"/>
                  <w:tcMar>
                    <w:top w:w="15" w:type="dxa"/>
                    <w:left w:w="15" w:type="dxa"/>
                    <w:bottom w:w="0" w:type="dxa"/>
                    <w:right w:w="15" w:type="dxa"/>
                  </w:tcMar>
                  <w:vAlign w:val="center"/>
                </w:tcPr>
                <w:p w14:paraId="6F73C2B6">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72.3</w:t>
                  </w:r>
                </w:p>
              </w:tc>
              <w:tc>
                <w:tcPr>
                  <w:tcW w:w="488" w:type="pct"/>
                  <w:noWrap w:val="0"/>
                  <w:tcMar>
                    <w:top w:w="15" w:type="dxa"/>
                    <w:left w:w="15" w:type="dxa"/>
                    <w:bottom w:w="0" w:type="dxa"/>
                    <w:right w:w="15" w:type="dxa"/>
                  </w:tcMar>
                  <w:vAlign w:val="center"/>
                </w:tcPr>
                <w:p w14:paraId="617122E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61909C57">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52.3</w:t>
                  </w:r>
                </w:p>
              </w:tc>
              <w:tc>
                <w:tcPr>
                  <w:tcW w:w="383" w:type="pct"/>
                  <w:noWrap w:val="0"/>
                  <w:tcMar>
                    <w:top w:w="15" w:type="dxa"/>
                    <w:left w:w="15" w:type="dxa"/>
                    <w:bottom w:w="0" w:type="dxa"/>
                    <w:right w:w="15" w:type="dxa"/>
                  </w:tcMar>
                  <w:vAlign w:val="center"/>
                </w:tcPr>
                <w:p w14:paraId="5D6C1264">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continue"/>
                  <w:noWrap w:val="0"/>
                  <w:vAlign w:val="center"/>
                </w:tcPr>
                <w:p w14:paraId="60E6B80B">
                  <w:pPr>
                    <w:pStyle w:val="168"/>
                    <w:keepNext w:val="0"/>
                    <w:keepLines w:val="0"/>
                    <w:suppressLineNumbers w:val="0"/>
                    <w:spacing w:beforeAutospacing="0" w:afterAutospacing="0"/>
                    <w:ind w:left="0" w:right="0"/>
                    <w:rPr>
                      <w:rFonts w:hint="default" w:eastAsia="仿宋"/>
                      <w:color w:val="auto"/>
                      <w:sz w:val="18"/>
                      <w:szCs w:val="18"/>
                    </w:rPr>
                  </w:pPr>
                </w:p>
              </w:tc>
            </w:tr>
            <w:tr w14:paraId="2E281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5FC4FA0B">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3</w:t>
                  </w:r>
                </w:p>
              </w:tc>
              <w:tc>
                <w:tcPr>
                  <w:tcW w:w="252" w:type="pct"/>
                  <w:noWrap w:val="0"/>
                  <w:tcMar>
                    <w:top w:w="15" w:type="dxa"/>
                    <w:left w:w="15" w:type="dxa"/>
                    <w:bottom w:w="0" w:type="dxa"/>
                    <w:right w:w="15" w:type="dxa"/>
                  </w:tcMar>
                  <w:vAlign w:val="center"/>
                </w:tcPr>
                <w:p w14:paraId="3F843895">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引风机</w:t>
                  </w:r>
                </w:p>
              </w:tc>
              <w:tc>
                <w:tcPr>
                  <w:tcW w:w="368" w:type="pct"/>
                  <w:noWrap w:val="0"/>
                  <w:tcMar>
                    <w:top w:w="15" w:type="dxa"/>
                    <w:left w:w="15" w:type="dxa"/>
                    <w:bottom w:w="0" w:type="dxa"/>
                    <w:right w:w="15" w:type="dxa"/>
                  </w:tcMar>
                  <w:vAlign w:val="center"/>
                </w:tcPr>
                <w:p w14:paraId="6B4F0B0F">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85</w:t>
                  </w:r>
                </w:p>
              </w:tc>
              <w:tc>
                <w:tcPr>
                  <w:tcW w:w="340" w:type="pct"/>
                  <w:noWrap w:val="0"/>
                  <w:tcMar>
                    <w:top w:w="15" w:type="dxa"/>
                    <w:left w:w="15" w:type="dxa"/>
                    <w:bottom w:w="0" w:type="dxa"/>
                    <w:right w:w="15" w:type="dxa"/>
                  </w:tcMar>
                  <w:vAlign w:val="center"/>
                </w:tcPr>
                <w:p w14:paraId="4484EB52">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1049" w:type="pct"/>
                  <w:noWrap w:val="0"/>
                  <w:tcMar>
                    <w:top w:w="15" w:type="dxa"/>
                    <w:left w:w="15" w:type="dxa"/>
                    <w:bottom w:w="0" w:type="dxa"/>
                    <w:right w:w="15" w:type="dxa"/>
                  </w:tcMar>
                  <w:vAlign w:val="center"/>
                </w:tcPr>
                <w:p w14:paraId="137946D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eastAsia="zh-CN"/>
                    </w:rPr>
                  </w:pPr>
                  <w:r>
                    <w:rPr>
                      <w:rFonts w:hint="eastAsia" w:ascii="宋体" w:hAnsi="宋体" w:eastAsia="宋体" w:cs="宋体"/>
                      <w:color w:val="auto"/>
                      <w:sz w:val="18"/>
                      <w:szCs w:val="18"/>
                    </w:rPr>
                    <w:t>进风口消声器、管道外壳阻尼</w:t>
                  </w:r>
                </w:p>
              </w:tc>
              <w:tc>
                <w:tcPr>
                  <w:tcW w:w="204" w:type="pct"/>
                  <w:noWrap/>
                  <w:tcMar>
                    <w:top w:w="15" w:type="dxa"/>
                    <w:left w:w="15" w:type="dxa"/>
                    <w:bottom w:w="0" w:type="dxa"/>
                    <w:right w:w="15" w:type="dxa"/>
                  </w:tcMar>
                  <w:vAlign w:val="center"/>
                </w:tcPr>
                <w:p w14:paraId="6DBA5F53">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22</w:t>
                  </w:r>
                </w:p>
              </w:tc>
              <w:tc>
                <w:tcPr>
                  <w:tcW w:w="162" w:type="pct"/>
                  <w:noWrap/>
                  <w:tcMar>
                    <w:top w:w="15" w:type="dxa"/>
                    <w:left w:w="15" w:type="dxa"/>
                    <w:bottom w:w="0" w:type="dxa"/>
                    <w:right w:w="15" w:type="dxa"/>
                  </w:tcMar>
                  <w:vAlign w:val="center"/>
                </w:tcPr>
                <w:p w14:paraId="2DA4F6F1">
                  <w:pPr>
                    <w:keepNext w:val="0"/>
                    <w:keepLines w:val="0"/>
                    <w:suppressLineNumbers w:val="0"/>
                    <w:spacing w:before="0" w:beforeAutospacing="0" w:after="0" w:afterAutospacing="0"/>
                    <w:ind w:left="0" w:right="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189</w:t>
                  </w:r>
                </w:p>
              </w:tc>
              <w:tc>
                <w:tcPr>
                  <w:tcW w:w="198" w:type="pct"/>
                  <w:noWrap/>
                  <w:tcMar>
                    <w:top w:w="15" w:type="dxa"/>
                    <w:left w:w="15" w:type="dxa"/>
                    <w:bottom w:w="0" w:type="dxa"/>
                    <w:right w:w="15" w:type="dxa"/>
                  </w:tcMar>
                  <w:vAlign w:val="center"/>
                </w:tcPr>
                <w:p w14:paraId="62E7808E">
                  <w:pPr>
                    <w:keepNext w:val="0"/>
                    <w:keepLines w:val="0"/>
                    <w:suppressLineNumbers w:val="0"/>
                    <w:spacing w:before="0" w:beforeAutospacing="0" w:after="0" w:afterAutospacing="0"/>
                    <w:ind w:left="0" w:right="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1E81AFEA">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5</w:t>
                  </w:r>
                </w:p>
              </w:tc>
              <w:tc>
                <w:tcPr>
                  <w:tcW w:w="368" w:type="pct"/>
                  <w:shd w:val="clear" w:color="auto" w:fill="auto"/>
                  <w:noWrap w:val="0"/>
                  <w:tcMar>
                    <w:top w:w="15" w:type="dxa"/>
                    <w:left w:w="15" w:type="dxa"/>
                    <w:bottom w:w="0" w:type="dxa"/>
                    <w:right w:w="15" w:type="dxa"/>
                  </w:tcMar>
                  <w:vAlign w:val="center"/>
                </w:tcPr>
                <w:p w14:paraId="267279DC">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71</w:t>
                  </w:r>
                </w:p>
              </w:tc>
              <w:tc>
                <w:tcPr>
                  <w:tcW w:w="488" w:type="pct"/>
                  <w:noWrap w:val="0"/>
                  <w:tcMar>
                    <w:top w:w="15" w:type="dxa"/>
                    <w:left w:w="15" w:type="dxa"/>
                    <w:bottom w:w="0" w:type="dxa"/>
                    <w:right w:w="15" w:type="dxa"/>
                  </w:tcMar>
                  <w:vAlign w:val="center"/>
                </w:tcPr>
                <w:p w14:paraId="69A709B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10434253">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51</w:t>
                  </w:r>
                </w:p>
              </w:tc>
              <w:tc>
                <w:tcPr>
                  <w:tcW w:w="383" w:type="pct"/>
                  <w:noWrap w:val="0"/>
                  <w:tcMar>
                    <w:top w:w="15" w:type="dxa"/>
                    <w:left w:w="15" w:type="dxa"/>
                    <w:bottom w:w="0" w:type="dxa"/>
                    <w:right w:w="15" w:type="dxa"/>
                  </w:tcMar>
                  <w:vAlign w:val="center"/>
                </w:tcPr>
                <w:p w14:paraId="48B14A0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continue"/>
                  <w:noWrap w:val="0"/>
                  <w:vAlign w:val="center"/>
                </w:tcPr>
                <w:p w14:paraId="4C4A73D1">
                  <w:pPr>
                    <w:pStyle w:val="168"/>
                    <w:keepNext w:val="0"/>
                    <w:keepLines w:val="0"/>
                    <w:suppressLineNumbers w:val="0"/>
                    <w:spacing w:beforeAutospacing="0" w:afterAutospacing="0"/>
                    <w:ind w:left="0" w:right="0"/>
                    <w:rPr>
                      <w:rFonts w:hint="default" w:eastAsia="仿宋"/>
                      <w:color w:val="auto"/>
                      <w:sz w:val="18"/>
                      <w:szCs w:val="18"/>
                    </w:rPr>
                  </w:pPr>
                </w:p>
              </w:tc>
            </w:tr>
            <w:tr w14:paraId="55A43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0738A80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4</w:t>
                  </w:r>
                </w:p>
              </w:tc>
              <w:tc>
                <w:tcPr>
                  <w:tcW w:w="252" w:type="pct"/>
                  <w:shd w:val="clear" w:color="auto" w:fill="auto"/>
                  <w:noWrap w:val="0"/>
                  <w:tcMar>
                    <w:top w:w="15" w:type="dxa"/>
                    <w:left w:w="15" w:type="dxa"/>
                    <w:bottom w:w="0" w:type="dxa"/>
                    <w:right w:w="15" w:type="dxa"/>
                  </w:tcMar>
                  <w:vAlign w:val="center"/>
                </w:tcPr>
                <w:p w14:paraId="54FCA85E">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bidi="ar-SA"/>
                    </w:rPr>
                  </w:pPr>
                  <w:r>
                    <w:rPr>
                      <w:rFonts w:hint="eastAsia" w:ascii="宋体" w:hAnsi="宋体" w:eastAsia="宋体" w:cs="宋体"/>
                      <w:color w:val="auto"/>
                      <w:kern w:val="0"/>
                      <w:sz w:val="18"/>
                      <w:szCs w:val="18"/>
                      <w:lang w:val="en-US" w:eastAsia="zh-CN"/>
                    </w:rPr>
                    <w:t>履带扒谷机</w:t>
                  </w:r>
                </w:p>
              </w:tc>
              <w:tc>
                <w:tcPr>
                  <w:tcW w:w="368" w:type="pct"/>
                  <w:noWrap w:val="0"/>
                  <w:tcMar>
                    <w:top w:w="15" w:type="dxa"/>
                    <w:left w:w="15" w:type="dxa"/>
                    <w:bottom w:w="0" w:type="dxa"/>
                    <w:right w:w="15" w:type="dxa"/>
                  </w:tcMar>
                  <w:vAlign w:val="center"/>
                </w:tcPr>
                <w:p w14:paraId="38F9F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noWrap w:val="0"/>
                  <w:tcMar>
                    <w:top w:w="15" w:type="dxa"/>
                    <w:left w:w="15" w:type="dxa"/>
                    <w:bottom w:w="0" w:type="dxa"/>
                    <w:right w:w="15" w:type="dxa"/>
                  </w:tcMar>
                  <w:vAlign w:val="center"/>
                </w:tcPr>
                <w:p w14:paraId="141A98B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10CE2A6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4691013E">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color w:val="auto"/>
                      <w:kern w:val="0"/>
                      <w:sz w:val="18"/>
                      <w:szCs w:val="18"/>
                      <w:lang w:val="en-US" w:eastAsia="zh-CN"/>
                    </w:rPr>
                    <w:t>83</w:t>
                  </w:r>
                </w:p>
              </w:tc>
              <w:tc>
                <w:tcPr>
                  <w:tcW w:w="162" w:type="pct"/>
                  <w:noWrap/>
                  <w:tcMar>
                    <w:top w:w="15" w:type="dxa"/>
                    <w:left w:w="15" w:type="dxa"/>
                    <w:bottom w:w="0" w:type="dxa"/>
                    <w:right w:w="15" w:type="dxa"/>
                  </w:tcMar>
                  <w:vAlign w:val="center"/>
                </w:tcPr>
                <w:p w14:paraId="0DD7C37C">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color w:val="auto"/>
                      <w:kern w:val="0"/>
                      <w:sz w:val="18"/>
                      <w:szCs w:val="18"/>
                      <w:lang w:val="en-US" w:eastAsia="zh-CN"/>
                    </w:rPr>
                    <w:t>124</w:t>
                  </w:r>
                </w:p>
              </w:tc>
              <w:tc>
                <w:tcPr>
                  <w:tcW w:w="198" w:type="pct"/>
                  <w:noWrap/>
                  <w:tcMar>
                    <w:top w:w="15" w:type="dxa"/>
                    <w:left w:w="15" w:type="dxa"/>
                    <w:bottom w:w="0" w:type="dxa"/>
                    <w:right w:w="15" w:type="dxa"/>
                  </w:tcMar>
                  <w:vAlign w:val="center"/>
                </w:tcPr>
                <w:p w14:paraId="18A165CF">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15DB2BC8">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368" w:type="pct"/>
                  <w:noWrap w:val="0"/>
                  <w:tcMar>
                    <w:top w:w="15" w:type="dxa"/>
                    <w:left w:w="15" w:type="dxa"/>
                    <w:bottom w:w="0" w:type="dxa"/>
                    <w:right w:w="15" w:type="dxa"/>
                  </w:tcMar>
                  <w:vAlign w:val="center"/>
                </w:tcPr>
                <w:p w14:paraId="34E70C15">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48.4</w:t>
                  </w:r>
                </w:p>
              </w:tc>
              <w:tc>
                <w:tcPr>
                  <w:tcW w:w="488" w:type="pct"/>
                  <w:shd w:val="clear" w:color="auto" w:fill="auto"/>
                  <w:noWrap w:val="0"/>
                  <w:tcMar>
                    <w:top w:w="15" w:type="dxa"/>
                    <w:left w:w="15" w:type="dxa"/>
                    <w:bottom w:w="0" w:type="dxa"/>
                    <w:right w:w="15" w:type="dxa"/>
                  </w:tcMar>
                  <w:vAlign w:val="center"/>
                </w:tcPr>
                <w:p w14:paraId="6F3B0EDD">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3E4ED0AF">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28.4</w:t>
                  </w:r>
                </w:p>
              </w:tc>
              <w:tc>
                <w:tcPr>
                  <w:tcW w:w="383" w:type="pct"/>
                  <w:noWrap w:val="0"/>
                  <w:tcMar>
                    <w:top w:w="15" w:type="dxa"/>
                    <w:left w:w="15" w:type="dxa"/>
                    <w:bottom w:w="0" w:type="dxa"/>
                    <w:right w:w="15" w:type="dxa"/>
                  </w:tcMar>
                  <w:vAlign w:val="center"/>
                </w:tcPr>
                <w:p w14:paraId="25D0E031">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restart"/>
                  <w:noWrap w:val="0"/>
                  <w:vAlign w:val="center"/>
                </w:tcPr>
                <w:p w14:paraId="2C2D6AA6">
                  <w:pPr>
                    <w:pStyle w:val="168"/>
                    <w:keepNext w:val="0"/>
                    <w:keepLines w:val="0"/>
                    <w:suppressLineNumbers w:val="0"/>
                    <w:spacing w:beforeAutospacing="0" w:afterAutospacing="0"/>
                    <w:ind w:left="0" w:right="0"/>
                    <w:jc w:val="center"/>
                    <w:rPr>
                      <w:rFonts w:hint="default" w:eastAsia="仿宋"/>
                      <w:color w:val="auto"/>
                      <w:sz w:val="18"/>
                      <w:szCs w:val="18"/>
                      <w:lang w:val="en-US" w:eastAsia="zh-CN"/>
                    </w:rPr>
                  </w:pPr>
                  <w:r>
                    <w:rPr>
                      <w:rFonts w:hint="eastAsia" w:eastAsia="仿宋"/>
                      <w:color w:val="auto"/>
                      <w:sz w:val="18"/>
                      <w:szCs w:val="18"/>
                      <w:lang w:val="en-US" w:eastAsia="zh-CN"/>
                    </w:rPr>
                    <w:t>1200</w:t>
                  </w:r>
                </w:p>
              </w:tc>
            </w:tr>
            <w:tr w14:paraId="6D1D7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32576E04">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5</w:t>
                  </w:r>
                </w:p>
              </w:tc>
              <w:tc>
                <w:tcPr>
                  <w:tcW w:w="252" w:type="pct"/>
                  <w:noWrap w:val="0"/>
                  <w:tcMar>
                    <w:top w:w="15" w:type="dxa"/>
                    <w:left w:w="15" w:type="dxa"/>
                    <w:bottom w:w="0" w:type="dxa"/>
                    <w:right w:w="15" w:type="dxa"/>
                  </w:tcMar>
                  <w:vAlign w:val="center"/>
                </w:tcPr>
                <w:p w14:paraId="614AEEDD">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吸粮机</w:t>
                  </w:r>
                </w:p>
              </w:tc>
              <w:tc>
                <w:tcPr>
                  <w:tcW w:w="368" w:type="pct"/>
                  <w:noWrap w:val="0"/>
                  <w:tcMar>
                    <w:top w:w="15" w:type="dxa"/>
                    <w:left w:w="15" w:type="dxa"/>
                    <w:bottom w:w="0" w:type="dxa"/>
                    <w:right w:w="15" w:type="dxa"/>
                  </w:tcMar>
                  <w:vAlign w:val="center"/>
                </w:tcPr>
                <w:p w14:paraId="726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noWrap w:val="0"/>
                  <w:tcMar>
                    <w:top w:w="15" w:type="dxa"/>
                    <w:left w:w="15" w:type="dxa"/>
                    <w:bottom w:w="0" w:type="dxa"/>
                    <w:right w:w="15" w:type="dxa"/>
                  </w:tcMar>
                  <w:vAlign w:val="center"/>
                </w:tcPr>
                <w:p w14:paraId="2D9AF5A4">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23FB272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61BF60DF">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kern w:val="0"/>
                      <w:sz w:val="18"/>
                      <w:szCs w:val="18"/>
                      <w:lang w:val="en-US" w:eastAsia="zh-CN"/>
                    </w:rPr>
                    <w:t>41</w:t>
                  </w:r>
                </w:p>
              </w:tc>
              <w:tc>
                <w:tcPr>
                  <w:tcW w:w="162" w:type="pct"/>
                  <w:noWrap/>
                  <w:tcMar>
                    <w:top w:w="15" w:type="dxa"/>
                    <w:left w:w="15" w:type="dxa"/>
                    <w:bottom w:w="0" w:type="dxa"/>
                    <w:right w:w="15" w:type="dxa"/>
                  </w:tcMar>
                  <w:vAlign w:val="center"/>
                </w:tcPr>
                <w:p w14:paraId="5B48AEC2">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kern w:val="0"/>
                      <w:sz w:val="18"/>
                      <w:szCs w:val="18"/>
                      <w:lang w:val="en-US" w:eastAsia="zh-CN"/>
                    </w:rPr>
                    <w:t>263</w:t>
                  </w:r>
                </w:p>
              </w:tc>
              <w:tc>
                <w:tcPr>
                  <w:tcW w:w="198" w:type="pct"/>
                  <w:noWrap/>
                  <w:tcMar>
                    <w:top w:w="15" w:type="dxa"/>
                    <w:left w:w="15" w:type="dxa"/>
                    <w:bottom w:w="0" w:type="dxa"/>
                    <w:right w:w="15" w:type="dxa"/>
                  </w:tcMar>
                  <w:vAlign w:val="center"/>
                </w:tcPr>
                <w:p w14:paraId="5C41CA1A">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343C046C">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368" w:type="pct"/>
                  <w:shd w:val="clear" w:color="auto" w:fill="auto"/>
                  <w:noWrap w:val="0"/>
                  <w:tcMar>
                    <w:top w:w="15" w:type="dxa"/>
                    <w:left w:w="15" w:type="dxa"/>
                    <w:bottom w:w="0" w:type="dxa"/>
                    <w:right w:w="15" w:type="dxa"/>
                  </w:tcMar>
                  <w:vAlign w:val="center"/>
                </w:tcPr>
                <w:p w14:paraId="3C6E7666">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48.4</w:t>
                  </w:r>
                </w:p>
              </w:tc>
              <w:tc>
                <w:tcPr>
                  <w:tcW w:w="488" w:type="pct"/>
                  <w:shd w:val="clear" w:color="auto" w:fill="auto"/>
                  <w:noWrap w:val="0"/>
                  <w:tcMar>
                    <w:top w:w="15" w:type="dxa"/>
                    <w:left w:w="15" w:type="dxa"/>
                    <w:bottom w:w="0" w:type="dxa"/>
                    <w:right w:w="15" w:type="dxa"/>
                  </w:tcMar>
                  <w:vAlign w:val="center"/>
                </w:tcPr>
                <w:p w14:paraId="50870603">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7BAB4D3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28.4</w:t>
                  </w:r>
                </w:p>
              </w:tc>
              <w:tc>
                <w:tcPr>
                  <w:tcW w:w="383" w:type="pct"/>
                  <w:noWrap w:val="0"/>
                  <w:tcMar>
                    <w:top w:w="15" w:type="dxa"/>
                    <w:left w:w="15" w:type="dxa"/>
                    <w:bottom w:w="0" w:type="dxa"/>
                    <w:right w:w="15" w:type="dxa"/>
                  </w:tcMar>
                  <w:vAlign w:val="center"/>
                </w:tcPr>
                <w:p w14:paraId="3B83DC4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continue"/>
                  <w:noWrap w:val="0"/>
                  <w:vAlign w:val="center"/>
                </w:tcPr>
                <w:p w14:paraId="5BC41954">
                  <w:pPr>
                    <w:pStyle w:val="168"/>
                    <w:keepNext w:val="0"/>
                    <w:keepLines w:val="0"/>
                    <w:suppressLineNumbers w:val="0"/>
                    <w:spacing w:beforeAutospacing="0" w:afterAutospacing="0"/>
                    <w:ind w:left="0" w:right="0"/>
                    <w:rPr>
                      <w:rFonts w:hint="default" w:eastAsia="仿宋"/>
                      <w:color w:val="auto"/>
                      <w:sz w:val="18"/>
                      <w:szCs w:val="18"/>
                    </w:rPr>
                  </w:pPr>
                </w:p>
              </w:tc>
            </w:tr>
            <w:tr w14:paraId="64A24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4A9CD10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6</w:t>
                  </w:r>
                </w:p>
              </w:tc>
              <w:tc>
                <w:tcPr>
                  <w:tcW w:w="252" w:type="pct"/>
                  <w:shd w:val="clear" w:color="auto" w:fill="auto"/>
                  <w:noWrap w:val="0"/>
                  <w:tcMar>
                    <w:top w:w="15" w:type="dxa"/>
                    <w:left w:w="15" w:type="dxa"/>
                    <w:bottom w:w="0" w:type="dxa"/>
                    <w:right w:w="15" w:type="dxa"/>
                  </w:tcMar>
                  <w:vAlign w:val="center"/>
                </w:tcPr>
                <w:p w14:paraId="4371458F">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072BF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noWrap w:val="0"/>
                  <w:tcMar>
                    <w:top w:w="15" w:type="dxa"/>
                    <w:left w:w="15" w:type="dxa"/>
                    <w:bottom w:w="0" w:type="dxa"/>
                    <w:right w:w="15" w:type="dxa"/>
                  </w:tcMar>
                  <w:vAlign w:val="center"/>
                </w:tcPr>
                <w:p w14:paraId="7FA1700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6075B9D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731EE748">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26</w:t>
                  </w:r>
                </w:p>
              </w:tc>
              <w:tc>
                <w:tcPr>
                  <w:tcW w:w="162" w:type="pct"/>
                  <w:noWrap/>
                  <w:tcMar>
                    <w:top w:w="15" w:type="dxa"/>
                    <w:left w:w="15" w:type="dxa"/>
                    <w:bottom w:w="0" w:type="dxa"/>
                    <w:right w:w="15" w:type="dxa"/>
                  </w:tcMar>
                  <w:vAlign w:val="center"/>
                </w:tcPr>
                <w:p w14:paraId="2C3ACD9F">
                  <w:pPr>
                    <w:keepNext w:val="0"/>
                    <w:keepLines w:val="0"/>
                    <w:widowControl/>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36</w:t>
                  </w:r>
                </w:p>
              </w:tc>
              <w:tc>
                <w:tcPr>
                  <w:tcW w:w="198" w:type="pct"/>
                  <w:noWrap/>
                  <w:tcMar>
                    <w:top w:w="15" w:type="dxa"/>
                    <w:left w:w="15" w:type="dxa"/>
                    <w:bottom w:w="0" w:type="dxa"/>
                    <w:right w:w="15" w:type="dxa"/>
                  </w:tcMar>
                  <w:vAlign w:val="center"/>
                </w:tcPr>
                <w:p w14:paraId="38415A7C">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008E2E04">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24</w:t>
                  </w:r>
                </w:p>
              </w:tc>
              <w:tc>
                <w:tcPr>
                  <w:tcW w:w="368" w:type="pct"/>
                  <w:noWrap w:val="0"/>
                  <w:tcMar>
                    <w:top w:w="15" w:type="dxa"/>
                    <w:left w:w="15" w:type="dxa"/>
                    <w:bottom w:w="0" w:type="dxa"/>
                    <w:right w:w="15" w:type="dxa"/>
                  </w:tcMar>
                  <w:vAlign w:val="center"/>
                </w:tcPr>
                <w:p w14:paraId="16BC128B">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168E561B">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shd w:val="clear" w:color="auto" w:fill="auto"/>
                  <w:noWrap w:val="0"/>
                  <w:tcMar>
                    <w:top w:w="15" w:type="dxa"/>
                    <w:left w:w="15" w:type="dxa"/>
                    <w:bottom w:w="0" w:type="dxa"/>
                    <w:right w:w="15" w:type="dxa"/>
                  </w:tcMar>
                  <w:vAlign w:val="center"/>
                </w:tcPr>
                <w:p w14:paraId="392C39E9">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28E4814F">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continue"/>
                  <w:noWrap w:val="0"/>
                  <w:vAlign w:val="center"/>
                </w:tcPr>
                <w:p w14:paraId="42E42A60">
                  <w:pPr>
                    <w:pStyle w:val="168"/>
                    <w:keepNext w:val="0"/>
                    <w:keepLines w:val="0"/>
                    <w:suppressLineNumbers w:val="0"/>
                    <w:spacing w:beforeAutospacing="0" w:afterAutospacing="0"/>
                    <w:ind w:left="0" w:right="0"/>
                    <w:rPr>
                      <w:rFonts w:hint="default" w:eastAsia="仿宋"/>
                      <w:color w:val="auto"/>
                      <w:sz w:val="18"/>
                      <w:szCs w:val="18"/>
                    </w:rPr>
                  </w:pPr>
                </w:p>
              </w:tc>
            </w:tr>
            <w:tr w14:paraId="27295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2A5091F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7</w:t>
                  </w:r>
                </w:p>
              </w:tc>
              <w:tc>
                <w:tcPr>
                  <w:tcW w:w="252" w:type="pct"/>
                  <w:shd w:val="clear" w:color="auto" w:fill="auto"/>
                  <w:noWrap w:val="0"/>
                  <w:tcMar>
                    <w:top w:w="15" w:type="dxa"/>
                    <w:left w:w="15" w:type="dxa"/>
                    <w:bottom w:w="0" w:type="dxa"/>
                    <w:right w:w="15" w:type="dxa"/>
                  </w:tcMar>
                  <w:vAlign w:val="center"/>
                </w:tcPr>
                <w:p w14:paraId="29031822">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338157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noWrap w:val="0"/>
                  <w:tcMar>
                    <w:top w:w="15" w:type="dxa"/>
                    <w:left w:w="15" w:type="dxa"/>
                    <w:bottom w:w="0" w:type="dxa"/>
                    <w:right w:w="15" w:type="dxa"/>
                  </w:tcMar>
                  <w:vAlign w:val="center"/>
                </w:tcPr>
                <w:p w14:paraId="4B8FD772">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02967D8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36294E61">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25</w:t>
                  </w:r>
                </w:p>
              </w:tc>
              <w:tc>
                <w:tcPr>
                  <w:tcW w:w="162" w:type="pct"/>
                  <w:noWrap/>
                  <w:tcMar>
                    <w:top w:w="15" w:type="dxa"/>
                    <w:left w:w="15" w:type="dxa"/>
                    <w:bottom w:w="0" w:type="dxa"/>
                    <w:right w:w="15" w:type="dxa"/>
                  </w:tcMar>
                  <w:vAlign w:val="center"/>
                </w:tcPr>
                <w:p w14:paraId="72626CFB">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119</w:t>
                  </w:r>
                </w:p>
              </w:tc>
              <w:tc>
                <w:tcPr>
                  <w:tcW w:w="198" w:type="pct"/>
                  <w:noWrap/>
                  <w:tcMar>
                    <w:top w:w="15" w:type="dxa"/>
                    <w:left w:w="15" w:type="dxa"/>
                    <w:bottom w:w="0" w:type="dxa"/>
                    <w:right w:w="15" w:type="dxa"/>
                  </w:tcMar>
                  <w:vAlign w:val="center"/>
                </w:tcPr>
                <w:p w14:paraId="52A1E228">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0516A5CC">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24</w:t>
                  </w:r>
                </w:p>
              </w:tc>
              <w:tc>
                <w:tcPr>
                  <w:tcW w:w="368" w:type="pct"/>
                  <w:noWrap w:val="0"/>
                  <w:tcMar>
                    <w:top w:w="15" w:type="dxa"/>
                    <w:left w:w="15" w:type="dxa"/>
                    <w:bottom w:w="0" w:type="dxa"/>
                    <w:right w:w="15" w:type="dxa"/>
                  </w:tcMar>
                  <w:vAlign w:val="center"/>
                </w:tcPr>
                <w:p w14:paraId="1772A3D7">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3C6F6A89">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shd w:val="clear" w:color="auto" w:fill="auto"/>
                  <w:noWrap w:val="0"/>
                  <w:tcMar>
                    <w:top w:w="15" w:type="dxa"/>
                    <w:left w:w="15" w:type="dxa"/>
                    <w:bottom w:w="0" w:type="dxa"/>
                    <w:right w:w="15" w:type="dxa"/>
                  </w:tcMar>
                  <w:vAlign w:val="center"/>
                </w:tcPr>
                <w:p w14:paraId="18C3D69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723EAF45">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rPr>
                  </w:pPr>
                  <w:r>
                    <w:rPr>
                      <w:rFonts w:hint="eastAsia" w:ascii="宋体" w:hAnsi="宋体" w:cs="宋体"/>
                      <w:color w:val="auto"/>
                      <w:sz w:val="18"/>
                      <w:szCs w:val="18"/>
                      <w:lang w:val="en-US" w:eastAsia="zh-CN"/>
                    </w:rPr>
                    <w:t>1</w:t>
                  </w:r>
                </w:p>
              </w:tc>
              <w:tc>
                <w:tcPr>
                  <w:tcW w:w="377" w:type="pct"/>
                  <w:vMerge w:val="continue"/>
                  <w:noWrap w:val="0"/>
                  <w:vAlign w:val="center"/>
                </w:tcPr>
                <w:p w14:paraId="1A16ECC9">
                  <w:pPr>
                    <w:pStyle w:val="168"/>
                    <w:keepNext w:val="0"/>
                    <w:keepLines w:val="0"/>
                    <w:suppressLineNumbers w:val="0"/>
                    <w:spacing w:beforeAutospacing="0" w:afterAutospacing="0"/>
                    <w:ind w:left="0" w:right="0"/>
                    <w:rPr>
                      <w:rFonts w:hint="default" w:eastAsia="仿宋"/>
                      <w:color w:val="auto"/>
                      <w:sz w:val="18"/>
                      <w:szCs w:val="18"/>
                    </w:rPr>
                  </w:pPr>
                </w:p>
              </w:tc>
            </w:tr>
            <w:tr w14:paraId="1E3FD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6AC5460D">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8</w:t>
                  </w:r>
                </w:p>
              </w:tc>
              <w:tc>
                <w:tcPr>
                  <w:tcW w:w="252" w:type="pct"/>
                  <w:shd w:val="clear" w:color="auto" w:fill="auto"/>
                  <w:noWrap w:val="0"/>
                  <w:tcMar>
                    <w:top w:w="15" w:type="dxa"/>
                    <w:left w:w="15" w:type="dxa"/>
                    <w:bottom w:w="0" w:type="dxa"/>
                    <w:right w:w="15" w:type="dxa"/>
                  </w:tcMar>
                  <w:vAlign w:val="center"/>
                </w:tcPr>
                <w:p w14:paraId="464E7E45">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5F2580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589E4A5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619C46F3">
                  <w:pPr>
                    <w:pStyle w:val="168"/>
                    <w:keepNext w:val="0"/>
                    <w:keepLines w:val="0"/>
                    <w:suppressLineNumbers w:val="0"/>
                    <w:spacing w:beforeAutospacing="0" w:afterAutospacing="0"/>
                    <w:ind w:left="0" w:right="0"/>
                    <w:jc w:val="center"/>
                    <w:outlineLvl w:val="9"/>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0A814537">
                  <w:pPr>
                    <w:pStyle w:val="168"/>
                    <w:keepNext w:val="0"/>
                    <w:keepLines w:val="0"/>
                    <w:suppressLineNumbers w:val="0"/>
                    <w:spacing w:beforeAutospacing="0" w:afterAutospacing="0"/>
                    <w:ind w:left="0" w:right="0"/>
                    <w:jc w:val="center"/>
                    <w:outlineLvl w:val="9"/>
                    <w:rPr>
                      <w:rFonts w:hint="default" w:ascii="宋体" w:hAnsi="宋体" w:eastAsia="宋体" w:cs="宋体"/>
                      <w:b w:val="0"/>
                      <w:bCs/>
                      <w:color w:val="auto"/>
                      <w:sz w:val="18"/>
                      <w:szCs w:val="18"/>
                      <w:lang w:val="en-US" w:eastAsia="zh-CN"/>
                    </w:rPr>
                  </w:pPr>
                  <w:r>
                    <w:rPr>
                      <w:rFonts w:hint="eastAsia" w:ascii="宋体" w:hAnsi="宋体" w:cs="宋体"/>
                      <w:b w:val="0"/>
                      <w:bCs/>
                      <w:color w:val="auto"/>
                      <w:sz w:val="18"/>
                      <w:szCs w:val="18"/>
                      <w:lang w:val="en-US" w:eastAsia="zh-CN"/>
                    </w:rPr>
                    <w:t>90</w:t>
                  </w:r>
                </w:p>
              </w:tc>
              <w:tc>
                <w:tcPr>
                  <w:tcW w:w="162" w:type="pct"/>
                  <w:noWrap/>
                  <w:tcMar>
                    <w:top w:w="15" w:type="dxa"/>
                    <w:left w:w="15" w:type="dxa"/>
                    <w:bottom w:w="0" w:type="dxa"/>
                    <w:right w:w="15" w:type="dxa"/>
                  </w:tcMar>
                  <w:vAlign w:val="center"/>
                </w:tcPr>
                <w:p w14:paraId="629E977D">
                  <w:pPr>
                    <w:pStyle w:val="168"/>
                    <w:keepNext w:val="0"/>
                    <w:keepLines w:val="0"/>
                    <w:suppressLineNumbers w:val="0"/>
                    <w:spacing w:beforeAutospacing="0" w:afterAutospacing="0"/>
                    <w:ind w:left="0" w:right="0"/>
                    <w:jc w:val="center"/>
                    <w:outlineLvl w:val="9"/>
                    <w:rPr>
                      <w:rFonts w:hint="default" w:ascii="宋体" w:hAnsi="宋体" w:eastAsia="宋体" w:cs="宋体"/>
                      <w:b w:val="0"/>
                      <w:bCs/>
                      <w:color w:val="auto"/>
                      <w:sz w:val="18"/>
                      <w:szCs w:val="18"/>
                      <w:lang w:val="en-US" w:eastAsia="zh-CN"/>
                    </w:rPr>
                  </w:pPr>
                  <w:r>
                    <w:rPr>
                      <w:rFonts w:hint="eastAsia" w:ascii="宋体" w:hAnsi="宋体" w:cs="宋体"/>
                      <w:b w:val="0"/>
                      <w:bCs/>
                      <w:color w:val="auto"/>
                      <w:sz w:val="18"/>
                      <w:szCs w:val="18"/>
                      <w:lang w:val="en-US" w:eastAsia="zh-CN"/>
                    </w:rPr>
                    <w:t>34</w:t>
                  </w:r>
                </w:p>
              </w:tc>
              <w:tc>
                <w:tcPr>
                  <w:tcW w:w="198" w:type="pct"/>
                  <w:noWrap/>
                  <w:tcMar>
                    <w:top w:w="15" w:type="dxa"/>
                    <w:left w:w="15" w:type="dxa"/>
                    <w:bottom w:w="0" w:type="dxa"/>
                    <w:right w:w="15" w:type="dxa"/>
                  </w:tcMar>
                  <w:vAlign w:val="center"/>
                </w:tcPr>
                <w:p w14:paraId="24F6EF2D">
                  <w:pPr>
                    <w:pStyle w:val="168"/>
                    <w:keepNext w:val="0"/>
                    <w:keepLines w:val="0"/>
                    <w:suppressLineNumbers w:val="0"/>
                    <w:spacing w:beforeAutospacing="0" w:afterAutospacing="0"/>
                    <w:ind w:left="0" w:right="0"/>
                    <w:jc w:val="center"/>
                    <w:outlineLvl w:val="9"/>
                    <w:rPr>
                      <w:rFonts w:hint="default" w:ascii="宋体" w:hAnsi="宋体" w:eastAsia="宋体" w:cs="宋体"/>
                      <w:b w:val="0"/>
                      <w:bCs/>
                      <w:color w:val="auto"/>
                      <w:sz w:val="18"/>
                      <w:szCs w:val="18"/>
                      <w:lang w:val="en-US" w:eastAsia="zh-CN"/>
                    </w:rPr>
                  </w:pPr>
                  <w:r>
                    <w:rPr>
                      <w:rFonts w:hint="eastAsia" w:ascii="宋体" w:hAnsi="宋体" w:cs="宋体"/>
                      <w:b w:val="0"/>
                      <w:bCs/>
                      <w:color w:val="auto"/>
                      <w:sz w:val="18"/>
                      <w:szCs w:val="18"/>
                      <w:lang w:val="en-US" w:eastAsia="zh-CN"/>
                    </w:rPr>
                    <w:t>1</w:t>
                  </w:r>
                </w:p>
              </w:tc>
              <w:tc>
                <w:tcPr>
                  <w:tcW w:w="268" w:type="pct"/>
                  <w:shd w:val="clear" w:color="auto" w:fill="auto"/>
                  <w:noWrap w:val="0"/>
                  <w:tcMar>
                    <w:top w:w="15" w:type="dxa"/>
                    <w:left w:w="15" w:type="dxa"/>
                    <w:bottom w:w="0" w:type="dxa"/>
                    <w:right w:w="15" w:type="dxa"/>
                  </w:tcMar>
                  <w:vAlign w:val="center"/>
                </w:tcPr>
                <w:p w14:paraId="7D17EBA4">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24</w:t>
                  </w:r>
                </w:p>
              </w:tc>
              <w:tc>
                <w:tcPr>
                  <w:tcW w:w="368" w:type="pct"/>
                  <w:shd w:val="clear" w:color="auto" w:fill="auto"/>
                  <w:noWrap w:val="0"/>
                  <w:tcMar>
                    <w:top w:w="15" w:type="dxa"/>
                    <w:left w:w="15" w:type="dxa"/>
                    <w:bottom w:w="0" w:type="dxa"/>
                    <w:right w:w="15" w:type="dxa"/>
                  </w:tcMar>
                  <w:vAlign w:val="center"/>
                </w:tcPr>
                <w:p w14:paraId="10B6D5EC">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06FEB1E5">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shd w:val="clear" w:color="auto" w:fill="auto"/>
                  <w:noWrap w:val="0"/>
                  <w:tcMar>
                    <w:top w:w="15" w:type="dxa"/>
                    <w:left w:w="15" w:type="dxa"/>
                    <w:bottom w:w="0" w:type="dxa"/>
                    <w:right w:w="15" w:type="dxa"/>
                  </w:tcMar>
                  <w:vAlign w:val="center"/>
                </w:tcPr>
                <w:p w14:paraId="37BE4E6F">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326E17DC">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2C9F08B6">
                  <w:pPr>
                    <w:pStyle w:val="168"/>
                    <w:keepNext w:val="0"/>
                    <w:keepLines w:val="0"/>
                    <w:suppressLineNumbers w:val="0"/>
                    <w:spacing w:beforeAutospacing="0" w:afterAutospacing="0"/>
                    <w:ind w:left="0" w:right="0"/>
                    <w:rPr>
                      <w:rFonts w:hint="default" w:eastAsia="仿宋"/>
                      <w:color w:val="auto"/>
                      <w:sz w:val="18"/>
                      <w:szCs w:val="18"/>
                    </w:rPr>
                  </w:pPr>
                </w:p>
              </w:tc>
            </w:tr>
            <w:tr w14:paraId="7E5B5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67" w:type="pct"/>
                  <w:noWrap w:val="0"/>
                  <w:tcMar>
                    <w:top w:w="15" w:type="dxa"/>
                    <w:left w:w="15" w:type="dxa"/>
                    <w:bottom w:w="0" w:type="dxa"/>
                    <w:right w:w="15" w:type="dxa"/>
                  </w:tcMar>
                  <w:vAlign w:val="center"/>
                </w:tcPr>
                <w:p w14:paraId="32B69AE5">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9</w:t>
                  </w:r>
                </w:p>
              </w:tc>
              <w:tc>
                <w:tcPr>
                  <w:tcW w:w="252" w:type="pct"/>
                  <w:shd w:val="clear" w:color="auto" w:fill="auto"/>
                  <w:noWrap w:val="0"/>
                  <w:tcMar>
                    <w:top w:w="15" w:type="dxa"/>
                    <w:left w:w="15" w:type="dxa"/>
                    <w:bottom w:w="0" w:type="dxa"/>
                    <w:right w:w="15" w:type="dxa"/>
                  </w:tcMar>
                  <w:vAlign w:val="center"/>
                </w:tcPr>
                <w:p w14:paraId="10DF7D29">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10D0D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1E3D6FF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23B1496D">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758A2E83">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164</w:t>
                  </w:r>
                </w:p>
              </w:tc>
              <w:tc>
                <w:tcPr>
                  <w:tcW w:w="162" w:type="pct"/>
                  <w:noWrap/>
                  <w:tcMar>
                    <w:top w:w="15" w:type="dxa"/>
                    <w:left w:w="15" w:type="dxa"/>
                    <w:bottom w:w="0" w:type="dxa"/>
                    <w:right w:w="15" w:type="dxa"/>
                  </w:tcMar>
                  <w:vAlign w:val="center"/>
                </w:tcPr>
                <w:p w14:paraId="37720B10">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39</w:t>
                  </w:r>
                </w:p>
              </w:tc>
              <w:tc>
                <w:tcPr>
                  <w:tcW w:w="198" w:type="pct"/>
                  <w:noWrap/>
                  <w:tcMar>
                    <w:top w:w="15" w:type="dxa"/>
                    <w:left w:w="15" w:type="dxa"/>
                    <w:bottom w:w="0" w:type="dxa"/>
                    <w:right w:w="15" w:type="dxa"/>
                  </w:tcMar>
                  <w:vAlign w:val="center"/>
                </w:tcPr>
                <w:p w14:paraId="2AE30A2F">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329BAED9">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24</w:t>
                  </w:r>
                </w:p>
              </w:tc>
              <w:tc>
                <w:tcPr>
                  <w:tcW w:w="368" w:type="pct"/>
                  <w:shd w:val="clear" w:color="auto" w:fill="auto"/>
                  <w:noWrap w:val="0"/>
                  <w:tcMar>
                    <w:top w:w="15" w:type="dxa"/>
                    <w:left w:w="15" w:type="dxa"/>
                    <w:bottom w:w="0" w:type="dxa"/>
                    <w:right w:w="15" w:type="dxa"/>
                  </w:tcMar>
                  <w:vAlign w:val="center"/>
                </w:tcPr>
                <w:p w14:paraId="7D89E355">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369FEC22">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shd w:val="clear" w:color="auto" w:fill="auto"/>
                  <w:noWrap w:val="0"/>
                  <w:tcMar>
                    <w:top w:w="15" w:type="dxa"/>
                    <w:left w:w="15" w:type="dxa"/>
                    <w:bottom w:w="0" w:type="dxa"/>
                    <w:right w:w="15" w:type="dxa"/>
                  </w:tcMar>
                  <w:vAlign w:val="center"/>
                </w:tcPr>
                <w:p w14:paraId="7DC6BF62">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623BFBD4">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0D10F0FE">
                  <w:pPr>
                    <w:pStyle w:val="168"/>
                    <w:keepNext w:val="0"/>
                    <w:keepLines w:val="0"/>
                    <w:suppressLineNumbers w:val="0"/>
                    <w:spacing w:beforeAutospacing="0" w:afterAutospacing="0"/>
                    <w:ind w:left="0" w:right="0"/>
                    <w:rPr>
                      <w:rFonts w:hint="default" w:eastAsia="仿宋"/>
                      <w:color w:val="auto"/>
                      <w:sz w:val="18"/>
                      <w:szCs w:val="18"/>
                    </w:rPr>
                  </w:pPr>
                </w:p>
              </w:tc>
            </w:tr>
            <w:tr w14:paraId="51E63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2C6FC3B1">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10</w:t>
                  </w:r>
                </w:p>
              </w:tc>
              <w:tc>
                <w:tcPr>
                  <w:tcW w:w="252" w:type="pct"/>
                  <w:shd w:val="clear" w:color="auto" w:fill="auto"/>
                  <w:noWrap w:val="0"/>
                  <w:tcMar>
                    <w:top w:w="15" w:type="dxa"/>
                    <w:left w:w="15" w:type="dxa"/>
                    <w:bottom w:w="0" w:type="dxa"/>
                    <w:right w:w="15" w:type="dxa"/>
                  </w:tcMar>
                  <w:vAlign w:val="center"/>
                </w:tcPr>
                <w:p w14:paraId="17A19ED9">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3F125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73221274">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73CB4C88">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34513606">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234</w:t>
                  </w:r>
                </w:p>
              </w:tc>
              <w:tc>
                <w:tcPr>
                  <w:tcW w:w="162" w:type="pct"/>
                  <w:noWrap/>
                  <w:tcMar>
                    <w:top w:w="15" w:type="dxa"/>
                    <w:left w:w="15" w:type="dxa"/>
                    <w:bottom w:w="0" w:type="dxa"/>
                    <w:right w:w="15" w:type="dxa"/>
                  </w:tcMar>
                  <w:vAlign w:val="center"/>
                </w:tcPr>
                <w:p w14:paraId="2964E362">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45</w:t>
                  </w:r>
                </w:p>
              </w:tc>
              <w:tc>
                <w:tcPr>
                  <w:tcW w:w="198" w:type="pct"/>
                  <w:noWrap/>
                  <w:tcMar>
                    <w:top w:w="15" w:type="dxa"/>
                    <w:left w:w="15" w:type="dxa"/>
                    <w:bottom w:w="0" w:type="dxa"/>
                    <w:right w:w="15" w:type="dxa"/>
                  </w:tcMar>
                  <w:vAlign w:val="center"/>
                </w:tcPr>
                <w:p w14:paraId="7CFA9392">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097AB526">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24</w:t>
                  </w:r>
                </w:p>
              </w:tc>
              <w:tc>
                <w:tcPr>
                  <w:tcW w:w="368" w:type="pct"/>
                  <w:shd w:val="clear" w:color="auto" w:fill="auto"/>
                  <w:noWrap w:val="0"/>
                  <w:tcMar>
                    <w:top w:w="15" w:type="dxa"/>
                    <w:left w:w="15" w:type="dxa"/>
                    <w:bottom w:w="0" w:type="dxa"/>
                    <w:right w:w="15" w:type="dxa"/>
                  </w:tcMar>
                  <w:vAlign w:val="center"/>
                </w:tcPr>
                <w:p w14:paraId="4566FB64">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722478E8">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1AF9226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71728974">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4E9A9CDE">
                  <w:pPr>
                    <w:pStyle w:val="168"/>
                    <w:keepNext w:val="0"/>
                    <w:keepLines w:val="0"/>
                    <w:suppressLineNumbers w:val="0"/>
                    <w:spacing w:beforeAutospacing="0" w:afterAutospacing="0"/>
                    <w:ind w:left="0" w:right="0"/>
                    <w:rPr>
                      <w:rFonts w:hint="default" w:eastAsia="仿宋"/>
                      <w:color w:val="auto"/>
                      <w:sz w:val="18"/>
                      <w:szCs w:val="18"/>
                    </w:rPr>
                  </w:pPr>
                </w:p>
              </w:tc>
            </w:tr>
            <w:tr w14:paraId="11464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57B9949E">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11</w:t>
                  </w:r>
                </w:p>
              </w:tc>
              <w:tc>
                <w:tcPr>
                  <w:tcW w:w="252" w:type="pct"/>
                  <w:shd w:val="clear" w:color="auto" w:fill="auto"/>
                  <w:noWrap w:val="0"/>
                  <w:tcMar>
                    <w:top w:w="15" w:type="dxa"/>
                    <w:left w:w="15" w:type="dxa"/>
                    <w:bottom w:w="0" w:type="dxa"/>
                    <w:right w:w="15" w:type="dxa"/>
                  </w:tcMar>
                  <w:vAlign w:val="center"/>
                </w:tcPr>
                <w:p w14:paraId="5B74C712">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36AAB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1070E9AF">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10C4F1F4">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noWrap/>
                  <w:tcMar>
                    <w:top w:w="15" w:type="dxa"/>
                    <w:left w:w="15" w:type="dxa"/>
                    <w:bottom w:w="0" w:type="dxa"/>
                    <w:right w:w="15" w:type="dxa"/>
                  </w:tcMar>
                  <w:vAlign w:val="center"/>
                </w:tcPr>
                <w:p w14:paraId="1A56EBBC">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231</w:t>
                  </w:r>
                </w:p>
              </w:tc>
              <w:tc>
                <w:tcPr>
                  <w:tcW w:w="162" w:type="pct"/>
                  <w:noWrap/>
                  <w:tcMar>
                    <w:top w:w="15" w:type="dxa"/>
                    <w:left w:w="15" w:type="dxa"/>
                    <w:bottom w:w="0" w:type="dxa"/>
                    <w:right w:w="15" w:type="dxa"/>
                  </w:tcMar>
                  <w:vAlign w:val="center"/>
                </w:tcPr>
                <w:p w14:paraId="78022BCD">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115</w:t>
                  </w:r>
                </w:p>
              </w:tc>
              <w:tc>
                <w:tcPr>
                  <w:tcW w:w="198" w:type="pct"/>
                  <w:noWrap/>
                  <w:tcMar>
                    <w:top w:w="15" w:type="dxa"/>
                    <w:left w:w="15" w:type="dxa"/>
                    <w:bottom w:w="0" w:type="dxa"/>
                    <w:right w:w="15" w:type="dxa"/>
                  </w:tcMar>
                  <w:vAlign w:val="center"/>
                </w:tcPr>
                <w:p w14:paraId="3DD1E348">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36312CE2">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24</w:t>
                  </w:r>
                </w:p>
              </w:tc>
              <w:tc>
                <w:tcPr>
                  <w:tcW w:w="368" w:type="pct"/>
                  <w:shd w:val="clear" w:color="auto" w:fill="auto"/>
                  <w:noWrap w:val="0"/>
                  <w:tcMar>
                    <w:top w:w="15" w:type="dxa"/>
                    <w:left w:w="15" w:type="dxa"/>
                    <w:bottom w:w="0" w:type="dxa"/>
                    <w:right w:w="15" w:type="dxa"/>
                  </w:tcMar>
                  <w:vAlign w:val="center"/>
                </w:tcPr>
                <w:p w14:paraId="28851E5D">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42.4</w:t>
                  </w:r>
                </w:p>
              </w:tc>
              <w:tc>
                <w:tcPr>
                  <w:tcW w:w="488" w:type="pct"/>
                  <w:shd w:val="clear" w:color="auto" w:fill="auto"/>
                  <w:noWrap w:val="0"/>
                  <w:tcMar>
                    <w:top w:w="15" w:type="dxa"/>
                    <w:left w:w="15" w:type="dxa"/>
                    <w:bottom w:w="0" w:type="dxa"/>
                    <w:right w:w="15" w:type="dxa"/>
                  </w:tcMar>
                  <w:vAlign w:val="center"/>
                </w:tcPr>
                <w:p w14:paraId="1738A83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73D8D118">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42.4</w:t>
                  </w:r>
                </w:p>
              </w:tc>
              <w:tc>
                <w:tcPr>
                  <w:tcW w:w="383" w:type="pct"/>
                  <w:noWrap w:val="0"/>
                  <w:tcMar>
                    <w:top w:w="15" w:type="dxa"/>
                    <w:left w:w="15" w:type="dxa"/>
                    <w:bottom w:w="0" w:type="dxa"/>
                    <w:right w:w="15" w:type="dxa"/>
                  </w:tcMar>
                  <w:vAlign w:val="center"/>
                </w:tcPr>
                <w:p w14:paraId="5E539742">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26602556">
                  <w:pPr>
                    <w:pStyle w:val="168"/>
                    <w:keepNext w:val="0"/>
                    <w:keepLines w:val="0"/>
                    <w:suppressLineNumbers w:val="0"/>
                    <w:spacing w:beforeAutospacing="0" w:afterAutospacing="0"/>
                    <w:ind w:left="0" w:right="0"/>
                    <w:rPr>
                      <w:rFonts w:hint="default" w:eastAsia="仿宋"/>
                      <w:color w:val="auto"/>
                      <w:sz w:val="18"/>
                      <w:szCs w:val="18"/>
                    </w:rPr>
                  </w:pPr>
                </w:p>
              </w:tc>
            </w:tr>
            <w:tr w14:paraId="2E37D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67F913CF">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252" w:type="pct"/>
                  <w:shd w:val="clear" w:color="auto" w:fill="auto"/>
                  <w:noWrap w:val="0"/>
                  <w:tcMar>
                    <w:top w:w="15" w:type="dxa"/>
                    <w:left w:w="15" w:type="dxa"/>
                    <w:bottom w:w="0" w:type="dxa"/>
                    <w:right w:w="15" w:type="dxa"/>
                  </w:tcMar>
                  <w:vAlign w:val="center"/>
                </w:tcPr>
                <w:p w14:paraId="2CFAE07E">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08E7BB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635C551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595A67F7">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shd w:val="clear" w:color="auto" w:fill="auto"/>
                  <w:noWrap/>
                  <w:tcMar>
                    <w:top w:w="15" w:type="dxa"/>
                    <w:left w:w="15" w:type="dxa"/>
                    <w:bottom w:w="0" w:type="dxa"/>
                    <w:right w:w="15" w:type="dxa"/>
                  </w:tcMar>
                  <w:vAlign w:val="center"/>
                </w:tcPr>
                <w:p w14:paraId="5D648473">
                  <w:pPr>
                    <w:keepNext w:val="0"/>
                    <w:keepLines w:val="0"/>
                    <w:suppressLineNumbers w:val="0"/>
                    <w:spacing w:before="0" w:beforeAutospacing="0" w:after="0" w:afterAutospacing="0"/>
                    <w:ind w:left="0" w:leftChars="0" w:right="0" w:right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20</w:t>
                  </w:r>
                </w:p>
              </w:tc>
              <w:tc>
                <w:tcPr>
                  <w:tcW w:w="162" w:type="pct"/>
                  <w:noWrap/>
                  <w:tcMar>
                    <w:top w:w="15" w:type="dxa"/>
                    <w:left w:w="15" w:type="dxa"/>
                    <w:bottom w:w="0" w:type="dxa"/>
                    <w:right w:w="15" w:type="dxa"/>
                  </w:tcMar>
                  <w:vAlign w:val="center"/>
                </w:tcPr>
                <w:p w14:paraId="469200F5">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266</w:t>
                  </w:r>
                </w:p>
              </w:tc>
              <w:tc>
                <w:tcPr>
                  <w:tcW w:w="198" w:type="pct"/>
                  <w:noWrap/>
                  <w:tcMar>
                    <w:top w:w="15" w:type="dxa"/>
                    <w:left w:w="15" w:type="dxa"/>
                    <w:bottom w:w="0" w:type="dxa"/>
                    <w:right w:w="15" w:type="dxa"/>
                  </w:tcMar>
                  <w:vAlign w:val="center"/>
                </w:tcPr>
                <w:p w14:paraId="35E0E593">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5E60F2B2">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37</w:t>
                  </w:r>
                </w:p>
              </w:tc>
              <w:tc>
                <w:tcPr>
                  <w:tcW w:w="368" w:type="pct"/>
                  <w:noWrap w:val="0"/>
                  <w:tcMar>
                    <w:top w:w="15" w:type="dxa"/>
                    <w:left w:w="15" w:type="dxa"/>
                    <w:bottom w:w="0" w:type="dxa"/>
                    <w:right w:w="15" w:type="dxa"/>
                  </w:tcMar>
                  <w:vAlign w:val="center"/>
                </w:tcPr>
                <w:p w14:paraId="09F299EA">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38.6</w:t>
                  </w:r>
                </w:p>
              </w:tc>
              <w:tc>
                <w:tcPr>
                  <w:tcW w:w="488" w:type="pct"/>
                  <w:shd w:val="clear" w:color="auto" w:fill="auto"/>
                  <w:noWrap w:val="0"/>
                  <w:tcMar>
                    <w:top w:w="15" w:type="dxa"/>
                    <w:left w:w="15" w:type="dxa"/>
                    <w:bottom w:w="0" w:type="dxa"/>
                    <w:right w:w="15" w:type="dxa"/>
                  </w:tcMar>
                  <w:vAlign w:val="center"/>
                </w:tcPr>
                <w:p w14:paraId="48709491">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5973016C">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18.6</w:t>
                  </w:r>
                </w:p>
              </w:tc>
              <w:tc>
                <w:tcPr>
                  <w:tcW w:w="383" w:type="pct"/>
                  <w:noWrap w:val="0"/>
                  <w:tcMar>
                    <w:top w:w="15" w:type="dxa"/>
                    <w:left w:w="15" w:type="dxa"/>
                    <w:bottom w:w="0" w:type="dxa"/>
                    <w:right w:w="15" w:type="dxa"/>
                  </w:tcMar>
                  <w:vAlign w:val="center"/>
                </w:tcPr>
                <w:p w14:paraId="64FD3A5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3B5AAD45">
                  <w:pPr>
                    <w:pStyle w:val="168"/>
                    <w:keepNext w:val="0"/>
                    <w:keepLines w:val="0"/>
                    <w:suppressLineNumbers w:val="0"/>
                    <w:spacing w:beforeAutospacing="0" w:afterAutospacing="0"/>
                    <w:ind w:left="0" w:right="0"/>
                    <w:rPr>
                      <w:rFonts w:hint="default" w:eastAsia="仿宋"/>
                      <w:color w:val="auto"/>
                      <w:sz w:val="18"/>
                      <w:szCs w:val="18"/>
                    </w:rPr>
                  </w:pPr>
                </w:p>
              </w:tc>
            </w:tr>
            <w:tr w14:paraId="56711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29CF224B">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13</w:t>
                  </w:r>
                </w:p>
              </w:tc>
              <w:tc>
                <w:tcPr>
                  <w:tcW w:w="252" w:type="pct"/>
                  <w:shd w:val="clear" w:color="auto" w:fill="auto"/>
                  <w:noWrap w:val="0"/>
                  <w:tcMar>
                    <w:top w:w="15" w:type="dxa"/>
                    <w:left w:w="15" w:type="dxa"/>
                    <w:bottom w:w="0" w:type="dxa"/>
                    <w:right w:w="15" w:type="dxa"/>
                  </w:tcMar>
                  <w:vAlign w:val="center"/>
                </w:tcPr>
                <w:p w14:paraId="3BE1D106">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38682B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78A3FB08">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3BDF220C">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shd w:val="clear" w:color="auto" w:fill="auto"/>
                  <w:noWrap/>
                  <w:tcMar>
                    <w:top w:w="15" w:type="dxa"/>
                    <w:left w:w="15" w:type="dxa"/>
                    <w:bottom w:w="0" w:type="dxa"/>
                    <w:right w:w="15" w:type="dxa"/>
                  </w:tcMar>
                  <w:vAlign w:val="center"/>
                </w:tcPr>
                <w:p w14:paraId="727AF297">
                  <w:pPr>
                    <w:keepNext w:val="0"/>
                    <w:keepLines w:val="0"/>
                    <w:suppressLineNumbers w:val="0"/>
                    <w:spacing w:before="0" w:beforeAutospacing="0" w:after="0" w:afterAutospacing="0"/>
                    <w:ind w:left="0" w:leftChars="0" w:right="0" w:right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59</w:t>
                  </w:r>
                </w:p>
              </w:tc>
              <w:tc>
                <w:tcPr>
                  <w:tcW w:w="162" w:type="pct"/>
                  <w:noWrap/>
                  <w:tcMar>
                    <w:top w:w="15" w:type="dxa"/>
                    <w:left w:w="15" w:type="dxa"/>
                    <w:bottom w:w="0" w:type="dxa"/>
                    <w:right w:w="15" w:type="dxa"/>
                  </w:tcMar>
                  <w:vAlign w:val="center"/>
                </w:tcPr>
                <w:p w14:paraId="11275B7F">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268</w:t>
                  </w:r>
                </w:p>
              </w:tc>
              <w:tc>
                <w:tcPr>
                  <w:tcW w:w="198" w:type="pct"/>
                  <w:noWrap/>
                  <w:tcMar>
                    <w:top w:w="15" w:type="dxa"/>
                    <w:left w:w="15" w:type="dxa"/>
                    <w:bottom w:w="0" w:type="dxa"/>
                    <w:right w:w="15" w:type="dxa"/>
                  </w:tcMar>
                  <w:vAlign w:val="center"/>
                </w:tcPr>
                <w:p w14:paraId="74E5CE41">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7C276358">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37</w:t>
                  </w:r>
                </w:p>
              </w:tc>
              <w:tc>
                <w:tcPr>
                  <w:tcW w:w="368" w:type="pct"/>
                  <w:shd w:val="clear" w:color="auto" w:fill="auto"/>
                  <w:noWrap w:val="0"/>
                  <w:tcMar>
                    <w:top w:w="15" w:type="dxa"/>
                    <w:left w:w="15" w:type="dxa"/>
                    <w:bottom w:w="0" w:type="dxa"/>
                    <w:right w:w="15" w:type="dxa"/>
                  </w:tcMar>
                  <w:vAlign w:val="center"/>
                </w:tcPr>
                <w:p w14:paraId="5B73B669">
                  <w:pPr>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38.6</w:t>
                  </w:r>
                </w:p>
              </w:tc>
              <w:tc>
                <w:tcPr>
                  <w:tcW w:w="488" w:type="pct"/>
                  <w:shd w:val="clear" w:color="auto" w:fill="auto"/>
                  <w:noWrap w:val="0"/>
                  <w:tcMar>
                    <w:top w:w="15" w:type="dxa"/>
                    <w:left w:w="15" w:type="dxa"/>
                    <w:bottom w:w="0" w:type="dxa"/>
                    <w:right w:w="15" w:type="dxa"/>
                  </w:tcMar>
                  <w:vAlign w:val="center"/>
                </w:tcPr>
                <w:p w14:paraId="2D5DB9D2">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6A23F48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18.6</w:t>
                  </w:r>
                </w:p>
              </w:tc>
              <w:tc>
                <w:tcPr>
                  <w:tcW w:w="383" w:type="pct"/>
                  <w:noWrap w:val="0"/>
                  <w:tcMar>
                    <w:top w:w="15" w:type="dxa"/>
                    <w:left w:w="15" w:type="dxa"/>
                    <w:bottom w:w="0" w:type="dxa"/>
                    <w:right w:w="15" w:type="dxa"/>
                  </w:tcMar>
                  <w:vAlign w:val="center"/>
                </w:tcPr>
                <w:p w14:paraId="1EC0BAFE">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288AD640">
                  <w:pPr>
                    <w:pStyle w:val="168"/>
                    <w:keepNext w:val="0"/>
                    <w:keepLines w:val="0"/>
                    <w:suppressLineNumbers w:val="0"/>
                    <w:spacing w:beforeAutospacing="0" w:afterAutospacing="0"/>
                    <w:ind w:left="0" w:right="0"/>
                    <w:rPr>
                      <w:rFonts w:hint="default" w:eastAsia="仿宋"/>
                      <w:color w:val="auto"/>
                      <w:sz w:val="18"/>
                      <w:szCs w:val="18"/>
                    </w:rPr>
                  </w:pPr>
                </w:p>
              </w:tc>
            </w:tr>
            <w:tr w14:paraId="6EA32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55502AA3">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14</w:t>
                  </w:r>
                </w:p>
              </w:tc>
              <w:tc>
                <w:tcPr>
                  <w:tcW w:w="252" w:type="pct"/>
                  <w:shd w:val="clear" w:color="auto" w:fill="auto"/>
                  <w:noWrap w:val="0"/>
                  <w:tcMar>
                    <w:top w:w="15" w:type="dxa"/>
                    <w:left w:w="15" w:type="dxa"/>
                    <w:bottom w:w="0" w:type="dxa"/>
                    <w:right w:w="15" w:type="dxa"/>
                  </w:tcMar>
                  <w:vAlign w:val="center"/>
                </w:tcPr>
                <w:p w14:paraId="52C63C49">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70D37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0014377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112C9959">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shd w:val="clear" w:color="auto" w:fill="auto"/>
                  <w:noWrap/>
                  <w:tcMar>
                    <w:top w:w="15" w:type="dxa"/>
                    <w:left w:w="15" w:type="dxa"/>
                    <w:bottom w:w="0" w:type="dxa"/>
                    <w:right w:w="15" w:type="dxa"/>
                  </w:tcMar>
                  <w:vAlign w:val="center"/>
                </w:tcPr>
                <w:p w14:paraId="7B5223AD">
                  <w:pPr>
                    <w:keepNext w:val="0"/>
                    <w:keepLines w:val="0"/>
                    <w:suppressLineNumbers w:val="0"/>
                    <w:spacing w:before="0" w:beforeAutospacing="0" w:after="0" w:afterAutospacing="0"/>
                    <w:ind w:left="0" w:leftChars="0" w:right="0" w:right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122</w:t>
                  </w:r>
                </w:p>
              </w:tc>
              <w:tc>
                <w:tcPr>
                  <w:tcW w:w="162" w:type="pct"/>
                  <w:noWrap/>
                  <w:tcMar>
                    <w:top w:w="15" w:type="dxa"/>
                    <w:left w:w="15" w:type="dxa"/>
                    <w:bottom w:w="0" w:type="dxa"/>
                    <w:right w:w="15" w:type="dxa"/>
                  </w:tcMar>
                  <w:vAlign w:val="center"/>
                </w:tcPr>
                <w:p w14:paraId="10BFCE7F">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271</w:t>
                  </w:r>
                </w:p>
              </w:tc>
              <w:tc>
                <w:tcPr>
                  <w:tcW w:w="198" w:type="pct"/>
                  <w:noWrap/>
                  <w:tcMar>
                    <w:top w:w="15" w:type="dxa"/>
                    <w:left w:w="15" w:type="dxa"/>
                    <w:bottom w:w="0" w:type="dxa"/>
                    <w:right w:w="15" w:type="dxa"/>
                  </w:tcMar>
                  <w:vAlign w:val="center"/>
                </w:tcPr>
                <w:p w14:paraId="7129B786">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6B8D7F0D">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37</w:t>
                  </w:r>
                </w:p>
              </w:tc>
              <w:tc>
                <w:tcPr>
                  <w:tcW w:w="368" w:type="pct"/>
                  <w:shd w:val="clear" w:color="auto" w:fill="auto"/>
                  <w:noWrap w:val="0"/>
                  <w:tcMar>
                    <w:top w:w="15" w:type="dxa"/>
                    <w:left w:w="15" w:type="dxa"/>
                    <w:bottom w:w="0" w:type="dxa"/>
                    <w:right w:w="15" w:type="dxa"/>
                  </w:tcMar>
                  <w:vAlign w:val="center"/>
                </w:tcPr>
                <w:p w14:paraId="3845A623">
                  <w:pPr>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38.6</w:t>
                  </w:r>
                </w:p>
              </w:tc>
              <w:tc>
                <w:tcPr>
                  <w:tcW w:w="488" w:type="pct"/>
                  <w:noWrap w:val="0"/>
                  <w:tcMar>
                    <w:top w:w="15" w:type="dxa"/>
                    <w:left w:w="15" w:type="dxa"/>
                    <w:bottom w:w="0" w:type="dxa"/>
                    <w:right w:w="15" w:type="dxa"/>
                  </w:tcMar>
                  <w:vAlign w:val="center"/>
                </w:tcPr>
                <w:p w14:paraId="23126B2E">
                  <w:pPr>
                    <w:pStyle w:val="168"/>
                    <w:keepNext w:val="0"/>
                    <w:keepLines w:val="0"/>
                    <w:suppressLineNumbers w:val="0"/>
                    <w:spacing w:beforeAutospacing="0" w:afterAutospacing="0"/>
                    <w:ind w:left="0" w:right="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1B645DB3">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18.6</w:t>
                  </w:r>
                </w:p>
              </w:tc>
              <w:tc>
                <w:tcPr>
                  <w:tcW w:w="383" w:type="pct"/>
                  <w:noWrap w:val="0"/>
                  <w:tcMar>
                    <w:top w:w="15" w:type="dxa"/>
                    <w:left w:w="15" w:type="dxa"/>
                    <w:bottom w:w="0" w:type="dxa"/>
                    <w:right w:w="15" w:type="dxa"/>
                  </w:tcMar>
                  <w:vAlign w:val="center"/>
                </w:tcPr>
                <w:p w14:paraId="02CCD45D">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7333EF0B">
                  <w:pPr>
                    <w:pStyle w:val="168"/>
                    <w:keepNext w:val="0"/>
                    <w:keepLines w:val="0"/>
                    <w:suppressLineNumbers w:val="0"/>
                    <w:spacing w:beforeAutospacing="0" w:afterAutospacing="0"/>
                    <w:ind w:left="0" w:right="0"/>
                    <w:rPr>
                      <w:rFonts w:hint="default" w:eastAsia="仿宋"/>
                      <w:color w:val="auto"/>
                      <w:sz w:val="18"/>
                      <w:szCs w:val="18"/>
                    </w:rPr>
                  </w:pPr>
                </w:p>
              </w:tc>
            </w:tr>
            <w:tr w14:paraId="46CD9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 w:type="pct"/>
                  <w:noWrap w:val="0"/>
                  <w:tcMar>
                    <w:top w:w="15" w:type="dxa"/>
                    <w:left w:w="15" w:type="dxa"/>
                    <w:bottom w:w="0" w:type="dxa"/>
                    <w:right w:w="15" w:type="dxa"/>
                  </w:tcMar>
                  <w:vAlign w:val="center"/>
                </w:tcPr>
                <w:p w14:paraId="765E6ABF">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15</w:t>
                  </w:r>
                </w:p>
              </w:tc>
              <w:tc>
                <w:tcPr>
                  <w:tcW w:w="252" w:type="pct"/>
                  <w:shd w:val="clear" w:color="auto" w:fill="auto"/>
                  <w:noWrap w:val="0"/>
                  <w:tcMar>
                    <w:top w:w="15" w:type="dxa"/>
                    <w:left w:w="15" w:type="dxa"/>
                    <w:bottom w:w="0" w:type="dxa"/>
                    <w:right w:w="15" w:type="dxa"/>
                  </w:tcMar>
                  <w:vAlign w:val="center"/>
                </w:tcPr>
                <w:p w14:paraId="423A5F8E">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输送机</w:t>
                  </w:r>
                </w:p>
              </w:tc>
              <w:tc>
                <w:tcPr>
                  <w:tcW w:w="368" w:type="pct"/>
                  <w:noWrap w:val="0"/>
                  <w:tcMar>
                    <w:top w:w="15" w:type="dxa"/>
                    <w:left w:w="15" w:type="dxa"/>
                    <w:bottom w:w="0" w:type="dxa"/>
                    <w:right w:w="15" w:type="dxa"/>
                  </w:tcMar>
                  <w:vAlign w:val="center"/>
                </w:tcPr>
                <w:p w14:paraId="2AAB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lang w:val="en-US" w:eastAsia="zh-CN"/>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340" w:type="pct"/>
                  <w:shd w:val="clear" w:color="auto" w:fill="auto"/>
                  <w:noWrap w:val="0"/>
                  <w:tcMar>
                    <w:top w:w="15" w:type="dxa"/>
                    <w:left w:w="15" w:type="dxa"/>
                    <w:bottom w:w="0" w:type="dxa"/>
                    <w:right w:w="15" w:type="dxa"/>
                  </w:tcMar>
                  <w:vAlign w:val="center"/>
                </w:tcPr>
                <w:p w14:paraId="3C1284CB">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1049" w:type="pct"/>
                  <w:noWrap w:val="0"/>
                  <w:tcMar>
                    <w:top w:w="15" w:type="dxa"/>
                    <w:left w:w="15" w:type="dxa"/>
                    <w:bottom w:w="0" w:type="dxa"/>
                    <w:right w:w="15" w:type="dxa"/>
                  </w:tcMar>
                  <w:vAlign w:val="center"/>
                </w:tcPr>
                <w:p w14:paraId="7F39515C">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default" w:ascii="Times New Roman" w:hAnsi="Times New Roman" w:eastAsia="宋体" w:cs="Times New Roman"/>
                      <w:color w:val="auto"/>
                      <w:spacing w:val="0"/>
                      <w:sz w:val="18"/>
                      <w:szCs w:val="18"/>
                      <w:highlight w:val="none"/>
                    </w:rPr>
                    <w:t>低噪声设备</w:t>
                  </w:r>
                </w:p>
              </w:tc>
              <w:tc>
                <w:tcPr>
                  <w:tcW w:w="204" w:type="pct"/>
                  <w:shd w:val="clear" w:color="auto" w:fill="auto"/>
                  <w:noWrap/>
                  <w:tcMar>
                    <w:top w:w="15" w:type="dxa"/>
                    <w:left w:w="15" w:type="dxa"/>
                    <w:bottom w:w="0" w:type="dxa"/>
                    <w:right w:w="15" w:type="dxa"/>
                  </w:tcMar>
                  <w:vAlign w:val="center"/>
                </w:tcPr>
                <w:p w14:paraId="060E5923">
                  <w:pPr>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163</w:t>
                  </w:r>
                </w:p>
              </w:tc>
              <w:tc>
                <w:tcPr>
                  <w:tcW w:w="162" w:type="pct"/>
                  <w:noWrap/>
                  <w:tcMar>
                    <w:top w:w="15" w:type="dxa"/>
                    <w:left w:w="15" w:type="dxa"/>
                    <w:bottom w:w="0" w:type="dxa"/>
                    <w:right w:w="15" w:type="dxa"/>
                  </w:tcMar>
                  <w:vAlign w:val="center"/>
                </w:tcPr>
                <w:p w14:paraId="2D077D0E">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274</w:t>
                  </w:r>
                </w:p>
              </w:tc>
              <w:tc>
                <w:tcPr>
                  <w:tcW w:w="198" w:type="pct"/>
                  <w:noWrap/>
                  <w:tcMar>
                    <w:top w:w="15" w:type="dxa"/>
                    <w:left w:w="15" w:type="dxa"/>
                    <w:bottom w:w="0" w:type="dxa"/>
                    <w:right w:w="15" w:type="dxa"/>
                  </w:tcMar>
                  <w:vAlign w:val="center"/>
                </w:tcPr>
                <w:p w14:paraId="776A0663">
                  <w:pPr>
                    <w:keepNext w:val="0"/>
                    <w:keepLines w:val="0"/>
                    <w:suppressLineNumbers w:val="0"/>
                    <w:spacing w:before="0" w:beforeAutospacing="0" w:after="0" w:afterAutospacing="0"/>
                    <w:ind w:left="0" w:right="0"/>
                    <w:jc w:val="center"/>
                    <w:rPr>
                      <w:rFonts w:hint="default"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1</w:t>
                  </w:r>
                </w:p>
              </w:tc>
              <w:tc>
                <w:tcPr>
                  <w:tcW w:w="268" w:type="pct"/>
                  <w:noWrap w:val="0"/>
                  <w:tcMar>
                    <w:top w:w="15" w:type="dxa"/>
                    <w:left w:w="15" w:type="dxa"/>
                    <w:bottom w:w="0" w:type="dxa"/>
                    <w:right w:w="15" w:type="dxa"/>
                  </w:tcMar>
                  <w:vAlign w:val="center"/>
                </w:tcPr>
                <w:p w14:paraId="41FFB305">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37</w:t>
                  </w:r>
                </w:p>
              </w:tc>
              <w:tc>
                <w:tcPr>
                  <w:tcW w:w="368" w:type="pct"/>
                  <w:shd w:val="clear" w:color="auto" w:fill="auto"/>
                  <w:noWrap w:val="0"/>
                  <w:tcMar>
                    <w:top w:w="15" w:type="dxa"/>
                    <w:left w:w="15" w:type="dxa"/>
                    <w:bottom w:w="0" w:type="dxa"/>
                    <w:right w:w="15" w:type="dxa"/>
                  </w:tcMar>
                  <w:vAlign w:val="center"/>
                </w:tcPr>
                <w:p w14:paraId="638CAD16">
                  <w:pPr>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b w:val="0"/>
                      <w:bCs/>
                      <w:color w:val="auto"/>
                      <w:kern w:val="2"/>
                      <w:sz w:val="18"/>
                      <w:szCs w:val="18"/>
                      <w:lang w:val="en-US" w:eastAsia="zh-CN" w:bidi="ar-SA"/>
                    </w:rPr>
                    <w:t>38.6</w:t>
                  </w:r>
                </w:p>
              </w:tc>
              <w:tc>
                <w:tcPr>
                  <w:tcW w:w="488" w:type="pct"/>
                  <w:noWrap w:val="0"/>
                  <w:tcMar>
                    <w:top w:w="15" w:type="dxa"/>
                    <w:left w:w="15" w:type="dxa"/>
                    <w:bottom w:w="0" w:type="dxa"/>
                    <w:right w:w="15" w:type="dxa"/>
                  </w:tcMar>
                  <w:vAlign w:val="center"/>
                </w:tcPr>
                <w:p w14:paraId="11C4A675">
                  <w:pPr>
                    <w:pStyle w:val="168"/>
                    <w:keepNext w:val="0"/>
                    <w:keepLines w:val="0"/>
                    <w:suppressLineNumbers w:val="0"/>
                    <w:spacing w:beforeAutospacing="0" w:afterAutospacing="0"/>
                    <w:ind w:left="0" w:right="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20</w:t>
                  </w:r>
                </w:p>
              </w:tc>
              <w:tc>
                <w:tcPr>
                  <w:tcW w:w="368" w:type="pct"/>
                  <w:noWrap w:val="0"/>
                  <w:tcMar>
                    <w:top w:w="15" w:type="dxa"/>
                    <w:left w:w="15" w:type="dxa"/>
                    <w:bottom w:w="0" w:type="dxa"/>
                    <w:right w:w="15" w:type="dxa"/>
                  </w:tcMar>
                  <w:vAlign w:val="center"/>
                </w:tcPr>
                <w:p w14:paraId="5EA2F552">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18.6</w:t>
                  </w:r>
                </w:p>
              </w:tc>
              <w:tc>
                <w:tcPr>
                  <w:tcW w:w="383" w:type="pct"/>
                  <w:noWrap w:val="0"/>
                  <w:tcMar>
                    <w:top w:w="15" w:type="dxa"/>
                    <w:left w:w="15" w:type="dxa"/>
                    <w:bottom w:w="0" w:type="dxa"/>
                    <w:right w:w="15" w:type="dxa"/>
                  </w:tcMar>
                  <w:vAlign w:val="center"/>
                </w:tcPr>
                <w:p w14:paraId="6F2C0C1D">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377" w:type="pct"/>
                  <w:vMerge w:val="continue"/>
                  <w:noWrap w:val="0"/>
                  <w:vAlign w:val="center"/>
                </w:tcPr>
                <w:p w14:paraId="7C15C956">
                  <w:pPr>
                    <w:pStyle w:val="168"/>
                    <w:keepNext w:val="0"/>
                    <w:keepLines w:val="0"/>
                    <w:suppressLineNumbers w:val="0"/>
                    <w:spacing w:beforeAutospacing="0" w:afterAutospacing="0"/>
                    <w:ind w:left="0" w:right="0"/>
                    <w:rPr>
                      <w:rFonts w:hint="default" w:eastAsia="仿宋"/>
                      <w:color w:val="auto"/>
                      <w:sz w:val="18"/>
                      <w:szCs w:val="18"/>
                    </w:rPr>
                  </w:pPr>
                </w:p>
              </w:tc>
            </w:tr>
          </w:tbl>
          <w:p w14:paraId="0CBD52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表4-8  噪声污染源</w:t>
            </w:r>
            <w:r>
              <w:rPr>
                <w:rFonts w:hint="eastAsia" w:ascii="Times New Roman" w:hAnsi="Times New Roman" w:cs="Times New Roman"/>
                <w:b/>
                <w:bCs/>
                <w:color w:val="auto"/>
                <w:highlight w:val="none"/>
                <w:lang w:val="en-US" w:eastAsia="zh-CN"/>
              </w:rPr>
              <w:t>（室外）</w:t>
            </w:r>
            <w:r>
              <w:rPr>
                <w:rFonts w:hint="default" w:ascii="Times New Roman" w:hAnsi="Times New Roman" w:cs="Times New Roman"/>
                <w:b/>
                <w:bCs/>
                <w:color w:val="auto"/>
                <w:highlight w:val="none"/>
                <w:lang w:val="en-US" w:eastAsia="zh-CN"/>
              </w:rPr>
              <w:t>源强核算结果及相关参数一览表</w:t>
            </w:r>
          </w:p>
          <w:tbl>
            <w:tblPr>
              <w:tblStyle w:val="3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07"/>
              <w:gridCol w:w="975"/>
              <w:gridCol w:w="452"/>
              <w:gridCol w:w="452"/>
              <w:gridCol w:w="761"/>
              <w:gridCol w:w="1015"/>
              <w:gridCol w:w="860"/>
              <w:gridCol w:w="1103"/>
              <w:gridCol w:w="989"/>
              <w:gridCol w:w="939"/>
            </w:tblGrid>
            <w:tr w14:paraId="7B6D6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14" w:type="pct"/>
                  <w:vMerge w:val="restart"/>
                  <w:noWrap w:val="0"/>
                  <w:tcMar>
                    <w:top w:w="15" w:type="dxa"/>
                    <w:left w:w="15" w:type="dxa"/>
                    <w:bottom w:w="0" w:type="dxa"/>
                    <w:right w:w="15" w:type="dxa"/>
                  </w:tcMar>
                  <w:vAlign w:val="center"/>
                </w:tcPr>
                <w:p w14:paraId="3F08A627">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序号</w:t>
                  </w:r>
                </w:p>
              </w:tc>
              <w:tc>
                <w:tcPr>
                  <w:tcW w:w="605" w:type="pct"/>
                  <w:vMerge w:val="restart"/>
                  <w:noWrap w:val="0"/>
                  <w:tcMar>
                    <w:top w:w="15" w:type="dxa"/>
                    <w:left w:w="15" w:type="dxa"/>
                    <w:bottom w:w="0" w:type="dxa"/>
                    <w:right w:w="15" w:type="dxa"/>
                  </w:tcMar>
                  <w:vAlign w:val="center"/>
                </w:tcPr>
                <w:p w14:paraId="5FD15D45">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声源名称</w:t>
                  </w:r>
                </w:p>
              </w:tc>
              <w:tc>
                <w:tcPr>
                  <w:tcW w:w="1033" w:type="pct"/>
                  <w:gridSpan w:val="3"/>
                  <w:noWrap w:val="0"/>
                  <w:vAlign w:val="center"/>
                </w:tcPr>
                <w:p w14:paraId="7F75223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空间相对位置/m</w:t>
                  </w:r>
                </w:p>
              </w:tc>
              <w:tc>
                <w:tcPr>
                  <w:tcW w:w="1164" w:type="pct"/>
                  <w:gridSpan w:val="2"/>
                  <w:noWrap w:val="0"/>
                  <w:tcMar>
                    <w:top w:w="15" w:type="dxa"/>
                    <w:left w:w="15" w:type="dxa"/>
                    <w:bottom w:w="0" w:type="dxa"/>
                    <w:right w:w="15" w:type="dxa"/>
                  </w:tcMar>
                  <w:vAlign w:val="center"/>
                </w:tcPr>
                <w:p w14:paraId="71DD9F54">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声源源强</w:t>
                  </w:r>
                </w:p>
              </w:tc>
              <w:tc>
                <w:tcPr>
                  <w:tcW w:w="1298" w:type="pct"/>
                  <w:gridSpan w:val="2"/>
                  <w:noWrap w:val="0"/>
                  <w:tcMar>
                    <w:top w:w="15" w:type="dxa"/>
                    <w:left w:w="15" w:type="dxa"/>
                    <w:bottom w:w="0" w:type="dxa"/>
                    <w:right w:w="15" w:type="dxa"/>
                  </w:tcMar>
                  <w:vAlign w:val="center"/>
                </w:tcPr>
                <w:p w14:paraId="7A7EF3B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声源控制措施</w:t>
                  </w:r>
                </w:p>
              </w:tc>
              <w:tc>
                <w:tcPr>
                  <w:tcW w:w="583" w:type="pct"/>
                  <w:vMerge w:val="restart"/>
                  <w:noWrap w:val="0"/>
                  <w:vAlign w:val="center"/>
                </w:tcPr>
                <w:p w14:paraId="1F2D72B0">
                  <w:pPr>
                    <w:pStyle w:val="168"/>
                    <w:keepNext w:val="0"/>
                    <w:keepLines w:val="0"/>
                    <w:suppressLineNumbers w:val="0"/>
                    <w:spacing w:beforeAutospacing="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持续时间</w:t>
                  </w:r>
                </w:p>
                <w:p w14:paraId="5B2A036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kern w:val="0"/>
                      <w:sz w:val="18"/>
                      <w:szCs w:val="18"/>
                    </w:rPr>
                    <w:t>（h/a）</w:t>
                  </w:r>
                </w:p>
              </w:tc>
            </w:tr>
            <w:tr w14:paraId="621AD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14" w:type="pct"/>
                  <w:vMerge w:val="continue"/>
                  <w:noWrap w:val="0"/>
                  <w:vAlign w:val="center"/>
                </w:tcPr>
                <w:p w14:paraId="5C8959D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05" w:type="pct"/>
                  <w:vMerge w:val="continue"/>
                  <w:noWrap w:val="0"/>
                  <w:vAlign w:val="center"/>
                </w:tcPr>
                <w:p w14:paraId="63D4E0A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280" w:type="pct"/>
                  <w:noWrap w:val="0"/>
                  <w:vAlign w:val="center"/>
                </w:tcPr>
                <w:p w14:paraId="21B8A42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X</w:t>
                  </w:r>
                </w:p>
              </w:tc>
              <w:tc>
                <w:tcPr>
                  <w:tcW w:w="280" w:type="pct"/>
                  <w:noWrap w:val="0"/>
                  <w:vAlign w:val="center"/>
                </w:tcPr>
                <w:p w14:paraId="204983E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Y</w:t>
                  </w:r>
                </w:p>
              </w:tc>
              <w:tc>
                <w:tcPr>
                  <w:tcW w:w="472" w:type="pct"/>
                  <w:noWrap w:val="0"/>
                  <w:vAlign w:val="center"/>
                </w:tcPr>
                <w:p w14:paraId="78ECB6A9">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Z</w:t>
                  </w:r>
                </w:p>
              </w:tc>
              <w:tc>
                <w:tcPr>
                  <w:tcW w:w="630" w:type="pct"/>
                  <w:noWrap w:val="0"/>
                  <w:tcMar>
                    <w:top w:w="15" w:type="dxa"/>
                    <w:left w:w="15" w:type="dxa"/>
                    <w:bottom w:w="0" w:type="dxa"/>
                    <w:right w:w="15" w:type="dxa"/>
                  </w:tcMar>
                  <w:vAlign w:val="center"/>
                </w:tcPr>
                <w:p w14:paraId="77126AD4">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声压级</w:t>
                  </w:r>
                </w:p>
                <w:p w14:paraId="52B0118B">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533" w:type="pct"/>
                  <w:noWrap w:val="0"/>
                  <w:tcMar>
                    <w:top w:w="15" w:type="dxa"/>
                    <w:left w:w="15" w:type="dxa"/>
                    <w:bottom w:w="0" w:type="dxa"/>
                    <w:right w:w="15" w:type="dxa"/>
                  </w:tcMar>
                  <w:vAlign w:val="center"/>
                </w:tcPr>
                <w:p w14:paraId="342238F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距声源距离/m</w:t>
                  </w:r>
                </w:p>
              </w:tc>
              <w:tc>
                <w:tcPr>
                  <w:tcW w:w="684" w:type="pct"/>
                  <w:noWrap w:val="0"/>
                  <w:vAlign w:val="center"/>
                </w:tcPr>
                <w:p w14:paraId="3FD6778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工艺</w:t>
                  </w:r>
                </w:p>
              </w:tc>
              <w:tc>
                <w:tcPr>
                  <w:tcW w:w="614" w:type="pct"/>
                  <w:noWrap w:val="0"/>
                  <w:vAlign w:val="center"/>
                </w:tcPr>
                <w:p w14:paraId="7F1D8E4C">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降噪效果</w:t>
                  </w:r>
                </w:p>
                <w:p w14:paraId="6DCB43E5">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/dB（A）</w:t>
                  </w:r>
                </w:p>
              </w:tc>
              <w:tc>
                <w:tcPr>
                  <w:tcW w:w="583" w:type="pct"/>
                  <w:vMerge w:val="continue"/>
                  <w:noWrap w:val="0"/>
                  <w:vAlign w:val="center"/>
                </w:tcPr>
                <w:p w14:paraId="074B7AE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r>
            <w:tr w14:paraId="79001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17A82592">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605" w:type="pct"/>
                  <w:noWrap w:val="0"/>
                  <w:tcMar>
                    <w:top w:w="15" w:type="dxa"/>
                    <w:left w:w="15" w:type="dxa"/>
                    <w:bottom w:w="0" w:type="dxa"/>
                    <w:right w:w="15" w:type="dxa"/>
                  </w:tcMar>
                  <w:vAlign w:val="center"/>
                </w:tcPr>
                <w:p w14:paraId="48033DD6">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圆筒初清筛</w:t>
                  </w:r>
                </w:p>
              </w:tc>
              <w:tc>
                <w:tcPr>
                  <w:tcW w:w="280" w:type="pct"/>
                  <w:noWrap w:val="0"/>
                  <w:vAlign w:val="center"/>
                </w:tcPr>
                <w:p w14:paraId="41C5A962">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40.8</w:t>
                  </w:r>
                </w:p>
              </w:tc>
              <w:tc>
                <w:tcPr>
                  <w:tcW w:w="280" w:type="pct"/>
                  <w:noWrap w:val="0"/>
                  <w:vAlign w:val="center"/>
                </w:tcPr>
                <w:p w14:paraId="467A52BA">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212</w:t>
                  </w:r>
                </w:p>
              </w:tc>
              <w:tc>
                <w:tcPr>
                  <w:tcW w:w="472" w:type="pct"/>
                  <w:noWrap w:val="0"/>
                  <w:vAlign w:val="center"/>
                </w:tcPr>
                <w:p w14:paraId="463E9599">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1</w:t>
                  </w:r>
                </w:p>
              </w:tc>
              <w:tc>
                <w:tcPr>
                  <w:tcW w:w="630" w:type="pct"/>
                  <w:noWrap w:val="0"/>
                  <w:tcMar>
                    <w:top w:w="15" w:type="dxa"/>
                    <w:left w:w="15" w:type="dxa"/>
                    <w:bottom w:w="0" w:type="dxa"/>
                    <w:right w:w="15" w:type="dxa"/>
                  </w:tcMar>
                  <w:vAlign w:val="center"/>
                </w:tcPr>
                <w:p w14:paraId="5B0BB989">
                  <w:pPr>
                    <w:keepNext w:val="0"/>
                    <w:keepLines w:val="0"/>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cs="宋体"/>
                      <w:color w:val="auto"/>
                      <w:sz w:val="18"/>
                      <w:szCs w:val="18"/>
                      <w:lang w:val="en-US" w:eastAsia="zh-CN"/>
                    </w:rPr>
                    <w:t>75</w:t>
                  </w:r>
                </w:p>
              </w:tc>
              <w:tc>
                <w:tcPr>
                  <w:tcW w:w="533" w:type="pct"/>
                  <w:noWrap w:val="0"/>
                  <w:tcMar>
                    <w:top w:w="15" w:type="dxa"/>
                    <w:left w:w="15" w:type="dxa"/>
                    <w:bottom w:w="0" w:type="dxa"/>
                    <w:right w:w="15" w:type="dxa"/>
                  </w:tcMar>
                  <w:vAlign w:val="center"/>
                </w:tcPr>
                <w:p w14:paraId="7FC0110D">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684" w:type="pct"/>
                  <w:noWrap w:val="0"/>
                  <w:tcMar>
                    <w:top w:w="15" w:type="dxa"/>
                    <w:left w:w="15" w:type="dxa"/>
                    <w:bottom w:w="0" w:type="dxa"/>
                    <w:right w:w="15" w:type="dxa"/>
                  </w:tcMar>
                  <w:vAlign w:val="center"/>
                </w:tcPr>
                <w:p w14:paraId="376CB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default" w:ascii="Times New Roman" w:hAnsi="Times New Roman" w:eastAsia="宋体" w:cs="Times New Roman"/>
                      <w:color w:val="auto"/>
                      <w:spacing w:val="0"/>
                      <w:sz w:val="18"/>
                      <w:szCs w:val="18"/>
                      <w:highlight w:val="none"/>
                    </w:rPr>
                    <w:t>低噪声设备、基础减振</w:t>
                  </w:r>
                </w:p>
              </w:tc>
              <w:tc>
                <w:tcPr>
                  <w:tcW w:w="614" w:type="pct"/>
                  <w:noWrap w:val="0"/>
                  <w:vAlign w:val="center"/>
                </w:tcPr>
                <w:p w14:paraId="3E51EC2E">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rPr>
                  </w:pPr>
                  <w:r>
                    <w:rPr>
                      <w:rFonts w:hint="eastAsia" w:ascii="宋体" w:hAnsi="宋体" w:cs="宋体"/>
                      <w:color w:val="auto"/>
                      <w:sz w:val="18"/>
                      <w:szCs w:val="18"/>
                      <w:lang w:val="en-US" w:eastAsia="zh-CN"/>
                    </w:rPr>
                    <w:t>20</w:t>
                  </w:r>
                </w:p>
              </w:tc>
              <w:tc>
                <w:tcPr>
                  <w:tcW w:w="583" w:type="pct"/>
                  <w:vMerge w:val="restart"/>
                  <w:noWrap w:val="0"/>
                  <w:vAlign w:val="center"/>
                </w:tcPr>
                <w:p w14:paraId="277E9F15">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kern w:val="0"/>
                      <w:sz w:val="18"/>
                      <w:szCs w:val="18"/>
                      <w:lang w:val="en-US" w:eastAsia="zh-CN"/>
                    </w:rPr>
                    <w:t>4320</w:t>
                  </w:r>
                </w:p>
              </w:tc>
            </w:tr>
            <w:tr w14:paraId="26BF9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5F1B7741">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605" w:type="pct"/>
                  <w:noWrap w:val="0"/>
                  <w:tcMar>
                    <w:top w:w="15" w:type="dxa"/>
                    <w:left w:w="15" w:type="dxa"/>
                    <w:bottom w:w="0" w:type="dxa"/>
                    <w:right w:w="15" w:type="dxa"/>
                  </w:tcMar>
                  <w:vAlign w:val="center"/>
                </w:tcPr>
                <w:p w14:paraId="6696E56C">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烘干塔</w:t>
                  </w:r>
                </w:p>
              </w:tc>
              <w:tc>
                <w:tcPr>
                  <w:tcW w:w="280" w:type="pct"/>
                  <w:noWrap w:val="0"/>
                  <w:vAlign w:val="center"/>
                </w:tcPr>
                <w:p w14:paraId="7D60F184">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31.4</w:t>
                  </w:r>
                </w:p>
              </w:tc>
              <w:tc>
                <w:tcPr>
                  <w:tcW w:w="280" w:type="pct"/>
                  <w:noWrap w:val="0"/>
                  <w:vAlign w:val="center"/>
                </w:tcPr>
                <w:p w14:paraId="4CDA55DD">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39.5</w:t>
                  </w:r>
                </w:p>
              </w:tc>
              <w:tc>
                <w:tcPr>
                  <w:tcW w:w="472" w:type="pct"/>
                  <w:noWrap w:val="0"/>
                  <w:vAlign w:val="center"/>
                </w:tcPr>
                <w:p w14:paraId="512D7410">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eastAsia="zh-CN"/>
                    </w:rPr>
                  </w:pPr>
                  <w:r>
                    <w:rPr>
                      <w:rFonts w:hint="eastAsia" w:ascii="宋体" w:hAnsi="宋体" w:cs="宋体"/>
                      <w:color w:val="auto"/>
                      <w:kern w:val="0"/>
                      <w:sz w:val="18"/>
                      <w:szCs w:val="18"/>
                      <w:lang w:val="en-US" w:eastAsia="zh-CN"/>
                    </w:rPr>
                    <w:t>1</w:t>
                  </w:r>
                </w:p>
              </w:tc>
              <w:tc>
                <w:tcPr>
                  <w:tcW w:w="630" w:type="pct"/>
                  <w:noWrap w:val="0"/>
                  <w:tcMar>
                    <w:top w:w="15" w:type="dxa"/>
                    <w:left w:w="15" w:type="dxa"/>
                    <w:bottom w:w="0" w:type="dxa"/>
                    <w:right w:w="15" w:type="dxa"/>
                  </w:tcMar>
                  <w:vAlign w:val="center"/>
                </w:tcPr>
                <w:p w14:paraId="3609766B">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lang w:eastAsia="zh-CN"/>
                    </w:rPr>
                  </w:pPr>
                  <w:r>
                    <w:rPr>
                      <w:rFonts w:hint="eastAsia" w:ascii="宋体" w:hAnsi="宋体" w:eastAsia="宋体" w:cs="宋体"/>
                      <w:color w:val="auto"/>
                      <w:sz w:val="18"/>
                      <w:szCs w:val="18"/>
                    </w:rPr>
                    <w:t>7</w:t>
                  </w:r>
                  <w:r>
                    <w:rPr>
                      <w:rFonts w:hint="eastAsia" w:ascii="宋体" w:hAnsi="宋体" w:cs="宋体"/>
                      <w:color w:val="auto"/>
                      <w:sz w:val="18"/>
                      <w:szCs w:val="18"/>
                      <w:lang w:val="en-US" w:eastAsia="zh-CN"/>
                    </w:rPr>
                    <w:t>5</w:t>
                  </w:r>
                </w:p>
              </w:tc>
              <w:tc>
                <w:tcPr>
                  <w:tcW w:w="533" w:type="pct"/>
                  <w:noWrap w:val="0"/>
                  <w:tcMar>
                    <w:top w:w="15" w:type="dxa"/>
                    <w:left w:w="15" w:type="dxa"/>
                    <w:bottom w:w="0" w:type="dxa"/>
                    <w:right w:w="15" w:type="dxa"/>
                  </w:tcMar>
                  <w:vAlign w:val="center"/>
                </w:tcPr>
                <w:p w14:paraId="12846DFE">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684" w:type="pct"/>
                  <w:noWrap w:val="0"/>
                  <w:tcMar>
                    <w:top w:w="15" w:type="dxa"/>
                    <w:left w:w="15" w:type="dxa"/>
                    <w:bottom w:w="0" w:type="dxa"/>
                    <w:right w:w="15" w:type="dxa"/>
                  </w:tcMar>
                  <w:vAlign w:val="center"/>
                </w:tcPr>
                <w:p w14:paraId="5BB4F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rPr>
                  </w:pPr>
                  <w:r>
                    <w:rPr>
                      <w:rFonts w:hint="eastAsia" w:eastAsia="宋体" w:cs="Times New Roman"/>
                      <w:color w:val="auto"/>
                      <w:spacing w:val="0"/>
                      <w:sz w:val="18"/>
                      <w:szCs w:val="18"/>
                      <w:highlight w:val="none"/>
                      <w:lang w:eastAsia="zh-CN"/>
                    </w:rPr>
                    <w:t>隔声</w:t>
                  </w:r>
                  <w:r>
                    <w:rPr>
                      <w:rFonts w:hint="default" w:ascii="Times New Roman" w:hAnsi="Times New Roman" w:eastAsia="宋体" w:cs="Times New Roman"/>
                      <w:color w:val="auto"/>
                      <w:spacing w:val="0"/>
                      <w:sz w:val="18"/>
                      <w:szCs w:val="18"/>
                      <w:highlight w:val="none"/>
                    </w:rPr>
                    <w:t>、基础减振</w:t>
                  </w:r>
                </w:p>
              </w:tc>
              <w:tc>
                <w:tcPr>
                  <w:tcW w:w="614" w:type="pct"/>
                  <w:noWrap w:val="0"/>
                  <w:vAlign w:val="center"/>
                </w:tcPr>
                <w:p w14:paraId="103A950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20</w:t>
                  </w:r>
                </w:p>
              </w:tc>
              <w:tc>
                <w:tcPr>
                  <w:tcW w:w="583" w:type="pct"/>
                  <w:vMerge w:val="continue"/>
                  <w:noWrap w:val="0"/>
                  <w:vAlign w:val="center"/>
                </w:tcPr>
                <w:p w14:paraId="4C5803D9">
                  <w:pPr>
                    <w:pStyle w:val="168"/>
                    <w:keepNext w:val="0"/>
                    <w:keepLines w:val="0"/>
                    <w:suppressLineNumbers w:val="0"/>
                    <w:spacing w:beforeAutospacing="0" w:afterAutospacing="0"/>
                    <w:ind w:left="0" w:right="0"/>
                    <w:rPr>
                      <w:rFonts w:hint="default" w:eastAsia="仿宋"/>
                      <w:color w:val="auto"/>
                      <w:sz w:val="18"/>
                      <w:szCs w:val="18"/>
                    </w:rPr>
                  </w:pPr>
                </w:p>
              </w:tc>
            </w:tr>
            <w:tr w14:paraId="4BA09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37DB777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3</w:t>
                  </w:r>
                </w:p>
              </w:tc>
              <w:tc>
                <w:tcPr>
                  <w:tcW w:w="605" w:type="pct"/>
                  <w:noWrap w:val="0"/>
                  <w:tcMar>
                    <w:top w:w="15" w:type="dxa"/>
                    <w:left w:w="15" w:type="dxa"/>
                    <w:bottom w:w="0" w:type="dxa"/>
                    <w:right w:w="15" w:type="dxa"/>
                  </w:tcMar>
                  <w:vAlign w:val="center"/>
                </w:tcPr>
                <w:p w14:paraId="51F0D4B2">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热风机1</w:t>
                  </w:r>
                </w:p>
              </w:tc>
              <w:tc>
                <w:tcPr>
                  <w:tcW w:w="280" w:type="pct"/>
                  <w:noWrap w:val="0"/>
                  <w:vAlign w:val="center"/>
                </w:tcPr>
                <w:p w14:paraId="4BC31866">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31</w:t>
                  </w:r>
                </w:p>
              </w:tc>
              <w:tc>
                <w:tcPr>
                  <w:tcW w:w="280" w:type="pct"/>
                  <w:noWrap w:val="0"/>
                  <w:vAlign w:val="center"/>
                </w:tcPr>
                <w:p w14:paraId="73759C0E">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191</w:t>
                  </w:r>
                </w:p>
              </w:tc>
              <w:tc>
                <w:tcPr>
                  <w:tcW w:w="472" w:type="pct"/>
                  <w:noWrap w:val="0"/>
                  <w:vAlign w:val="center"/>
                </w:tcPr>
                <w:p w14:paraId="46E04E6C">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rPr>
                    <w:t>1</w:t>
                  </w:r>
                </w:p>
              </w:tc>
              <w:tc>
                <w:tcPr>
                  <w:tcW w:w="630" w:type="pct"/>
                  <w:noWrap w:val="0"/>
                  <w:tcMar>
                    <w:top w:w="15" w:type="dxa"/>
                    <w:left w:w="15" w:type="dxa"/>
                    <w:bottom w:w="0" w:type="dxa"/>
                    <w:right w:w="15" w:type="dxa"/>
                  </w:tcMar>
                  <w:vAlign w:val="center"/>
                </w:tcPr>
                <w:p w14:paraId="0F006EDC">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18"/>
                      <w:szCs w:val="18"/>
                    </w:rPr>
                  </w:pPr>
                  <w:r>
                    <w:rPr>
                      <w:rFonts w:hint="eastAsia" w:ascii="宋体" w:hAnsi="宋体" w:eastAsia="宋体" w:cs="宋体"/>
                      <w:color w:val="auto"/>
                      <w:sz w:val="18"/>
                      <w:szCs w:val="18"/>
                    </w:rPr>
                    <w:t>85</w:t>
                  </w:r>
                </w:p>
              </w:tc>
              <w:tc>
                <w:tcPr>
                  <w:tcW w:w="533" w:type="pct"/>
                  <w:noWrap w:val="0"/>
                  <w:tcMar>
                    <w:top w:w="15" w:type="dxa"/>
                    <w:left w:w="15" w:type="dxa"/>
                    <w:bottom w:w="0" w:type="dxa"/>
                    <w:right w:w="15" w:type="dxa"/>
                  </w:tcMar>
                  <w:vAlign w:val="center"/>
                </w:tcPr>
                <w:p w14:paraId="4695EC37">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684" w:type="pct"/>
                  <w:vMerge w:val="restart"/>
                  <w:noWrap w:val="0"/>
                  <w:tcMar>
                    <w:top w:w="15" w:type="dxa"/>
                    <w:left w:w="15" w:type="dxa"/>
                    <w:bottom w:w="0" w:type="dxa"/>
                    <w:right w:w="15" w:type="dxa"/>
                  </w:tcMar>
                  <w:vAlign w:val="center"/>
                </w:tcPr>
                <w:p w14:paraId="76078EE9">
                  <w:pPr>
                    <w:pStyle w:val="168"/>
                    <w:keepNext w:val="0"/>
                    <w:keepLines w:val="0"/>
                    <w:suppressLineNumbers w:val="0"/>
                    <w:spacing w:beforeAutospacing="0" w:afterAutospacing="0"/>
                    <w:ind w:left="0" w:leftChars="0" w:right="0" w:rightChars="0" w:firstLine="0" w:firstLineChars="0"/>
                    <w:rPr>
                      <w:rFonts w:hint="eastAsia" w:ascii="宋体" w:hAnsi="宋体" w:eastAsia="宋体" w:cs="宋体"/>
                      <w:color w:val="auto"/>
                      <w:sz w:val="18"/>
                      <w:szCs w:val="18"/>
                    </w:rPr>
                  </w:pPr>
                  <w:r>
                    <w:rPr>
                      <w:rFonts w:hint="eastAsia" w:ascii="宋体" w:hAnsi="宋体" w:eastAsia="宋体" w:cs="宋体"/>
                      <w:color w:val="auto"/>
                      <w:sz w:val="18"/>
                      <w:szCs w:val="18"/>
                      <w:lang w:val="en-US" w:eastAsia="zh-CN"/>
                    </w:rPr>
                    <w:t>进风口消声器、管道外壳阻尼</w:t>
                  </w:r>
                </w:p>
              </w:tc>
              <w:tc>
                <w:tcPr>
                  <w:tcW w:w="614" w:type="pct"/>
                  <w:noWrap w:val="0"/>
                  <w:vAlign w:val="center"/>
                </w:tcPr>
                <w:p w14:paraId="1C324172">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583" w:type="pct"/>
                  <w:vMerge w:val="continue"/>
                  <w:noWrap w:val="0"/>
                  <w:vAlign w:val="center"/>
                </w:tcPr>
                <w:p w14:paraId="26FAFFF6">
                  <w:pPr>
                    <w:pStyle w:val="168"/>
                    <w:keepNext w:val="0"/>
                    <w:keepLines w:val="0"/>
                    <w:suppressLineNumbers w:val="0"/>
                    <w:spacing w:beforeAutospacing="0" w:afterAutospacing="0"/>
                    <w:ind w:left="0" w:right="0"/>
                    <w:rPr>
                      <w:rFonts w:hint="default" w:eastAsia="仿宋"/>
                      <w:color w:val="auto"/>
                      <w:sz w:val="18"/>
                      <w:szCs w:val="18"/>
                    </w:rPr>
                  </w:pPr>
                </w:p>
              </w:tc>
            </w:tr>
            <w:tr w14:paraId="5C876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1B59D0A7">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4</w:t>
                  </w:r>
                </w:p>
              </w:tc>
              <w:tc>
                <w:tcPr>
                  <w:tcW w:w="605" w:type="pct"/>
                  <w:noWrap w:val="0"/>
                  <w:tcMar>
                    <w:top w:w="15" w:type="dxa"/>
                    <w:left w:w="15" w:type="dxa"/>
                    <w:bottom w:w="0" w:type="dxa"/>
                    <w:right w:w="15" w:type="dxa"/>
                  </w:tcMar>
                  <w:vAlign w:val="center"/>
                </w:tcPr>
                <w:p w14:paraId="120073E8">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热风机2</w:t>
                  </w:r>
                </w:p>
              </w:tc>
              <w:tc>
                <w:tcPr>
                  <w:tcW w:w="280" w:type="pct"/>
                  <w:noWrap w:val="0"/>
                  <w:vAlign w:val="center"/>
                </w:tcPr>
                <w:p w14:paraId="2363FF96">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34</w:t>
                  </w:r>
                </w:p>
              </w:tc>
              <w:tc>
                <w:tcPr>
                  <w:tcW w:w="280" w:type="pct"/>
                  <w:noWrap w:val="0"/>
                  <w:vAlign w:val="center"/>
                </w:tcPr>
                <w:p w14:paraId="73AC9E4D">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191</w:t>
                  </w:r>
                </w:p>
              </w:tc>
              <w:tc>
                <w:tcPr>
                  <w:tcW w:w="472" w:type="pct"/>
                  <w:noWrap w:val="0"/>
                  <w:vAlign w:val="center"/>
                </w:tcPr>
                <w:p w14:paraId="28F22025">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7BDF1845">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lang w:val="en-US" w:eastAsia="zh-CN" w:bidi="ar-SA"/>
                    </w:rPr>
                  </w:pPr>
                  <w:r>
                    <w:rPr>
                      <w:rFonts w:hint="eastAsia" w:ascii="宋体" w:hAnsi="宋体" w:eastAsia="宋体" w:cs="宋体"/>
                      <w:color w:val="auto"/>
                      <w:sz w:val="18"/>
                      <w:szCs w:val="18"/>
                    </w:rPr>
                    <w:t>85</w:t>
                  </w:r>
                </w:p>
              </w:tc>
              <w:tc>
                <w:tcPr>
                  <w:tcW w:w="533" w:type="pct"/>
                  <w:noWrap w:val="0"/>
                  <w:tcMar>
                    <w:top w:w="15" w:type="dxa"/>
                    <w:left w:w="15" w:type="dxa"/>
                    <w:bottom w:w="0" w:type="dxa"/>
                    <w:right w:w="15" w:type="dxa"/>
                  </w:tcMar>
                  <w:vAlign w:val="center"/>
                </w:tcPr>
                <w:p w14:paraId="2F277F9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684" w:type="pct"/>
                  <w:vMerge w:val="continue"/>
                  <w:noWrap w:val="0"/>
                  <w:tcMar>
                    <w:top w:w="15" w:type="dxa"/>
                    <w:left w:w="15" w:type="dxa"/>
                    <w:bottom w:w="0" w:type="dxa"/>
                    <w:right w:w="15" w:type="dxa"/>
                  </w:tcMar>
                  <w:vAlign w:val="center"/>
                </w:tcPr>
                <w:p w14:paraId="1923894D">
                  <w:pPr>
                    <w:pStyle w:val="168"/>
                    <w:keepNext w:val="0"/>
                    <w:keepLines w:val="0"/>
                    <w:suppressLineNumbers w:val="0"/>
                    <w:spacing w:beforeAutospacing="0" w:afterAutospacing="0"/>
                    <w:ind w:left="0" w:leftChars="0" w:right="0" w:rightChars="0" w:firstLine="0" w:firstLineChars="0"/>
                    <w:rPr>
                      <w:rFonts w:hint="eastAsia" w:ascii="宋体" w:hAnsi="宋体" w:eastAsia="宋体" w:cs="宋体"/>
                      <w:color w:val="auto"/>
                      <w:sz w:val="18"/>
                      <w:szCs w:val="18"/>
                    </w:rPr>
                  </w:pPr>
                </w:p>
              </w:tc>
              <w:tc>
                <w:tcPr>
                  <w:tcW w:w="614" w:type="pct"/>
                  <w:noWrap w:val="0"/>
                  <w:vAlign w:val="center"/>
                </w:tcPr>
                <w:p w14:paraId="00AD29E5">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583" w:type="pct"/>
                  <w:vMerge w:val="continue"/>
                  <w:noWrap w:val="0"/>
                  <w:vAlign w:val="center"/>
                </w:tcPr>
                <w:p w14:paraId="6189F80A">
                  <w:pPr>
                    <w:pStyle w:val="168"/>
                    <w:keepNext w:val="0"/>
                    <w:keepLines w:val="0"/>
                    <w:suppressLineNumbers w:val="0"/>
                    <w:spacing w:beforeAutospacing="0" w:afterAutospacing="0"/>
                    <w:ind w:left="0" w:right="0"/>
                    <w:rPr>
                      <w:rFonts w:hint="default" w:eastAsia="仿宋"/>
                      <w:color w:val="auto"/>
                      <w:sz w:val="18"/>
                      <w:szCs w:val="18"/>
                    </w:rPr>
                  </w:pPr>
                </w:p>
              </w:tc>
            </w:tr>
            <w:tr w14:paraId="06072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7394D4B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5</w:t>
                  </w:r>
                </w:p>
              </w:tc>
              <w:tc>
                <w:tcPr>
                  <w:tcW w:w="605" w:type="pct"/>
                  <w:noWrap w:val="0"/>
                  <w:tcMar>
                    <w:top w:w="15" w:type="dxa"/>
                    <w:left w:w="15" w:type="dxa"/>
                    <w:bottom w:w="0" w:type="dxa"/>
                    <w:right w:w="15" w:type="dxa"/>
                  </w:tcMar>
                  <w:vAlign w:val="center"/>
                </w:tcPr>
                <w:p w14:paraId="2596B4DF">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热风机3</w:t>
                  </w:r>
                </w:p>
              </w:tc>
              <w:tc>
                <w:tcPr>
                  <w:tcW w:w="280" w:type="pct"/>
                  <w:noWrap w:val="0"/>
                  <w:vAlign w:val="center"/>
                </w:tcPr>
                <w:p w14:paraId="23144517">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37</w:t>
                  </w:r>
                </w:p>
              </w:tc>
              <w:tc>
                <w:tcPr>
                  <w:tcW w:w="280" w:type="pct"/>
                  <w:noWrap w:val="0"/>
                  <w:vAlign w:val="center"/>
                </w:tcPr>
                <w:p w14:paraId="4AE8EC2B">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191</w:t>
                  </w:r>
                </w:p>
              </w:tc>
              <w:tc>
                <w:tcPr>
                  <w:tcW w:w="472" w:type="pct"/>
                  <w:noWrap w:val="0"/>
                  <w:vAlign w:val="center"/>
                </w:tcPr>
                <w:p w14:paraId="499BBDB0">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744315E4">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lang w:val="en-US" w:eastAsia="zh-CN" w:bidi="ar-SA"/>
                    </w:rPr>
                  </w:pPr>
                  <w:r>
                    <w:rPr>
                      <w:rFonts w:hint="eastAsia" w:ascii="宋体" w:hAnsi="宋体" w:eastAsia="宋体" w:cs="宋体"/>
                      <w:color w:val="auto"/>
                      <w:sz w:val="18"/>
                      <w:szCs w:val="18"/>
                    </w:rPr>
                    <w:t>85</w:t>
                  </w:r>
                </w:p>
              </w:tc>
              <w:tc>
                <w:tcPr>
                  <w:tcW w:w="533" w:type="pct"/>
                  <w:noWrap w:val="0"/>
                  <w:tcMar>
                    <w:top w:w="15" w:type="dxa"/>
                    <w:left w:w="15" w:type="dxa"/>
                    <w:bottom w:w="0" w:type="dxa"/>
                    <w:right w:w="15" w:type="dxa"/>
                  </w:tcMar>
                  <w:vAlign w:val="center"/>
                </w:tcPr>
                <w:p w14:paraId="77370557">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1</w:t>
                  </w:r>
                </w:p>
              </w:tc>
              <w:tc>
                <w:tcPr>
                  <w:tcW w:w="684" w:type="pct"/>
                  <w:vMerge w:val="continue"/>
                  <w:noWrap w:val="0"/>
                  <w:tcMar>
                    <w:top w:w="15" w:type="dxa"/>
                    <w:left w:w="15" w:type="dxa"/>
                    <w:bottom w:w="0" w:type="dxa"/>
                    <w:right w:w="15" w:type="dxa"/>
                  </w:tcMar>
                  <w:vAlign w:val="center"/>
                </w:tcPr>
                <w:p w14:paraId="4800DF6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14" w:type="pct"/>
                  <w:noWrap w:val="0"/>
                  <w:vAlign w:val="center"/>
                </w:tcPr>
                <w:p w14:paraId="0688C2A7">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583" w:type="pct"/>
                  <w:vMerge w:val="continue"/>
                  <w:noWrap w:val="0"/>
                  <w:vAlign w:val="center"/>
                </w:tcPr>
                <w:p w14:paraId="1CDED597">
                  <w:pPr>
                    <w:pStyle w:val="168"/>
                    <w:keepNext w:val="0"/>
                    <w:keepLines w:val="0"/>
                    <w:suppressLineNumbers w:val="0"/>
                    <w:spacing w:beforeAutospacing="0" w:afterAutospacing="0"/>
                    <w:ind w:left="0" w:right="0"/>
                    <w:rPr>
                      <w:rFonts w:hint="default" w:eastAsia="仿宋"/>
                      <w:color w:val="auto"/>
                      <w:sz w:val="18"/>
                      <w:szCs w:val="18"/>
                    </w:rPr>
                  </w:pPr>
                </w:p>
              </w:tc>
            </w:tr>
            <w:tr w14:paraId="1DEBC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6B9564A3">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6</w:t>
                  </w:r>
                </w:p>
              </w:tc>
              <w:tc>
                <w:tcPr>
                  <w:tcW w:w="605" w:type="pct"/>
                  <w:noWrap w:val="0"/>
                  <w:tcMar>
                    <w:top w:w="15" w:type="dxa"/>
                    <w:left w:w="15" w:type="dxa"/>
                    <w:bottom w:w="0" w:type="dxa"/>
                    <w:right w:w="15" w:type="dxa"/>
                  </w:tcMar>
                  <w:vAlign w:val="center"/>
                </w:tcPr>
                <w:p w14:paraId="55D0A950">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冷风机</w:t>
                  </w:r>
                </w:p>
              </w:tc>
              <w:tc>
                <w:tcPr>
                  <w:tcW w:w="280" w:type="pct"/>
                  <w:noWrap w:val="0"/>
                  <w:vAlign w:val="center"/>
                </w:tcPr>
                <w:p w14:paraId="09E854E9">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40</w:t>
                  </w:r>
                </w:p>
              </w:tc>
              <w:tc>
                <w:tcPr>
                  <w:tcW w:w="280" w:type="pct"/>
                  <w:noWrap w:val="0"/>
                  <w:vAlign w:val="center"/>
                </w:tcPr>
                <w:p w14:paraId="2065A982">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191</w:t>
                  </w:r>
                </w:p>
              </w:tc>
              <w:tc>
                <w:tcPr>
                  <w:tcW w:w="472" w:type="pct"/>
                  <w:noWrap w:val="0"/>
                  <w:vAlign w:val="center"/>
                </w:tcPr>
                <w:p w14:paraId="76AA7036">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1A5FF1E8">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lang w:val="en-US" w:eastAsia="zh-CN" w:bidi="ar-SA"/>
                    </w:rPr>
                  </w:pPr>
                  <w:r>
                    <w:rPr>
                      <w:rFonts w:hint="eastAsia" w:ascii="宋体" w:hAnsi="宋体" w:eastAsia="宋体" w:cs="宋体"/>
                      <w:color w:val="auto"/>
                      <w:sz w:val="18"/>
                      <w:szCs w:val="18"/>
                    </w:rPr>
                    <w:t>85</w:t>
                  </w:r>
                </w:p>
              </w:tc>
              <w:tc>
                <w:tcPr>
                  <w:tcW w:w="533" w:type="pct"/>
                  <w:shd w:val="clear" w:color="auto" w:fill="auto"/>
                  <w:noWrap w:val="0"/>
                  <w:tcMar>
                    <w:top w:w="15" w:type="dxa"/>
                    <w:left w:w="15" w:type="dxa"/>
                    <w:bottom w:w="0" w:type="dxa"/>
                    <w:right w:w="15" w:type="dxa"/>
                  </w:tcMar>
                  <w:vAlign w:val="center"/>
                </w:tcPr>
                <w:p w14:paraId="44F78939">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noWrap w:val="0"/>
                  <w:tcMar>
                    <w:top w:w="15" w:type="dxa"/>
                    <w:left w:w="15" w:type="dxa"/>
                    <w:bottom w:w="0" w:type="dxa"/>
                    <w:right w:w="15" w:type="dxa"/>
                  </w:tcMar>
                  <w:vAlign w:val="center"/>
                </w:tcPr>
                <w:p w14:paraId="7CBB10D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14" w:type="pct"/>
                  <w:noWrap w:val="0"/>
                  <w:vAlign w:val="center"/>
                </w:tcPr>
                <w:p w14:paraId="740BEE52">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12</w:t>
                  </w:r>
                </w:p>
              </w:tc>
              <w:tc>
                <w:tcPr>
                  <w:tcW w:w="583" w:type="pct"/>
                  <w:vMerge w:val="continue"/>
                  <w:noWrap w:val="0"/>
                  <w:vAlign w:val="center"/>
                </w:tcPr>
                <w:p w14:paraId="2CE3146A">
                  <w:pPr>
                    <w:pStyle w:val="168"/>
                    <w:keepNext w:val="0"/>
                    <w:keepLines w:val="0"/>
                    <w:suppressLineNumbers w:val="0"/>
                    <w:spacing w:beforeAutospacing="0" w:afterAutospacing="0"/>
                    <w:ind w:left="0" w:right="0"/>
                    <w:rPr>
                      <w:rFonts w:hint="default" w:eastAsia="仿宋"/>
                      <w:color w:val="auto"/>
                      <w:sz w:val="18"/>
                      <w:szCs w:val="18"/>
                    </w:rPr>
                  </w:pPr>
                </w:p>
              </w:tc>
            </w:tr>
            <w:tr w14:paraId="5D899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68FB94C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7</w:t>
                  </w:r>
                </w:p>
              </w:tc>
              <w:tc>
                <w:tcPr>
                  <w:tcW w:w="605" w:type="pct"/>
                  <w:noWrap w:val="0"/>
                  <w:tcMar>
                    <w:top w:w="15" w:type="dxa"/>
                    <w:left w:w="15" w:type="dxa"/>
                    <w:bottom w:w="0" w:type="dxa"/>
                    <w:right w:w="15" w:type="dxa"/>
                  </w:tcMar>
                  <w:vAlign w:val="center"/>
                </w:tcPr>
                <w:p w14:paraId="238C330E">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输送机</w:t>
                  </w:r>
                </w:p>
              </w:tc>
              <w:tc>
                <w:tcPr>
                  <w:tcW w:w="280" w:type="pct"/>
                  <w:noWrap w:val="0"/>
                  <w:vAlign w:val="center"/>
                </w:tcPr>
                <w:p w14:paraId="02EDE17F">
                  <w:pPr>
                    <w:pStyle w:val="168"/>
                    <w:keepNext w:val="0"/>
                    <w:keepLines w:val="0"/>
                    <w:suppressLineNumbers w:val="0"/>
                    <w:spacing w:beforeAutospacing="0" w:afterAutospacing="0"/>
                    <w:ind w:left="0" w:right="0" w:firstLine="0" w:firstLineChars="0"/>
                    <w:jc w:val="center"/>
                    <w:outlineLvl w:val="9"/>
                    <w:rPr>
                      <w:rFonts w:hint="eastAsia" w:ascii="宋体" w:hAnsi="宋体" w:eastAsia="宋体" w:cs="宋体"/>
                      <w:color w:val="auto"/>
                      <w:kern w:val="0"/>
                      <w:sz w:val="18"/>
                      <w:szCs w:val="18"/>
                    </w:rPr>
                  </w:pPr>
                  <w:r>
                    <w:rPr>
                      <w:rFonts w:hint="eastAsia" w:ascii="宋体" w:hAnsi="宋体" w:eastAsia="宋体" w:cs="宋体"/>
                      <w:b w:val="0"/>
                      <w:bCs/>
                      <w:color w:val="auto"/>
                      <w:sz w:val="18"/>
                      <w:szCs w:val="18"/>
                      <w:lang w:val="en-US" w:eastAsia="zh-CN"/>
                    </w:rPr>
                    <w:t>95</w:t>
                  </w:r>
                </w:p>
              </w:tc>
              <w:tc>
                <w:tcPr>
                  <w:tcW w:w="280" w:type="pct"/>
                  <w:noWrap w:val="0"/>
                  <w:vAlign w:val="center"/>
                </w:tcPr>
                <w:p w14:paraId="304DD203">
                  <w:pPr>
                    <w:pStyle w:val="168"/>
                    <w:keepNext w:val="0"/>
                    <w:keepLines w:val="0"/>
                    <w:suppressLineNumbers w:val="0"/>
                    <w:spacing w:beforeAutospacing="0" w:afterAutospacing="0"/>
                    <w:ind w:left="0" w:right="0" w:firstLine="0" w:firstLineChars="0"/>
                    <w:jc w:val="center"/>
                    <w:outlineLvl w:val="9"/>
                    <w:rPr>
                      <w:rFonts w:hint="eastAsia" w:ascii="宋体" w:hAnsi="宋体" w:eastAsia="宋体" w:cs="宋体"/>
                      <w:color w:val="auto"/>
                      <w:kern w:val="0"/>
                      <w:sz w:val="18"/>
                      <w:szCs w:val="18"/>
                    </w:rPr>
                  </w:pPr>
                  <w:r>
                    <w:rPr>
                      <w:rFonts w:hint="eastAsia" w:ascii="宋体" w:hAnsi="宋体" w:eastAsia="宋体" w:cs="宋体"/>
                      <w:b w:val="0"/>
                      <w:bCs/>
                      <w:color w:val="auto"/>
                      <w:sz w:val="18"/>
                      <w:szCs w:val="18"/>
                      <w:lang w:val="en-US" w:eastAsia="zh-CN"/>
                    </w:rPr>
                    <w:t>196</w:t>
                  </w:r>
                </w:p>
              </w:tc>
              <w:tc>
                <w:tcPr>
                  <w:tcW w:w="472" w:type="pct"/>
                  <w:noWrap w:val="0"/>
                  <w:vAlign w:val="center"/>
                </w:tcPr>
                <w:p w14:paraId="1FD3EA9F">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5DFD8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533" w:type="pct"/>
                  <w:shd w:val="clear" w:color="auto" w:fill="auto"/>
                  <w:noWrap w:val="0"/>
                  <w:tcMar>
                    <w:top w:w="15" w:type="dxa"/>
                    <w:left w:w="15" w:type="dxa"/>
                    <w:bottom w:w="0" w:type="dxa"/>
                    <w:right w:w="15" w:type="dxa"/>
                  </w:tcMar>
                  <w:vAlign w:val="center"/>
                </w:tcPr>
                <w:p w14:paraId="4AA64EB0">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restart"/>
                  <w:shd w:val="clear" w:color="auto" w:fill="auto"/>
                  <w:noWrap w:val="0"/>
                  <w:tcMar>
                    <w:top w:w="15" w:type="dxa"/>
                    <w:left w:w="15" w:type="dxa"/>
                    <w:bottom w:w="0" w:type="dxa"/>
                    <w:right w:w="15" w:type="dxa"/>
                  </w:tcMar>
                  <w:vAlign w:val="center"/>
                </w:tcPr>
                <w:p w14:paraId="0FF1AF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rPr>
                    <w:t>低噪声设备</w:t>
                  </w:r>
                </w:p>
              </w:tc>
              <w:tc>
                <w:tcPr>
                  <w:tcW w:w="614" w:type="pct"/>
                  <w:noWrap w:val="0"/>
                  <w:vAlign w:val="center"/>
                </w:tcPr>
                <w:p w14:paraId="1F7898E2">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8</w:t>
                  </w:r>
                </w:p>
              </w:tc>
              <w:tc>
                <w:tcPr>
                  <w:tcW w:w="583" w:type="pct"/>
                  <w:vMerge w:val="continue"/>
                  <w:noWrap w:val="0"/>
                  <w:vAlign w:val="center"/>
                </w:tcPr>
                <w:p w14:paraId="529CD7FF">
                  <w:pPr>
                    <w:pStyle w:val="168"/>
                    <w:keepNext w:val="0"/>
                    <w:keepLines w:val="0"/>
                    <w:suppressLineNumbers w:val="0"/>
                    <w:spacing w:beforeAutospacing="0" w:afterAutospacing="0"/>
                    <w:ind w:left="0" w:right="0"/>
                    <w:rPr>
                      <w:rFonts w:hint="default" w:eastAsia="仿宋"/>
                      <w:color w:val="auto"/>
                      <w:sz w:val="18"/>
                      <w:szCs w:val="18"/>
                    </w:rPr>
                  </w:pPr>
                </w:p>
              </w:tc>
            </w:tr>
            <w:tr w14:paraId="17E5E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noWrap w:val="0"/>
                  <w:tcMar>
                    <w:top w:w="15" w:type="dxa"/>
                    <w:left w:w="15" w:type="dxa"/>
                    <w:bottom w:w="0" w:type="dxa"/>
                    <w:right w:w="15" w:type="dxa"/>
                  </w:tcMar>
                  <w:vAlign w:val="center"/>
                </w:tcPr>
                <w:p w14:paraId="2F7D9A48">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8</w:t>
                  </w:r>
                </w:p>
              </w:tc>
              <w:tc>
                <w:tcPr>
                  <w:tcW w:w="605" w:type="pct"/>
                  <w:noWrap w:val="0"/>
                  <w:tcMar>
                    <w:top w:w="15" w:type="dxa"/>
                    <w:left w:w="15" w:type="dxa"/>
                    <w:bottom w:w="0" w:type="dxa"/>
                    <w:right w:w="15" w:type="dxa"/>
                  </w:tcMar>
                  <w:vAlign w:val="center"/>
                </w:tcPr>
                <w:p w14:paraId="3E9DE93B">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color w:val="auto"/>
                      <w:kern w:val="0"/>
                      <w:sz w:val="18"/>
                      <w:szCs w:val="18"/>
                      <w:lang w:val="en-US" w:eastAsia="zh-CN"/>
                    </w:rPr>
                    <w:t>输送机</w:t>
                  </w:r>
                </w:p>
              </w:tc>
              <w:tc>
                <w:tcPr>
                  <w:tcW w:w="280" w:type="pct"/>
                  <w:noWrap w:val="0"/>
                  <w:vAlign w:val="center"/>
                </w:tcPr>
                <w:p w14:paraId="6F1AFFE0">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104</w:t>
                  </w:r>
                </w:p>
              </w:tc>
              <w:tc>
                <w:tcPr>
                  <w:tcW w:w="280" w:type="pct"/>
                  <w:noWrap w:val="0"/>
                  <w:vAlign w:val="center"/>
                </w:tcPr>
                <w:p w14:paraId="355E7CBA">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18"/>
                      <w:szCs w:val="18"/>
                    </w:rPr>
                  </w:pPr>
                  <w:r>
                    <w:rPr>
                      <w:rFonts w:hint="eastAsia" w:ascii="宋体" w:hAnsi="宋体" w:eastAsia="宋体" w:cs="宋体"/>
                      <w:b w:val="0"/>
                      <w:bCs/>
                      <w:color w:val="auto"/>
                      <w:kern w:val="2"/>
                      <w:sz w:val="18"/>
                      <w:szCs w:val="18"/>
                      <w:lang w:val="en-US" w:eastAsia="zh-CN" w:bidi="ar-SA"/>
                    </w:rPr>
                    <w:t>160</w:t>
                  </w:r>
                </w:p>
              </w:tc>
              <w:tc>
                <w:tcPr>
                  <w:tcW w:w="472" w:type="pct"/>
                  <w:noWrap w:val="0"/>
                  <w:vAlign w:val="center"/>
                </w:tcPr>
                <w:p w14:paraId="5E8B136C">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0F6F6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533" w:type="pct"/>
                  <w:shd w:val="clear" w:color="auto" w:fill="auto"/>
                  <w:noWrap w:val="0"/>
                  <w:tcMar>
                    <w:top w:w="15" w:type="dxa"/>
                    <w:left w:w="15" w:type="dxa"/>
                    <w:bottom w:w="0" w:type="dxa"/>
                    <w:right w:w="15" w:type="dxa"/>
                  </w:tcMar>
                  <w:vAlign w:val="center"/>
                </w:tcPr>
                <w:p w14:paraId="30A5856C">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noWrap w:val="0"/>
                  <w:tcMar>
                    <w:top w:w="15" w:type="dxa"/>
                    <w:left w:w="15" w:type="dxa"/>
                    <w:bottom w:w="0" w:type="dxa"/>
                    <w:right w:w="15" w:type="dxa"/>
                  </w:tcMar>
                  <w:vAlign w:val="center"/>
                </w:tcPr>
                <w:p w14:paraId="37F2716A">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14" w:type="pct"/>
                  <w:noWrap w:val="0"/>
                  <w:vAlign w:val="center"/>
                </w:tcPr>
                <w:p w14:paraId="51C5AF9F">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8</w:t>
                  </w:r>
                </w:p>
              </w:tc>
              <w:tc>
                <w:tcPr>
                  <w:tcW w:w="583" w:type="pct"/>
                  <w:vMerge w:val="continue"/>
                  <w:noWrap w:val="0"/>
                  <w:vAlign w:val="center"/>
                </w:tcPr>
                <w:p w14:paraId="2114F255">
                  <w:pPr>
                    <w:pStyle w:val="168"/>
                    <w:keepNext w:val="0"/>
                    <w:keepLines w:val="0"/>
                    <w:suppressLineNumbers w:val="0"/>
                    <w:spacing w:beforeAutospacing="0" w:afterAutospacing="0"/>
                    <w:ind w:left="0" w:right="0"/>
                    <w:rPr>
                      <w:rFonts w:hint="default" w:eastAsia="仿宋"/>
                      <w:color w:val="auto"/>
                      <w:sz w:val="18"/>
                      <w:szCs w:val="18"/>
                    </w:rPr>
                  </w:pPr>
                </w:p>
              </w:tc>
            </w:tr>
            <w:tr w14:paraId="05B15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131C5181">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9</w:t>
                  </w:r>
                </w:p>
              </w:tc>
              <w:tc>
                <w:tcPr>
                  <w:tcW w:w="605" w:type="pct"/>
                  <w:shd w:val="clear" w:color="auto" w:fill="auto"/>
                  <w:noWrap w:val="0"/>
                  <w:tcMar>
                    <w:top w:w="15" w:type="dxa"/>
                    <w:left w:w="15" w:type="dxa"/>
                    <w:bottom w:w="0" w:type="dxa"/>
                    <w:right w:w="15" w:type="dxa"/>
                  </w:tcMar>
                  <w:vAlign w:val="center"/>
                </w:tcPr>
                <w:p w14:paraId="1470AA53">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eastAsia="宋体" w:cs="宋体"/>
                      <w:color w:val="auto"/>
                      <w:kern w:val="0"/>
                      <w:sz w:val="18"/>
                      <w:szCs w:val="18"/>
                      <w:lang w:val="en-US" w:eastAsia="zh-CN"/>
                    </w:rPr>
                    <w:t>旋转入仓机</w:t>
                  </w:r>
                </w:p>
              </w:tc>
              <w:tc>
                <w:tcPr>
                  <w:tcW w:w="280" w:type="pct"/>
                  <w:shd w:val="clear" w:color="auto" w:fill="auto"/>
                  <w:noWrap w:val="0"/>
                  <w:vAlign w:val="center"/>
                </w:tcPr>
                <w:p w14:paraId="16744CFD">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kern w:val="0"/>
                      <w:sz w:val="18"/>
                      <w:szCs w:val="18"/>
                      <w:lang w:val="en-US" w:eastAsia="zh-CN"/>
                    </w:rPr>
                    <w:t>89</w:t>
                  </w:r>
                </w:p>
              </w:tc>
              <w:tc>
                <w:tcPr>
                  <w:tcW w:w="280" w:type="pct"/>
                  <w:shd w:val="clear" w:color="auto" w:fill="auto"/>
                  <w:noWrap w:val="0"/>
                  <w:vAlign w:val="center"/>
                </w:tcPr>
                <w:p w14:paraId="60CAE47A">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kern w:val="0"/>
                      <w:sz w:val="18"/>
                      <w:szCs w:val="18"/>
                      <w:lang w:val="en-US" w:eastAsia="zh-CN"/>
                    </w:rPr>
                    <w:t>244</w:t>
                  </w:r>
                </w:p>
              </w:tc>
              <w:tc>
                <w:tcPr>
                  <w:tcW w:w="472" w:type="pct"/>
                  <w:shd w:val="clear" w:color="auto" w:fill="auto"/>
                  <w:noWrap w:val="0"/>
                  <w:vAlign w:val="center"/>
                </w:tcPr>
                <w:p w14:paraId="2DC3E267">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w:t>
                  </w:r>
                </w:p>
              </w:tc>
              <w:tc>
                <w:tcPr>
                  <w:tcW w:w="630" w:type="pct"/>
                  <w:shd w:val="clear" w:color="auto" w:fill="auto"/>
                  <w:noWrap w:val="0"/>
                  <w:tcMar>
                    <w:top w:w="15" w:type="dxa"/>
                    <w:left w:w="15" w:type="dxa"/>
                    <w:bottom w:w="0" w:type="dxa"/>
                    <w:right w:w="15" w:type="dxa"/>
                  </w:tcMar>
                  <w:vAlign w:val="center"/>
                </w:tcPr>
                <w:p w14:paraId="66F627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ascii="Times New Roman" w:hAnsi="Times New Roman" w:cs="Times New Roman"/>
                      <w:color w:val="auto"/>
                      <w:spacing w:val="0"/>
                      <w:sz w:val="18"/>
                      <w:szCs w:val="18"/>
                      <w:highlight w:val="none"/>
                      <w:lang w:val="en-US" w:eastAsia="zh-CN"/>
                    </w:rPr>
                    <w:t>7</w:t>
                  </w:r>
                  <w:r>
                    <w:rPr>
                      <w:rFonts w:hint="eastAsia" w:cs="Times New Roman"/>
                      <w:color w:val="auto"/>
                      <w:spacing w:val="0"/>
                      <w:sz w:val="18"/>
                      <w:szCs w:val="18"/>
                      <w:highlight w:val="none"/>
                      <w:lang w:val="en-US" w:eastAsia="zh-CN"/>
                    </w:rPr>
                    <w:t>0</w:t>
                  </w:r>
                </w:p>
              </w:tc>
              <w:tc>
                <w:tcPr>
                  <w:tcW w:w="533" w:type="pct"/>
                  <w:shd w:val="clear" w:color="auto" w:fill="auto"/>
                  <w:noWrap w:val="0"/>
                  <w:tcMar>
                    <w:top w:w="15" w:type="dxa"/>
                    <w:left w:w="15" w:type="dxa"/>
                    <w:bottom w:w="0" w:type="dxa"/>
                    <w:right w:w="15" w:type="dxa"/>
                  </w:tcMar>
                  <w:vAlign w:val="center"/>
                </w:tcPr>
                <w:p w14:paraId="0334FA1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shd w:val="clear" w:color="auto" w:fill="auto"/>
                  <w:noWrap w:val="0"/>
                  <w:tcMar>
                    <w:top w:w="15" w:type="dxa"/>
                    <w:left w:w="15" w:type="dxa"/>
                    <w:bottom w:w="0" w:type="dxa"/>
                    <w:right w:w="15" w:type="dxa"/>
                  </w:tcMar>
                  <w:vAlign w:val="center"/>
                </w:tcPr>
                <w:p w14:paraId="1418BE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614" w:type="pct"/>
                  <w:shd w:val="clear" w:color="auto" w:fill="auto"/>
                  <w:noWrap w:val="0"/>
                  <w:vAlign w:val="center"/>
                </w:tcPr>
                <w:p w14:paraId="3139E57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8</w:t>
                  </w:r>
                </w:p>
              </w:tc>
              <w:tc>
                <w:tcPr>
                  <w:tcW w:w="583" w:type="pct"/>
                  <w:vMerge w:val="continue"/>
                  <w:noWrap w:val="0"/>
                  <w:vAlign w:val="center"/>
                </w:tcPr>
                <w:p w14:paraId="34E994FE">
                  <w:pPr>
                    <w:pStyle w:val="168"/>
                    <w:keepNext w:val="0"/>
                    <w:keepLines w:val="0"/>
                    <w:suppressLineNumbers w:val="0"/>
                    <w:spacing w:beforeAutospacing="0" w:afterAutospacing="0"/>
                    <w:ind w:left="0" w:right="0"/>
                    <w:rPr>
                      <w:rFonts w:hint="default" w:eastAsia="仿宋"/>
                      <w:color w:val="auto"/>
                      <w:sz w:val="18"/>
                      <w:szCs w:val="18"/>
                    </w:rPr>
                  </w:pPr>
                </w:p>
              </w:tc>
            </w:tr>
            <w:tr w14:paraId="101DA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15830215">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10</w:t>
                  </w:r>
                </w:p>
              </w:tc>
              <w:tc>
                <w:tcPr>
                  <w:tcW w:w="605" w:type="pct"/>
                  <w:noWrap w:val="0"/>
                  <w:tcMar>
                    <w:top w:w="15" w:type="dxa"/>
                    <w:left w:w="15" w:type="dxa"/>
                    <w:bottom w:w="0" w:type="dxa"/>
                    <w:right w:w="15" w:type="dxa"/>
                  </w:tcMar>
                  <w:vAlign w:val="center"/>
                </w:tcPr>
                <w:p w14:paraId="2DBB3FC9">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提升机</w:t>
                  </w:r>
                </w:p>
              </w:tc>
              <w:tc>
                <w:tcPr>
                  <w:tcW w:w="280" w:type="pct"/>
                  <w:noWrap w:val="0"/>
                  <w:vAlign w:val="center"/>
                </w:tcPr>
                <w:p w14:paraId="646EC58E">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38</w:t>
                  </w:r>
                </w:p>
              </w:tc>
              <w:tc>
                <w:tcPr>
                  <w:tcW w:w="280" w:type="pct"/>
                  <w:noWrap w:val="0"/>
                  <w:vAlign w:val="center"/>
                </w:tcPr>
                <w:p w14:paraId="30F3718D">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217</w:t>
                  </w:r>
                </w:p>
              </w:tc>
              <w:tc>
                <w:tcPr>
                  <w:tcW w:w="472" w:type="pct"/>
                  <w:noWrap w:val="0"/>
                  <w:vAlign w:val="center"/>
                </w:tcPr>
                <w:p w14:paraId="3724BDCA">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0E9EC3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80</w:t>
                  </w:r>
                </w:p>
              </w:tc>
              <w:tc>
                <w:tcPr>
                  <w:tcW w:w="533" w:type="pct"/>
                  <w:shd w:val="clear" w:color="auto" w:fill="auto"/>
                  <w:noWrap w:val="0"/>
                  <w:tcMar>
                    <w:top w:w="15" w:type="dxa"/>
                    <w:left w:w="15" w:type="dxa"/>
                    <w:bottom w:w="0" w:type="dxa"/>
                    <w:right w:w="15" w:type="dxa"/>
                  </w:tcMar>
                  <w:vAlign w:val="center"/>
                </w:tcPr>
                <w:p w14:paraId="729259CC">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684" w:type="pct"/>
                  <w:vMerge w:val="restart"/>
                  <w:shd w:val="clear" w:color="auto" w:fill="auto"/>
                  <w:noWrap w:val="0"/>
                  <w:tcMar>
                    <w:top w:w="15" w:type="dxa"/>
                    <w:left w:w="15" w:type="dxa"/>
                    <w:bottom w:w="0" w:type="dxa"/>
                    <w:right w:w="15" w:type="dxa"/>
                  </w:tcMar>
                  <w:vAlign w:val="center"/>
                </w:tcPr>
                <w:p w14:paraId="593A1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rPr>
                    <w:t>低噪声设备、基础减振</w:t>
                  </w:r>
                </w:p>
              </w:tc>
              <w:tc>
                <w:tcPr>
                  <w:tcW w:w="614" w:type="pct"/>
                  <w:vMerge w:val="restart"/>
                  <w:noWrap w:val="0"/>
                  <w:vAlign w:val="center"/>
                </w:tcPr>
                <w:p w14:paraId="0E24F5FE">
                  <w:pPr>
                    <w:pStyle w:val="168"/>
                    <w:keepNext w:val="0"/>
                    <w:keepLines w:val="0"/>
                    <w:suppressLineNumbers w:val="0"/>
                    <w:spacing w:beforeAutospacing="0" w:afterAutospacing="0"/>
                    <w:ind w:left="0" w:right="0"/>
                    <w:jc w:val="center"/>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20</w:t>
                  </w:r>
                </w:p>
              </w:tc>
              <w:tc>
                <w:tcPr>
                  <w:tcW w:w="583" w:type="pct"/>
                  <w:vMerge w:val="continue"/>
                  <w:noWrap w:val="0"/>
                  <w:vAlign w:val="center"/>
                </w:tcPr>
                <w:p w14:paraId="18C80A8A">
                  <w:pPr>
                    <w:pStyle w:val="168"/>
                    <w:keepNext w:val="0"/>
                    <w:keepLines w:val="0"/>
                    <w:suppressLineNumbers w:val="0"/>
                    <w:spacing w:beforeAutospacing="0" w:afterAutospacing="0"/>
                    <w:ind w:left="0" w:right="0"/>
                    <w:rPr>
                      <w:rFonts w:hint="default" w:eastAsia="仿宋"/>
                      <w:color w:val="auto"/>
                      <w:sz w:val="18"/>
                      <w:szCs w:val="18"/>
                    </w:rPr>
                  </w:pPr>
                </w:p>
              </w:tc>
            </w:tr>
            <w:tr w14:paraId="3F220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51340544">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11</w:t>
                  </w:r>
                </w:p>
              </w:tc>
              <w:tc>
                <w:tcPr>
                  <w:tcW w:w="605" w:type="pct"/>
                  <w:noWrap w:val="0"/>
                  <w:tcMar>
                    <w:top w:w="15" w:type="dxa"/>
                    <w:left w:w="15" w:type="dxa"/>
                    <w:bottom w:w="0" w:type="dxa"/>
                    <w:right w:w="15" w:type="dxa"/>
                  </w:tcMar>
                  <w:vAlign w:val="center"/>
                </w:tcPr>
                <w:p w14:paraId="498DBA9A">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提升机</w:t>
                  </w:r>
                </w:p>
              </w:tc>
              <w:tc>
                <w:tcPr>
                  <w:tcW w:w="280" w:type="pct"/>
                  <w:noWrap w:val="0"/>
                  <w:vAlign w:val="center"/>
                </w:tcPr>
                <w:p w14:paraId="7E33366E">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47</w:t>
                  </w:r>
                </w:p>
              </w:tc>
              <w:tc>
                <w:tcPr>
                  <w:tcW w:w="280" w:type="pct"/>
                  <w:noWrap w:val="0"/>
                  <w:vAlign w:val="center"/>
                </w:tcPr>
                <w:p w14:paraId="146FB297">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209</w:t>
                  </w:r>
                </w:p>
              </w:tc>
              <w:tc>
                <w:tcPr>
                  <w:tcW w:w="472" w:type="pct"/>
                  <w:noWrap w:val="0"/>
                  <w:vAlign w:val="center"/>
                </w:tcPr>
                <w:p w14:paraId="3254369B">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7EA56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80</w:t>
                  </w:r>
                </w:p>
              </w:tc>
              <w:tc>
                <w:tcPr>
                  <w:tcW w:w="533" w:type="pct"/>
                  <w:shd w:val="clear" w:color="auto" w:fill="auto"/>
                  <w:noWrap w:val="0"/>
                  <w:tcMar>
                    <w:top w:w="15" w:type="dxa"/>
                    <w:left w:w="15" w:type="dxa"/>
                    <w:bottom w:w="0" w:type="dxa"/>
                    <w:right w:w="15" w:type="dxa"/>
                  </w:tcMar>
                  <w:vAlign w:val="center"/>
                </w:tcPr>
                <w:p w14:paraId="346B5247">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noWrap w:val="0"/>
                  <w:tcMar>
                    <w:top w:w="15" w:type="dxa"/>
                    <w:left w:w="15" w:type="dxa"/>
                    <w:bottom w:w="0" w:type="dxa"/>
                    <w:right w:w="15" w:type="dxa"/>
                  </w:tcMar>
                  <w:vAlign w:val="center"/>
                </w:tcPr>
                <w:p w14:paraId="2CD7D79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14" w:type="pct"/>
                  <w:vMerge w:val="continue"/>
                  <w:noWrap w:val="0"/>
                  <w:vAlign w:val="center"/>
                </w:tcPr>
                <w:p w14:paraId="230C7526">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583" w:type="pct"/>
                  <w:vMerge w:val="continue"/>
                  <w:noWrap w:val="0"/>
                  <w:vAlign w:val="center"/>
                </w:tcPr>
                <w:p w14:paraId="175648C3">
                  <w:pPr>
                    <w:pStyle w:val="168"/>
                    <w:keepNext w:val="0"/>
                    <w:keepLines w:val="0"/>
                    <w:suppressLineNumbers w:val="0"/>
                    <w:spacing w:beforeAutospacing="0" w:afterAutospacing="0"/>
                    <w:ind w:left="0" w:right="0"/>
                    <w:rPr>
                      <w:rFonts w:hint="default" w:eastAsia="仿宋"/>
                      <w:color w:val="auto"/>
                      <w:sz w:val="18"/>
                      <w:szCs w:val="18"/>
                    </w:rPr>
                  </w:pPr>
                </w:p>
              </w:tc>
            </w:tr>
            <w:tr w14:paraId="6647F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2E97E8DE">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12</w:t>
                  </w:r>
                </w:p>
              </w:tc>
              <w:tc>
                <w:tcPr>
                  <w:tcW w:w="605" w:type="pct"/>
                  <w:noWrap w:val="0"/>
                  <w:tcMar>
                    <w:top w:w="15" w:type="dxa"/>
                    <w:left w:w="15" w:type="dxa"/>
                    <w:bottom w:w="0" w:type="dxa"/>
                    <w:right w:w="15" w:type="dxa"/>
                  </w:tcMar>
                  <w:vAlign w:val="center"/>
                </w:tcPr>
                <w:p w14:paraId="06314862">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提升机</w:t>
                  </w:r>
                </w:p>
              </w:tc>
              <w:tc>
                <w:tcPr>
                  <w:tcW w:w="280" w:type="pct"/>
                  <w:noWrap w:val="0"/>
                  <w:vAlign w:val="center"/>
                </w:tcPr>
                <w:p w14:paraId="2C48F928">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62</w:t>
                  </w:r>
                </w:p>
              </w:tc>
              <w:tc>
                <w:tcPr>
                  <w:tcW w:w="280" w:type="pct"/>
                  <w:noWrap w:val="0"/>
                  <w:vAlign w:val="center"/>
                </w:tcPr>
                <w:p w14:paraId="057C2A0D">
                  <w:pPr>
                    <w:keepNext w:val="0"/>
                    <w:keepLines w:val="0"/>
                    <w:widowControl/>
                    <w:suppressLineNumbers w:val="0"/>
                    <w:spacing w:before="0" w:beforeAutospacing="0" w:after="0" w:afterAutospacing="0"/>
                    <w:ind w:left="0" w:right="0"/>
                    <w:jc w:val="center"/>
                    <w:rPr>
                      <w:rFonts w:hint="default" w:ascii="宋体" w:hAnsi="宋体" w:eastAsia="宋体" w:cs="宋体"/>
                      <w:color w:val="auto"/>
                      <w:kern w:val="0"/>
                      <w:sz w:val="18"/>
                      <w:szCs w:val="18"/>
                      <w:lang w:val="en-US" w:eastAsia="zh-CN"/>
                    </w:rPr>
                  </w:pPr>
                  <w:r>
                    <w:rPr>
                      <w:rFonts w:hint="eastAsia" w:ascii="宋体" w:hAnsi="宋体" w:eastAsia="宋体" w:cs="宋体"/>
                      <w:color w:val="auto"/>
                      <w:kern w:val="0"/>
                      <w:sz w:val="18"/>
                      <w:szCs w:val="18"/>
                      <w:lang w:val="en-US" w:eastAsia="zh-CN"/>
                    </w:rPr>
                    <w:t>201</w:t>
                  </w:r>
                </w:p>
              </w:tc>
              <w:tc>
                <w:tcPr>
                  <w:tcW w:w="472" w:type="pct"/>
                  <w:noWrap w:val="0"/>
                  <w:vAlign w:val="center"/>
                </w:tcPr>
                <w:p w14:paraId="60F698E0">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18"/>
                      <w:szCs w:val="18"/>
                      <w:lang w:val="en-US" w:eastAsia="zh-CN"/>
                    </w:rPr>
                  </w:pPr>
                  <w:r>
                    <w:rPr>
                      <w:rFonts w:hint="eastAsia" w:ascii="宋体" w:hAnsi="宋体" w:cs="宋体"/>
                      <w:color w:val="auto"/>
                      <w:kern w:val="0"/>
                      <w:sz w:val="18"/>
                      <w:szCs w:val="18"/>
                      <w:lang w:val="en-US" w:eastAsia="zh-CN"/>
                    </w:rPr>
                    <w:t>1</w:t>
                  </w:r>
                </w:p>
              </w:tc>
              <w:tc>
                <w:tcPr>
                  <w:tcW w:w="630" w:type="pct"/>
                  <w:shd w:val="clear" w:color="auto" w:fill="auto"/>
                  <w:noWrap w:val="0"/>
                  <w:tcMar>
                    <w:top w:w="15" w:type="dxa"/>
                    <w:left w:w="15" w:type="dxa"/>
                    <w:bottom w:w="0" w:type="dxa"/>
                    <w:right w:w="15" w:type="dxa"/>
                  </w:tcMar>
                  <w:vAlign w:val="center"/>
                </w:tcPr>
                <w:p w14:paraId="55524B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80</w:t>
                  </w:r>
                </w:p>
              </w:tc>
              <w:tc>
                <w:tcPr>
                  <w:tcW w:w="533" w:type="pct"/>
                  <w:shd w:val="clear" w:color="auto" w:fill="auto"/>
                  <w:noWrap w:val="0"/>
                  <w:tcMar>
                    <w:top w:w="15" w:type="dxa"/>
                    <w:left w:w="15" w:type="dxa"/>
                    <w:bottom w:w="0" w:type="dxa"/>
                    <w:right w:w="15" w:type="dxa"/>
                  </w:tcMar>
                  <w:vAlign w:val="center"/>
                </w:tcPr>
                <w:p w14:paraId="7F10BCAD">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noWrap w:val="0"/>
                  <w:tcMar>
                    <w:top w:w="15" w:type="dxa"/>
                    <w:left w:w="15" w:type="dxa"/>
                    <w:bottom w:w="0" w:type="dxa"/>
                    <w:right w:w="15" w:type="dxa"/>
                  </w:tcMar>
                  <w:vAlign w:val="center"/>
                </w:tcPr>
                <w:p w14:paraId="2A19D770">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614" w:type="pct"/>
                  <w:vMerge w:val="continue"/>
                  <w:noWrap w:val="0"/>
                  <w:vAlign w:val="center"/>
                </w:tcPr>
                <w:p w14:paraId="7D31F555">
                  <w:pPr>
                    <w:pStyle w:val="168"/>
                    <w:keepNext w:val="0"/>
                    <w:keepLines w:val="0"/>
                    <w:suppressLineNumbers w:val="0"/>
                    <w:spacing w:beforeAutospacing="0" w:afterAutospacing="0"/>
                    <w:ind w:left="0" w:right="0"/>
                    <w:jc w:val="center"/>
                    <w:rPr>
                      <w:rFonts w:hint="eastAsia" w:ascii="宋体" w:hAnsi="宋体" w:eastAsia="宋体" w:cs="宋体"/>
                      <w:color w:val="auto"/>
                      <w:sz w:val="18"/>
                      <w:szCs w:val="18"/>
                    </w:rPr>
                  </w:pPr>
                </w:p>
              </w:tc>
              <w:tc>
                <w:tcPr>
                  <w:tcW w:w="583" w:type="pct"/>
                  <w:vMerge w:val="continue"/>
                  <w:noWrap w:val="0"/>
                  <w:vAlign w:val="center"/>
                </w:tcPr>
                <w:p w14:paraId="55F84BAB">
                  <w:pPr>
                    <w:pStyle w:val="168"/>
                    <w:keepNext w:val="0"/>
                    <w:keepLines w:val="0"/>
                    <w:suppressLineNumbers w:val="0"/>
                    <w:spacing w:beforeAutospacing="0" w:afterAutospacing="0"/>
                    <w:ind w:left="0" w:right="0"/>
                    <w:rPr>
                      <w:rFonts w:hint="default" w:eastAsia="仿宋"/>
                      <w:color w:val="auto"/>
                      <w:sz w:val="18"/>
                      <w:szCs w:val="18"/>
                    </w:rPr>
                  </w:pPr>
                </w:p>
              </w:tc>
            </w:tr>
            <w:tr w14:paraId="5D06E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14FC22C1">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13</w:t>
                  </w:r>
                </w:p>
              </w:tc>
              <w:tc>
                <w:tcPr>
                  <w:tcW w:w="605" w:type="pct"/>
                  <w:shd w:val="clear" w:color="auto" w:fill="auto"/>
                  <w:noWrap w:val="0"/>
                  <w:tcMar>
                    <w:top w:w="15" w:type="dxa"/>
                    <w:left w:w="15" w:type="dxa"/>
                    <w:bottom w:w="0" w:type="dxa"/>
                    <w:right w:w="15" w:type="dxa"/>
                  </w:tcMar>
                  <w:vAlign w:val="center"/>
                </w:tcPr>
                <w:p w14:paraId="653FBE33">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铲车</w:t>
                  </w:r>
                </w:p>
              </w:tc>
              <w:tc>
                <w:tcPr>
                  <w:tcW w:w="280" w:type="pct"/>
                  <w:shd w:val="clear" w:color="auto" w:fill="auto"/>
                  <w:noWrap w:val="0"/>
                  <w:vAlign w:val="center"/>
                </w:tcPr>
                <w:p w14:paraId="06C3DD75">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280" w:type="pct"/>
                  <w:shd w:val="clear" w:color="auto" w:fill="auto"/>
                  <w:noWrap w:val="0"/>
                  <w:vAlign w:val="center"/>
                </w:tcPr>
                <w:p w14:paraId="5D09880F">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472" w:type="pct"/>
                  <w:shd w:val="clear" w:color="auto" w:fill="auto"/>
                  <w:noWrap w:val="0"/>
                  <w:vAlign w:val="center"/>
                </w:tcPr>
                <w:p w14:paraId="155D4DA4">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630" w:type="pct"/>
                  <w:shd w:val="clear" w:color="auto" w:fill="auto"/>
                  <w:noWrap w:val="0"/>
                  <w:tcMar>
                    <w:top w:w="15" w:type="dxa"/>
                    <w:left w:w="15" w:type="dxa"/>
                    <w:bottom w:w="0" w:type="dxa"/>
                    <w:right w:w="15" w:type="dxa"/>
                  </w:tcMar>
                  <w:vAlign w:val="center"/>
                </w:tcPr>
                <w:p w14:paraId="578BF8D6">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lang w:val="en-US" w:eastAsia="zh-CN" w:bidi="ar-SA"/>
                    </w:rPr>
                  </w:pPr>
                  <w:r>
                    <w:rPr>
                      <w:rFonts w:hint="eastAsia" w:ascii="宋体" w:hAnsi="宋体" w:eastAsia="宋体" w:cs="宋体"/>
                      <w:color w:val="auto"/>
                      <w:kern w:val="2"/>
                      <w:sz w:val="18"/>
                      <w:szCs w:val="18"/>
                      <w:lang w:val="en-US" w:eastAsia="zh-CN" w:bidi="ar-SA"/>
                    </w:rPr>
                    <w:t>80</w:t>
                  </w:r>
                </w:p>
              </w:tc>
              <w:tc>
                <w:tcPr>
                  <w:tcW w:w="533" w:type="pct"/>
                  <w:shd w:val="clear" w:color="auto" w:fill="auto"/>
                  <w:noWrap w:val="0"/>
                  <w:tcMar>
                    <w:top w:w="15" w:type="dxa"/>
                    <w:left w:w="15" w:type="dxa"/>
                    <w:bottom w:w="0" w:type="dxa"/>
                    <w:right w:w="15" w:type="dxa"/>
                  </w:tcMar>
                  <w:vAlign w:val="center"/>
                </w:tcPr>
                <w:p w14:paraId="3E460BF3">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restart"/>
                  <w:shd w:val="clear" w:color="auto" w:fill="auto"/>
                  <w:noWrap w:val="0"/>
                  <w:tcMar>
                    <w:top w:w="15" w:type="dxa"/>
                    <w:left w:w="15" w:type="dxa"/>
                    <w:bottom w:w="0" w:type="dxa"/>
                    <w:right w:w="15" w:type="dxa"/>
                  </w:tcMar>
                  <w:vAlign w:val="center"/>
                </w:tcPr>
                <w:p w14:paraId="5E6E5CBE">
                  <w:pPr>
                    <w:keepNext w:val="0"/>
                    <w:keepLines w:val="0"/>
                    <w:pageBreakBefore w:val="0"/>
                    <w:suppressLineNumbers w:val="0"/>
                    <w:kinsoku/>
                    <w:wordWrap/>
                    <w:overflowPunct/>
                    <w:topLinePunct w:val="0"/>
                    <w:autoSpaceDE/>
                    <w:autoSpaceDN/>
                    <w:bidi w:val="0"/>
                    <w:snapToGrid/>
                    <w:spacing w:before="0" w:beforeAutospacing="0" w:after="0" w:afterAutospacing="0"/>
                    <w:ind w:left="0" w:leftChars="0" w:right="0" w:rightChars="0"/>
                    <w:jc w:val="center"/>
                    <w:textAlignment w:val="center"/>
                    <w:rPr>
                      <w:rFonts w:hint="eastAsia"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rPr>
                    <w:t>低噪设备、</w:t>
                  </w:r>
                  <w:r>
                    <w:rPr>
                      <w:rFonts w:hint="eastAsia" w:ascii="Times New Roman" w:hAnsi="Times New Roman" w:eastAsia="宋体" w:cs="Times New Roman"/>
                      <w:color w:val="auto"/>
                      <w:spacing w:val="0"/>
                      <w:sz w:val="18"/>
                      <w:szCs w:val="18"/>
                      <w:highlight w:val="none"/>
                      <w:lang w:val="en-US" w:eastAsia="zh-CN"/>
                    </w:rPr>
                    <w:t>加强维护、减速</w:t>
                  </w:r>
                </w:p>
              </w:tc>
              <w:tc>
                <w:tcPr>
                  <w:tcW w:w="614" w:type="pct"/>
                  <w:shd w:val="clear" w:color="auto" w:fill="auto"/>
                  <w:noWrap w:val="0"/>
                  <w:vAlign w:val="center"/>
                </w:tcPr>
                <w:p w14:paraId="6D44E0BB">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5</w:t>
                  </w:r>
                </w:p>
              </w:tc>
              <w:tc>
                <w:tcPr>
                  <w:tcW w:w="583" w:type="pct"/>
                  <w:vMerge w:val="restart"/>
                  <w:noWrap w:val="0"/>
                  <w:vAlign w:val="center"/>
                </w:tcPr>
                <w:p w14:paraId="424AFF37">
                  <w:pPr>
                    <w:pStyle w:val="168"/>
                    <w:keepNext w:val="0"/>
                    <w:keepLines w:val="0"/>
                    <w:suppressLineNumbers w:val="0"/>
                    <w:spacing w:beforeAutospacing="0" w:afterAutospacing="0"/>
                    <w:ind w:left="0" w:right="0"/>
                    <w:jc w:val="center"/>
                    <w:rPr>
                      <w:rFonts w:hint="default" w:eastAsia="仿宋"/>
                      <w:color w:val="auto"/>
                      <w:sz w:val="18"/>
                      <w:szCs w:val="18"/>
                      <w:lang w:val="en-US" w:eastAsia="zh-CN"/>
                    </w:rPr>
                  </w:pPr>
                  <w:r>
                    <w:rPr>
                      <w:rFonts w:hint="eastAsia" w:eastAsia="仿宋"/>
                      <w:color w:val="auto"/>
                      <w:sz w:val="18"/>
                      <w:szCs w:val="18"/>
                      <w:lang w:val="en-US" w:eastAsia="zh-CN"/>
                    </w:rPr>
                    <w:t>360</w:t>
                  </w:r>
                </w:p>
              </w:tc>
            </w:tr>
            <w:tr w14:paraId="79F6E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3FC1AA6">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14</w:t>
                  </w:r>
                </w:p>
              </w:tc>
              <w:tc>
                <w:tcPr>
                  <w:tcW w:w="605" w:type="pct"/>
                  <w:shd w:val="clear" w:color="auto" w:fill="auto"/>
                  <w:noWrap w:val="0"/>
                  <w:tcMar>
                    <w:top w:w="15" w:type="dxa"/>
                    <w:left w:w="15" w:type="dxa"/>
                    <w:bottom w:w="0" w:type="dxa"/>
                    <w:right w:w="15" w:type="dxa"/>
                  </w:tcMar>
                  <w:vAlign w:val="center"/>
                </w:tcPr>
                <w:p w14:paraId="58958F71">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叉车</w:t>
                  </w:r>
                </w:p>
              </w:tc>
              <w:tc>
                <w:tcPr>
                  <w:tcW w:w="280" w:type="pct"/>
                  <w:shd w:val="clear" w:color="auto" w:fill="auto"/>
                  <w:noWrap w:val="0"/>
                  <w:vAlign w:val="center"/>
                </w:tcPr>
                <w:p w14:paraId="55A130E9">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280" w:type="pct"/>
                  <w:shd w:val="clear" w:color="auto" w:fill="auto"/>
                  <w:noWrap w:val="0"/>
                  <w:vAlign w:val="center"/>
                </w:tcPr>
                <w:p w14:paraId="7AA2649B">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472" w:type="pct"/>
                  <w:shd w:val="clear" w:color="auto" w:fill="auto"/>
                  <w:noWrap w:val="0"/>
                  <w:vAlign w:val="center"/>
                </w:tcPr>
                <w:p w14:paraId="78D94A37">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630" w:type="pct"/>
                  <w:shd w:val="clear" w:color="auto" w:fill="auto"/>
                  <w:noWrap w:val="0"/>
                  <w:tcMar>
                    <w:top w:w="15" w:type="dxa"/>
                    <w:left w:w="15" w:type="dxa"/>
                    <w:bottom w:w="0" w:type="dxa"/>
                    <w:right w:w="15" w:type="dxa"/>
                  </w:tcMar>
                  <w:vAlign w:val="center"/>
                </w:tcPr>
                <w:p w14:paraId="01159CB1">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lang w:val="en-US" w:eastAsia="zh-CN" w:bidi="ar-SA"/>
                    </w:rPr>
                  </w:pPr>
                  <w:r>
                    <w:rPr>
                      <w:rFonts w:hint="eastAsia" w:ascii="宋体" w:hAnsi="宋体" w:eastAsia="宋体" w:cs="宋体"/>
                      <w:color w:val="auto"/>
                      <w:kern w:val="2"/>
                      <w:sz w:val="18"/>
                      <w:szCs w:val="18"/>
                      <w:lang w:val="en-US" w:eastAsia="zh-CN" w:bidi="ar-SA"/>
                    </w:rPr>
                    <w:t>70</w:t>
                  </w:r>
                </w:p>
              </w:tc>
              <w:tc>
                <w:tcPr>
                  <w:tcW w:w="533" w:type="pct"/>
                  <w:shd w:val="clear" w:color="auto" w:fill="auto"/>
                  <w:noWrap w:val="0"/>
                  <w:tcMar>
                    <w:top w:w="15" w:type="dxa"/>
                    <w:left w:w="15" w:type="dxa"/>
                    <w:bottom w:w="0" w:type="dxa"/>
                    <w:right w:w="15" w:type="dxa"/>
                  </w:tcMar>
                  <w:vAlign w:val="center"/>
                </w:tcPr>
                <w:p w14:paraId="2B85B1FA">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color w:val="auto"/>
                      <w:sz w:val="18"/>
                      <w:szCs w:val="18"/>
                    </w:rPr>
                    <w:t>1</w:t>
                  </w:r>
                </w:p>
              </w:tc>
              <w:tc>
                <w:tcPr>
                  <w:tcW w:w="684" w:type="pct"/>
                  <w:vMerge w:val="continue"/>
                  <w:shd w:val="clear" w:color="auto" w:fill="auto"/>
                  <w:noWrap w:val="0"/>
                  <w:tcMar>
                    <w:top w:w="15" w:type="dxa"/>
                    <w:left w:w="15" w:type="dxa"/>
                    <w:bottom w:w="0" w:type="dxa"/>
                    <w:right w:w="15" w:type="dxa"/>
                  </w:tcMar>
                  <w:vAlign w:val="center"/>
                </w:tcPr>
                <w:p w14:paraId="3878E778">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p>
              </w:tc>
              <w:tc>
                <w:tcPr>
                  <w:tcW w:w="614" w:type="pct"/>
                  <w:shd w:val="clear" w:color="auto" w:fill="auto"/>
                  <w:noWrap w:val="0"/>
                  <w:vAlign w:val="center"/>
                </w:tcPr>
                <w:p w14:paraId="7485DF93">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5</w:t>
                  </w:r>
                </w:p>
              </w:tc>
              <w:tc>
                <w:tcPr>
                  <w:tcW w:w="583" w:type="pct"/>
                  <w:vMerge w:val="continue"/>
                  <w:noWrap w:val="0"/>
                  <w:vAlign w:val="center"/>
                </w:tcPr>
                <w:p w14:paraId="262FDA50">
                  <w:pPr>
                    <w:pStyle w:val="168"/>
                    <w:keepNext w:val="0"/>
                    <w:keepLines w:val="0"/>
                    <w:suppressLineNumbers w:val="0"/>
                    <w:spacing w:beforeAutospacing="0" w:afterAutospacing="0"/>
                    <w:ind w:left="0" w:right="0"/>
                    <w:rPr>
                      <w:rFonts w:hint="default" w:eastAsia="仿宋"/>
                      <w:color w:val="auto"/>
                      <w:sz w:val="18"/>
                      <w:szCs w:val="18"/>
                    </w:rPr>
                  </w:pPr>
                </w:p>
              </w:tc>
            </w:tr>
            <w:tr w14:paraId="564CE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EE87B71">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15</w:t>
                  </w:r>
                </w:p>
              </w:tc>
              <w:tc>
                <w:tcPr>
                  <w:tcW w:w="605" w:type="pct"/>
                  <w:shd w:val="clear" w:color="auto" w:fill="auto"/>
                  <w:noWrap w:val="0"/>
                  <w:tcMar>
                    <w:top w:w="15" w:type="dxa"/>
                    <w:left w:w="15" w:type="dxa"/>
                    <w:bottom w:w="0" w:type="dxa"/>
                    <w:right w:w="15" w:type="dxa"/>
                  </w:tcMar>
                  <w:vAlign w:val="center"/>
                </w:tcPr>
                <w:p w14:paraId="7EC9F74A">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bidi="ar-SA"/>
                    </w:rPr>
                    <w:t>翻斗车</w:t>
                  </w:r>
                </w:p>
              </w:tc>
              <w:tc>
                <w:tcPr>
                  <w:tcW w:w="280" w:type="pct"/>
                  <w:shd w:val="clear" w:color="auto" w:fill="auto"/>
                  <w:noWrap w:val="0"/>
                  <w:vAlign w:val="center"/>
                </w:tcPr>
                <w:p w14:paraId="72F7925A">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280" w:type="pct"/>
                  <w:shd w:val="clear" w:color="auto" w:fill="auto"/>
                  <w:noWrap w:val="0"/>
                  <w:vAlign w:val="center"/>
                </w:tcPr>
                <w:p w14:paraId="558818D6">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472" w:type="pct"/>
                  <w:shd w:val="clear" w:color="auto" w:fill="auto"/>
                  <w:noWrap w:val="0"/>
                  <w:vAlign w:val="center"/>
                </w:tcPr>
                <w:p w14:paraId="1B516B46">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18"/>
                      <w:szCs w:val="18"/>
                      <w:lang w:val="en-US" w:eastAsia="zh-CN" w:bidi="ar-SA"/>
                    </w:rPr>
                  </w:pPr>
                  <w:r>
                    <w:rPr>
                      <w:rFonts w:hint="eastAsia" w:ascii="宋体" w:hAnsi="宋体" w:cs="宋体"/>
                      <w:color w:val="auto"/>
                      <w:kern w:val="0"/>
                      <w:sz w:val="18"/>
                      <w:szCs w:val="18"/>
                      <w:lang w:val="en-US" w:eastAsia="zh-CN"/>
                    </w:rPr>
                    <w:t>/</w:t>
                  </w:r>
                </w:p>
              </w:tc>
              <w:tc>
                <w:tcPr>
                  <w:tcW w:w="630" w:type="pct"/>
                  <w:shd w:val="clear" w:color="auto" w:fill="auto"/>
                  <w:noWrap w:val="0"/>
                  <w:tcMar>
                    <w:top w:w="15" w:type="dxa"/>
                    <w:left w:w="15" w:type="dxa"/>
                    <w:bottom w:w="0" w:type="dxa"/>
                    <w:right w:w="15" w:type="dxa"/>
                  </w:tcMar>
                  <w:vAlign w:val="center"/>
                </w:tcPr>
                <w:p w14:paraId="7B7428B1">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lang w:val="en-US" w:eastAsia="zh-CN" w:bidi="ar-SA"/>
                    </w:rPr>
                  </w:pPr>
                  <w:r>
                    <w:rPr>
                      <w:rFonts w:hint="eastAsia" w:ascii="宋体" w:hAnsi="宋体" w:eastAsia="宋体" w:cs="宋体"/>
                      <w:color w:val="auto"/>
                      <w:kern w:val="2"/>
                      <w:sz w:val="18"/>
                      <w:szCs w:val="18"/>
                      <w:lang w:val="en-US" w:eastAsia="zh-CN" w:bidi="ar-SA"/>
                    </w:rPr>
                    <w:t>70</w:t>
                  </w:r>
                </w:p>
              </w:tc>
              <w:tc>
                <w:tcPr>
                  <w:tcW w:w="533" w:type="pct"/>
                  <w:shd w:val="clear" w:color="auto" w:fill="auto"/>
                  <w:noWrap w:val="0"/>
                  <w:tcMar>
                    <w:top w:w="15" w:type="dxa"/>
                    <w:left w:w="15" w:type="dxa"/>
                    <w:bottom w:w="0" w:type="dxa"/>
                    <w:right w:w="15" w:type="dxa"/>
                  </w:tcMar>
                  <w:vAlign w:val="center"/>
                </w:tcPr>
                <w:p w14:paraId="2EC13E3B">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r>
                    <w:rPr>
                      <w:rFonts w:hint="eastAsia" w:ascii="宋体" w:hAnsi="宋体" w:cs="宋体"/>
                      <w:color w:val="auto"/>
                      <w:sz w:val="18"/>
                      <w:szCs w:val="18"/>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34CEC33E">
                  <w:pPr>
                    <w:pStyle w:val="168"/>
                    <w:keepNext w:val="0"/>
                    <w:keepLines w:val="0"/>
                    <w:suppressLineNumbers w:val="0"/>
                    <w:spacing w:beforeAutospacing="0" w:afterAutospacing="0"/>
                    <w:ind w:left="0" w:leftChars="0" w:right="0" w:rightChars="0" w:firstLine="0" w:firstLineChars="0"/>
                    <w:jc w:val="center"/>
                    <w:rPr>
                      <w:rFonts w:hint="eastAsia" w:ascii="宋体" w:hAnsi="宋体" w:eastAsia="宋体" w:cs="宋体"/>
                      <w:b w:val="0"/>
                      <w:bCs/>
                      <w:color w:val="auto"/>
                      <w:kern w:val="2"/>
                      <w:sz w:val="18"/>
                      <w:szCs w:val="18"/>
                      <w:lang w:val="en-US" w:eastAsia="zh-CN" w:bidi="ar-SA"/>
                    </w:rPr>
                  </w:pPr>
                </w:p>
              </w:tc>
              <w:tc>
                <w:tcPr>
                  <w:tcW w:w="614" w:type="pct"/>
                  <w:shd w:val="clear" w:color="auto" w:fill="auto"/>
                  <w:noWrap w:val="0"/>
                  <w:vAlign w:val="center"/>
                </w:tcPr>
                <w:p w14:paraId="275D6D9A">
                  <w:pPr>
                    <w:pStyle w:val="168"/>
                    <w:keepNext w:val="0"/>
                    <w:keepLines w:val="0"/>
                    <w:suppressLineNumbers w:val="0"/>
                    <w:spacing w:beforeAutospacing="0" w:afterAutospacing="0"/>
                    <w:ind w:left="0" w:leftChars="0" w:right="0" w:rightChars="0" w:firstLine="0" w:firstLineChars="0"/>
                    <w:jc w:val="center"/>
                    <w:rPr>
                      <w:rFonts w:hint="default" w:ascii="宋体" w:hAnsi="宋体" w:eastAsia="宋体" w:cs="宋体"/>
                      <w:b w:val="0"/>
                      <w:bCs/>
                      <w:color w:val="auto"/>
                      <w:kern w:val="2"/>
                      <w:sz w:val="18"/>
                      <w:szCs w:val="18"/>
                      <w:lang w:val="en-US" w:eastAsia="zh-CN" w:bidi="ar-SA"/>
                    </w:rPr>
                  </w:pPr>
                  <w:r>
                    <w:rPr>
                      <w:rFonts w:hint="eastAsia" w:ascii="宋体" w:hAnsi="宋体" w:eastAsia="宋体" w:cs="宋体"/>
                      <w:b w:val="0"/>
                      <w:bCs/>
                      <w:color w:val="auto"/>
                      <w:kern w:val="2"/>
                      <w:sz w:val="18"/>
                      <w:szCs w:val="18"/>
                      <w:lang w:val="en-US" w:eastAsia="zh-CN" w:bidi="ar-SA"/>
                    </w:rPr>
                    <w:t>5</w:t>
                  </w:r>
                </w:p>
              </w:tc>
              <w:tc>
                <w:tcPr>
                  <w:tcW w:w="583" w:type="pct"/>
                  <w:vMerge w:val="continue"/>
                  <w:noWrap w:val="0"/>
                  <w:vAlign w:val="center"/>
                </w:tcPr>
                <w:p w14:paraId="7F24A89F">
                  <w:pPr>
                    <w:pStyle w:val="168"/>
                    <w:keepNext w:val="0"/>
                    <w:keepLines w:val="0"/>
                    <w:suppressLineNumbers w:val="0"/>
                    <w:spacing w:beforeAutospacing="0" w:afterAutospacing="0"/>
                    <w:ind w:left="0" w:right="0"/>
                    <w:rPr>
                      <w:rFonts w:hint="default" w:eastAsia="仿宋"/>
                      <w:color w:val="auto"/>
                      <w:sz w:val="18"/>
                      <w:szCs w:val="18"/>
                    </w:rPr>
                  </w:pPr>
                </w:p>
              </w:tc>
            </w:tr>
          </w:tbl>
          <w:p w14:paraId="661153CE">
            <w:pPr>
              <w:pStyle w:val="165"/>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（2）影响预测</w:t>
            </w:r>
          </w:p>
          <w:p w14:paraId="1AC3036D">
            <w:pPr>
              <w:pStyle w:val="165"/>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①预测模式</w:t>
            </w:r>
          </w:p>
          <w:p w14:paraId="72AEC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（1）建筑物插入损失计算 </w:t>
            </w:r>
          </w:p>
          <w:p w14:paraId="6466D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根据《环境影响评价技术导则 声环境》（HJ2.4-2021）附录 B 可知，室内声源可采用等效室外声源声功率级法进行计算。设靠近开口处（或窗户）室内、室外某倍频带的声压级分别为LP1和LP2。若声源所在室内声场为近似扩散声场，则室外的倍频带声压级可按以下公式近似求出： </w:t>
            </w:r>
          </w:p>
          <w:p w14:paraId="6C8AB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LP2＝LP1-（TL+6）</w:t>
            </w:r>
          </w:p>
          <w:p w14:paraId="198FE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式中：TL—隔墙（或窗户）倍频带的隔声量，dB。 </w:t>
            </w:r>
          </w:p>
          <w:p w14:paraId="08ED9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（2）噪声预测模式及方法 </w:t>
            </w:r>
          </w:p>
          <w:p w14:paraId="26477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根据《环境影响评价技术导则 声环境》（HJ2.4-2021）中规定，本项目选用导则中附录 A、B 中给定的噪声预测模型，在不能取得声源倍频带声功率级或倍频带声压级，只能获得 A 声功率级或某点的 A 声级时，可用 A 声功率级或某点的 A 声级计算。 </w:t>
            </w:r>
          </w:p>
          <w:p w14:paraId="2BA221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1）基本公式 </w:t>
            </w:r>
          </w:p>
          <w:p w14:paraId="2D0C10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Lp(r)=Lw+DC-(Adiv++Aatm+Agr+Abar+Amisc)</w:t>
            </w:r>
          </w:p>
          <w:p w14:paraId="5D95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 Lp(r)——预测点处声压级，dB； </w:t>
            </w:r>
          </w:p>
          <w:p w14:paraId="54669A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Lw——由点声源产生的声功率级（A 计权或倍频带），dB； </w:t>
            </w:r>
          </w:p>
          <w:p w14:paraId="2F9812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DC——指向性校正，它描述点声源的等效连续声压级与产生声功率级 Lw 的全向点声源在规定方向的声级的偏差程度，dB；</w:t>
            </w:r>
          </w:p>
          <w:p w14:paraId="070FE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Adiv——几何发散引起的衰减，dB； </w:t>
            </w:r>
          </w:p>
          <w:p w14:paraId="59710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Aatm——大气吸收引起的衰减，dB； </w:t>
            </w:r>
          </w:p>
          <w:p w14:paraId="37A51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Agr——地面效应引起的衰减，dB； </w:t>
            </w:r>
          </w:p>
          <w:p w14:paraId="2E49CF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Abar——障碍物屏蔽引起的衰减，dB； </w:t>
            </w:r>
          </w:p>
          <w:p w14:paraId="3A3E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Amisc——其他多方面效应引起的衰减，dB。 </w:t>
            </w:r>
          </w:p>
          <w:p w14:paraId="3559F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2）预测条件假设 </w:t>
            </w:r>
          </w:p>
          <w:p w14:paraId="3E10CA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①所有产噪设备均在正常工况条件下运行； </w:t>
            </w:r>
          </w:p>
          <w:p w14:paraId="208C36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②考虑室内声源所在厂房围护结构的隔声、吸声作用； </w:t>
            </w:r>
          </w:p>
          <w:p w14:paraId="2A8D8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③衰减仅考虑几何发散衰减。 </w:t>
            </w:r>
          </w:p>
          <w:p w14:paraId="11A69E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3）室内声源 </w:t>
            </w:r>
          </w:p>
          <w:p w14:paraId="587B8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室内声源由室内向室外传播示意图见下图。</w:t>
            </w:r>
          </w:p>
          <w:p w14:paraId="48AEB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4524375" cy="2238375"/>
                  <wp:effectExtent l="0" t="0" r="9525" b="9525"/>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21"/>
                          <a:stretch>
                            <a:fillRect/>
                          </a:stretch>
                        </pic:blipFill>
                        <pic:spPr>
                          <a:xfrm>
                            <a:off x="0" y="0"/>
                            <a:ext cx="4524375" cy="2238375"/>
                          </a:xfrm>
                          <a:prstGeom prst="rect">
                            <a:avLst/>
                          </a:prstGeom>
                          <a:noFill/>
                          <a:ln>
                            <a:noFill/>
                          </a:ln>
                        </pic:spPr>
                      </pic:pic>
                    </a:graphicData>
                  </a:graphic>
                </wp:inline>
              </w:drawing>
            </w:r>
          </w:p>
          <w:p w14:paraId="44156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①如果已知声源的声压级 L(r0)，且声源位于地面上，则</w:t>
            </w:r>
          </w:p>
          <w:p w14:paraId="0AE2B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Lw=L(r0)+20lgr0+8</w:t>
            </w:r>
          </w:p>
          <w:p w14:paraId="71B78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②首先计算出某个室内声源靠近围护结构处的声压级： </w:t>
            </w:r>
          </w:p>
          <w:p w14:paraId="21B26E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2571750" cy="723900"/>
                  <wp:effectExtent l="0" t="0" r="0" b="0"/>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22"/>
                          <a:stretch>
                            <a:fillRect/>
                          </a:stretch>
                        </pic:blipFill>
                        <pic:spPr>
                          <a:xfrm>
                            <a:off x="0" y="0"/>
                            <a:ext cx="2571750" cy="723900"/>
                          </a:xfrm>
                          <a:prstGeom prst="rect">
                            <a:avLst/>
                          </a:prstGeom>
                          <a:noFill/>
                          <a:ln>
                            <a:noFill/>
                          </a:ln>
                        </pic:spPr>
                      </pic:pic>
                    </a:graphicData>
                  </a:graphic>
                </wp:inline>
              </w:drawing>
            </w:r>
          </w:p>
          <w:p w14:paraId="28065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式中：Lp1——某个室内声源靠近围护结构处的声压级。 </w:t>
            </w:r>
          </w:p>
          <w:p w14:paraId="3CEB5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Lw——某个室内声源靠近围护结构处产生的声功率级。 </w:t>
            </w:r>
          </w:p>
          <w:p w14:paraId="4A00E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Q——指向性因数；通常对无指向性声源，当声源放在房间中心时，Q=1； </w:t>
            </w:r>
          </w:p>
          <w:p w14:paraId="542FE9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当放在一面墙的中心时，Q=2；当放在两面墙夹角处时，Q=4；当放在三面墙夹角处时，Q=8。R——房间常数；R=Sa/(1-a)，S 为房间内表面面积，m²；a为平均吸声系数，本评价a取0.15。 </w:t>
            </w:r>
          </w:p>
          <w:p w14:paraId="44F720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r——声源到靠近围护结构某点处的距离，m。 </w:t>
            </w:r>
          </w:p>
          <w:p w14:paraId="75B94E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③计算出所有室内声源在围护结构处产生的总声压级：</w:t>
            </w:r>
          </w:p>
          <w:p w14:paraId="7F5525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2228850" cy="619125"/>
                  <wp:effectExtent l="0" t="0" r="0" b="9525"/>
                  <wp:docPr id="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pic:cNvPicPr>
                            <a:picLocks noChangeAspect="1"/>
                          </pic:cNvPicPr>
                        </pic:nvPicPr>
                        <pic:blipFill>
                          <a:blip r:embed="rId23"/>
                          <a:stretch>
                            <a:fillRect/>
                          </a:stretch>
                        </pic:blipFill>
                        <pic:spPr>
                          <a:xfrm>
                            <a:off x="0" y="0"/>
                            <a:ext cx="2228850" cy="619125"/>
                          </a:xfrm>
                          <a:prstGeom prst="rect">
                            <a:avLst/>
                          </a:prstGeom>
                          <a:noFill/>
                          <a:ln>
                            <a:noFill/>
                          </a:ln>
                        </pic:spPr>
                      </pic:pic>
                    </a:graphicData>
                  </a:graphic>
                </wp:inline>
              </w:drawing>
            </w:r>
          </w:p>
          <w:p w14:paraId="558B69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式中：L1pi(T)——靠近围护结构处室内 N 个声源 i 倍频带的叠加声压级，dB；</w:t>
            </w:r>
          </w:p>
          <w:p w14:paraId="384C44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Lplij——室内 j 声源 i 倍频带的声压级，dB； </w:t>
            </w:r>
          </w:p>
          <w:p w14:paraId="0B358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N——室内声源总数。 </w:t>
            </w:r>
          </w:p>
          <w:p w14:paraId="42695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④计算出室外靠近围护结构处的声压级：</w:t>
            </w:r>
          </w:p>
          <w:p w14:paraId="582612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Lp2=Lp1-(TL+6)</w:t>
            </w:r>
          </w:p>
          <w:p w14:paraId="08E3F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式中：Lp1——靠近开口处（或窗户）室内某倍频带的声压级或 A 声级，dB； </w:t>
            </w:r>
          </w:p>
          <w:p w14:paraId="45224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Lp2——靠近开口处（或窗户）室外某倍频带的声压级或 A 声级，dB； </w:t>
            </w:r>
          </w:p>
          <w:p w14:paraId="4C56E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TL——隔墙（或窗户）倍频带或 A 声级的隔声量，dB。 </w:t>
            </w:r>
          </w:p>
          <w:p w14:paraId="6F9D86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⑤将室外声级 </w:t>
            </w:r>
            <w:r>
              <w:rPr>
                <w:rFonts w:hint="default" w:cs="Times New Roman"/>
                <w:color w:val="auto"/>
                <w:kern w:val="0"/>
                <w:sz w:val="21"/>
                <w:szCs w:val="21"/>
                <w:highlight w:val="none"/>
                <w:shd w:val="clear" w:color="auto" w:fill="auto"/>
                <w:lang w:val="en-US" w:eastAsia="zh-CN"/>
              </w:rPr>
              <w:t>Lp2</w:t>
            </w:r>
            <w:r>
              <w:rPr>
                <w:rFonts w:hint="eastAsia" w:cs="Times New Roman"/>
                <w:color w:val="auto"/>
                <w:kern w:val="0"/>
                <w:sz w:val="21"/>
                <w:szCs w:val="21"/>
                <w:highlight w:val="none"/>
                <w:shd w:val="clear" w:color="auto" w:fill="auto"/>
                <w:lang w:val="en-US" w:eastAsia="zh-CN"/>
              </w:rPr>
              <w:t>（</w:t>
            </w:r>
            <w:r>
              <w:rPr>
                <w:rFonts w:hint="default" w:cs="Times New Roman"/>
                <w:color w:val="auto"/>
                <w:kern w:val="0"/>
                <w:sz w:val="21"/>
                <w:szCs w:val="21"/>
                <w:highlight w:val="none"/>
                <w:shd w:val="clear" w:color="auto" w:fill="auto"/>
                <w:lang w:val="en-US" w:eastAsia="zh-CN"/>
              </w:rPr>
              <w:t>T</w:t>
            </w:r>
            <w:r>
              <w:rPr>
                <w:rFonts w:hint="eastAsia" w:cs="Times New Roman"/>
                <w:color w:val="auto"/>
                <w:kern w:val="0"/>
                <w:sz w:val="21"/>
                <w:szCs w:val="21"/>
                <w:highlight w:val="none"/>
                <w:shd w:val="clear" w:color="auto" w:fill="auto"/>
                <w:lang w:val="en-US" w:eastAsia="zh-CN"/>
              </w:rPr>
              <w:t xml:space="preserve">）和透声面积换算成等效的室外声源，计算出等效声源的声功率级 </w:t>
            </w:r>
            <w:r>
              <w:rPr>
                <w:rFonts w:hint="default" w:cs="Times New Roman"/>
                <w:color w:val="auto"/>
                <w:kern w:val="0"/>
                <w:sz w:val="21"/>
                <w:szCs w:val="21"/>
                <w:highlight w:val="none"/>
                <w:shd w:val="clear" w:color="auto" w:fill="auto"/>
                <w:lang w:val="en-US" w:eastAsia="zh-CN"/>
              </w:rPr>
              <w:t>Lw</w:t>
            </w:r>
            <w:r>
              <w:rPr>
                <w:rFonts w:hint="eastAsia" w:cs="Times New Roman"/>
                <w:color w:val="auto"/>
                <w:kern w:val="0"/>
                <w:sz w:val="21"/>
                <w:szCs w:val="21"/>
                <w:highlight w:val="none"/>
                <w:shd w:val="clear" w:color="auto" w:fill="auto"/>
                <w:lang w:val="en-US" w:eastAsia="zh-CN"/>
              </w:rPr>
              <w:t>；</w:t>
            </w:r>
          </w:p>
          <w:p w14:paraId="46D19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default" w:cs="Times New Roman"/>
                <w:color w:val="auto"/>
                <w:kern w:val="0"/>
                <w:sz w:val="21"/>
                <w:szCs w:val="21"/>
                <w:highlight w:val="none"/>
                <w:shd w:val="clear" w:color="auto" w:fill="auto"/>
                <w:lang w:val="en-US" w:eastAsia="zh-CN"/>
              </w:rPr>
              <w:t>L=Lp2(T)+101gS</w:t>
            </w:r>
          </w:p>
          <w:p w14:paraId="02509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式中：</w:t>
            </w:r>
            <w:r>
              <w:rPr>
                <w:rFonts w:hint="default" w:cs="Times New Roman"/>
                <w:color w:val="auto"/>
                <w:kern w:val="0"/>
                <w:sz w:val="21"/>
                <w:szCs w:val="21"/>
                <w:highlight w:val="none"/>
                <w:shd w:val="clear" w:color="auto" w:fill="auto"/>
                <w:lang w:val="en-US" w:eastAsia="zh-CN"/>
              </w:rPr>
              <w:t xml:space="preserve">S </w:t>
            </w:r>
            <w:r>
              <w:rPr>
                <w:rFonts w:hint="eastAsia" w:cs="Times New Roman"/>
                <w:color w:val="auto"/>
                <w:kern w:val="0"/>
                <w:sz w:val="21"/>
                <w:szCs w:val="21"/>
                <w:highlight w:val="none"/>
                <w:shd w:val="clear" w:color="auto" w:fill="auto"/>
                <w:lang w:val="en-US" w:eastAsia="zh-CN"/>
              </w:rPr>
              <w:t>为透声面积，</w:t>
            </w:r>
            <w:r>
              <w:rPr>
                <w:rFonts w:hint="default" w:cs="Times New Roman"/>
                <w:color w:val="auto"/>
                <w:kern w:val="0"/>
                <w:sz w:val="21"/>
                <w:szCs w:val="21"/>
                <w:highlight w:val="none"/>
                <w:shd w:val="clear" w:color="auto" w:fill="auto"/>
                <w:lang w:val="en-US" w:eastAsia="zh-CN"/>
              </w:rPr>
              <w:t xml:space="preserve">m2 </w:t>
            </w:r>
            <w:r>
              <w:rPr>
                <w:rFonts w:hint="eastAsia" w:cs="Times New Roman"/>
                <w:color w:val="auto"/>
                <w:kern w:val="0"/>
                <w:sz w:val="21"/>
                <w:szCs w:val="21"/>
                <w:highlight w:val="none"/>
                <w:shd w:val="clear" w:color="auto" w:fill="auto"/>
                <w:lang w:val="en-US" w:eastAsia="zh-CN"/>
              </w:rPr>
              <w:t xml:space="preserve">。 </w:t>
            </w:r>
          </w:p>
          <w:p w14:paraId="152FE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⑥等效室外声源的位置为围护结构的位置，其声功率级为 </w:t>
            </w:r>
            <w:r>
              <w:rPr>
                <w:rFonts w:hint="default" w:cs="Times New Roman"/>
                <w:color w:val="auto"/>
                <w:kern w:val="0"/>
                <w:sz w:val="21"/>
                <w:szCs w:val="21"/>
                <w:highlight w:val="none"/>
                <w:shd w:val="clear" w:color="auto" w:fill="auto"/>
                <w:lang w:val="en-US" w:eastAsia="zh-CN"/>
              </w:rPr>
              <w:t>Lw</w:t>
            </w:r>
            <w:r>
              <w:rPr>
                <w:rFonts w:hint="eastAsia" w:cs="Times New Roman"/>
                <w:color w:val="auto"/>
                <w:kern w:val="0"/>
                <w:sz w:val="21"/>
                <w:szCs w:val="21"/>
                <w:highlight w:val="none"/>
                <w:shd w:val="clear" w:color="auto" w:fill="auto"/>
                <w:lang w:val="en-US" w:eastAsia="zh-CN"/>
              </w:rPr>
              <w:t xml:space="preserve">，由此按室外声源方法计算等效室外声源在预测点产生的 </w:t>
            </w:r>
            <w:r>
              <w:rPr>
                <w:rFonts w:hint="default" w:cs="Times New Roman"/>
                <w:color w:val="auto"/>
                <w:kern w:val="0"/>
                <w:sz w:val="21"/>
                <w:szCs w:val="21"/>
                <w:highlight w:val="none"/>
                <w:shd w:val="clear" w:color="auto" w:fill="auto"/>
                <w:lang w:val="en-US" w:eastAsia="zh-CN"/>
              </w:rPr>
              <w:t xml:space="preserve">A </w:t>
            </w:r>
            <w:r>
              <w:rPr>
                <w:rFonts w:hint="eastAsia" w:cs="Times New Roman"/>
                <w:color w:val="auto"/>
                <w:kern w:val="0"/>
                <w:sz w:val="21"/>
                <w:szCs w:val="21"/>
                <w:highlight w:val="none"/>
                <w:shd w:val="clear" w:color="auto" w:fill="auto"/>
                <w:lang w:val="en-US" w:eastAsia="zh-CN"/>
              </w:rPr>
              <w:t xml:space="preserve">声级。 </w:t>
            </w:r>
          </w:p>
          <w:p w14:paraId="5D2E6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4）室外声源 </w:t>
            </w:r>
          </w:p>
          <w:p w14:paraId="12B9D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计算某个声源在预测点的声压级</w:t>
            </w:r>
          </w:p>
          <w:p w14:paraId="53C0A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LA(r)=LA(r0)-Adiv-Abar</w:t>
            </w:r>
          </w:p>
          <w:p w14:paraId="19890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式中：LA(r)——点声源在预测点产生的声压级，dB(A)； </w:t>
            </w:r>
          </w:p>
          <w:p w14:paraId="3A7FB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LA(r0)——参考位置 r0 处的声压级，dB(A)； </w:t>
            </w:r>
          </w:p>
          <w:p w14:paraId="282CD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r——预测点距声源的距离，m； </w:t>
            </w:r>
          </w:p>
          <w:p w14:paraId="6282D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r0——参考位置距声源的距离，m； </w:t>
            </w:r>
          </w:p>
          <w:p w14:paraId="5A856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Adiv——几何发散引起的衰减，dB，Adiv=201g(r/rO)；</w:t>
            </w:r>
          </w:p>
          <w:p w14:paraId="54D7D1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Abar——障碍物屏蔽引起的衰减，dB。 </w:t>
            </w:r>
          </w:p>
          <w:p w14:paraId="2600B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5）计算总声压级 </w:t>
            </w:r>
          </w:p>
          <w:p w14:paraId="79BD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设第 i 个室外声源在预测点产生的 A 声级为 LAi，在 T 时间内该声源工作时间为 ti；第 j 个等效室外声源在预测点产生的 A 声级为 LAj，在 T 时间内该声源工作时间为 tj，则工程声源对预测点产生的贡献值（Leqg）为：</w:t>
            </w:r>
          </w:p>
          <w:p w14:paraId="6D004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3429000" cy="771525"/>
                  <wp:effectExtent l="0" t="0" r="0" b="9525"/>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24"/>
                          <a:stretch>
                            <a:fillRect/>
                          </a:stretch>
                        </pic:blipFill>
                        <pic:spPr>
                          <a:xfrm>
                            <a:off x="0" y="0"/>
                            <a:ext cx="3429000" cy="771525"/>
                          </a:xfrm>
                          <a:prstGeom prst="rect">
                            <a:avLst/>
                          </a:prstGeom>
                          <a:noFill/>
                          <a:ln>
                            <a:noFill/>
                          </a:ln>
                        </pic:spPr>
                      </pic:pic>
                    </a:graphicData>
                  </a:graphic>
                </wp:inline>
              </w:drawing>
            </w:r>
          </w:p>
          <w:p w14:paraId="47045F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式中：Leqg——建设项目声源在预测点产生的噪声贡献值，dB； </w:t>
            </w:r>
          </w:p>
          <w:p w14:paraId="1A769D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T——用于计算等效声级的时间，s； </w:t>
            </w:r>
          </w:p>
          <w:p w14:paraId="35C3B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N——室外声源个数； </w:t>
            </w:r>
          </w:p>
          <w:p w14:paraId="10F98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ti——在 T 时间内 i 声源工作时间，s； </w:t>
            </w:r>
          </w:p>
          <w:p w14:paraId="4E0C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M——等效室外声源个数； </w:t>
            </w:r>
          </w:p>
          <w:p w14:paraId="6BEB38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tj——在 T 时间内 j 声源工作时间，s。 </w:t>
            </w:r>
          </w:p>
          <w:p w14:paraId="56E5B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（3）厂界预测结果 </w:t>
            </w:r>
          </w:p>
          <w:p w14:paraId="44A46F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根据预测模式，项目在采取各种隔声降噪措施后，得出项目建设完成投入运行后设备噪声对厂界声环境贡献值预测结果如下表所示，厂区噪声贡献等值线分布情况见下表。</w:t>
            </w:r>
          </w:p>
          <w:p w14:paraId="22D0C71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pacing w:val="0"/>
                <w:kern w:val="2"/>
                <w:sz w:val="21"/>
                <w:szCs w:val="21"/>
                <w:highlight w:val="none"/>
                <w:lang w:val="en-US" w:eastAsia="zh-CN" w:bidi="ar-SA"/>
              </w:rPr>
            </w:pPr>
          </w:p>
          <w:p w14:paraId="6B7F6EAC">
            <w:pPr>
              <w:pStyle w:val="72"/>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ascii="Times New Roman" w:hAnsi="Times New Roman" w:eastAsia="宋体" w:cs="Times New Roman"/>
                <w:b/>
                <w:color w:val="auto"/>
                <w:kern w:val="2"/>
                <w:sz w:val="21"/>
                <w:szCs w:val="21"/>
                <w:highlight w:val="none"/>
                <w:lang w:val="en-US" w:eastAsia="zh-CN" w:bidi="ar-SA"/>
              </w:rPr>
              <w:t>-</w:t>
            </w:r>
            <w:r>
              <w:rPr>
                <w:rFonts w:hint="eastAsia" w:ascii="Times New Roman" w:eastAsia="宋体" w:cs="Times New Roman"/>
                <w:b/>
                <w:color w:val="auto"/>
                <w:kern w:val="2"/>
                <w:sz w:val="21"/>
                <w:szCs w:val="21"/>
                <w:highlight w:val="none"/>
                <w:lang w:val="en-US" w:eastAsia="zh-CN" w:bidi="ar-SA"/>
              </w:rPr>
              <w:t>9</w:t>
            </w:r>
            <w:r>
              <w:rPr>
                <w:rFonts w:hint="eastAsia" w:ascii="Times New Roman" w:hAnsi="Times New Roman" w:eastAsia="宋体"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运营期间厂界噪声预测结果    单位：dB（A）</w:t>
            </w:r>
          </w:p>
          <w:tbl>
            <w:tblPr>
              <w:tblStyle w:val="36"/>
              <w:tblW w:w="8054"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964"/>
              <w:gridCol w:w="1342"/>
              <w:gridCol w:w="1342"/>
              <w:gridCol w:w="1343"/>
              <w:gridCol w:w="1343"/>
            </w:tblGrid>
            <w:tr w14:paraId="7699CC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Merge w:val="restart"/>
                  <w:tcBorders>
                    <w:tl2br w:val="nil"/>
                    <w:tr2bl w:val="nil"/>
                  </w:tcBorders>
                </w:tcPr>
                <w:p w14:paraId="57BFA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编号</w:t>
                  </w:r>
                </w:p>
              </w:tc>
              <w:tc>
                <w:tcPr>
                  <w:tcW w:w="1964" w:type="dxa"/>
                  <w:vMerge w:val="restart"/>
                  <w:tcBorders>
                    <w:tl2br w:val="nil"/>
                    <w:tr2bl w:val="nil"/>
                  </w:tcBorders>
                </w:tcPr>
                <w:p w14:paraId="07368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预测点</w:t>
                  </w:r>
                </w:p>
              </w:tc>
              <w:tc>
                <w:tcPr>
                  <w:tcW w:w="2684" w:type="dxa"/>
                  <w:gridSpan w:val="2"/>
                  <w:tcBorders>
                    <w:tl2br w:val="nil"/>
                    <w:tr2bl w:val="nil"/>
                  </w:tcBorders>
                </w:tcPr>
                <w:p w14:paraId="25EBB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贡献值</w:t>
                  </w:r>
                </w:p>
              </w:tc>
              <w:tc>
                <w:tcPr>
                  <w:tcW w:w="2686" w:type="dxa"/>
                  <w:gridSpan w:val="2"/>
                  <w:tcBorders>
                    <w:tl2br w:val="nil"/>
                    <w:tr2bl w:val="nil"/>
                  </w:tcBorders>
                </w:tcPr>
                <w:p w14:paraId="2B0B0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标准值</w:t>
                  </w:r>
                </w:p>
              </w:tc>
            </w:tr>
            <w:tr w14:paraId="5D7CF5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Merge w:val="continue"/>
                  <w:tcBorders>
                    <w:tl2br w:val="nil"/>
                    <w:tr2bl w:val="nil"/>
                  </w:tcBorders>
                </w:tcPr>
                <w:p w14:paraId="45B3F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964" w:type="dxa"/>
                  <w:vMerge w:val="continue"/>
                  <w:tcBorders>
                    <w:tl2br w:val="nil"/>
                    <w:tr2bl w:val="nil"/>
                  </w:tcBorders>
                </w:tcPr>
                <w:p w14:paraId="440D35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342" w:type="dxa"/>
                  <w:tcBorders>
                    <w:tl2br w:val="nil"/>
                    <w:tr2bl w:val="nil"/>
                  </w:tcBorders>
                </w:tcPr>
                <w:p w14:paraId="3F62F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昼间</w:t>
                  </w:r>
                </w:p>
              </w:tc>
              <w:tc>
                <w:tcPr>
                  <w:tcW w:w="1342" w:type="dxa"/>
                  <w:tcBorders>
                    <w:tl2br w:val="nil"/>
                    <w:tr2bl w:val="nil"/>
                  </w:tcBorders>
                </w:tcPr>
                <w:p w14:paraId="2370E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夜间</w:t>
                  </w:r>
                </w:p>
              </w:tc>
              <w:tc>
                <w:tcPr>
                  <w:tcW w:w="1343" w:type="dxa"/>
                  <w:tcBorders>
                    <w:tl2br w:val="nil"/>
                    <w:tr2bl w:val="nil"/>
                  </w:tcBorders>
                  <w:shd w:val="clear" w:color="auto" w:fill="auto"/>
                  <w:vAlign w:val="top"/>
                </w:tcPr>
                <w:p w14:paraId="4D1C2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昼间</w:t>
                  </w:r>
                </w:p>
              </w:tc>
              <w:tc>
                <w:tcPr>
                  <w:tcW w:w="1343" w:type="dxa"/>
                  <w:tcBorders>
                    <w:tl2br w:val="nil"/>
                    <w:tr2bl w:val="nil"/>
                  </w:tcBorders>
                  <w:shd w:val="clear" w:color="auto" w:fill="auto"/>
                  <w:vAlign w:val="top"/>
                </w:tcPr>
                <w:p w14:paraId="11D96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夜间</w:t>
                  </w:r>
                </w:p>
              </w:tc>
            </w:tr>
            <w:tr w14:paraId="0BF6CF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vAlign w:val="center"/>
                </w:tcPr>
                <w:p w14:paraId="57EC4AD9">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eastAsia="仿宋"/>
                      <w:color w:val="auto"/>
                      <w:sz w:val="18"/>
                      <w:szCs w:val="18"/>
                      <w:highlight w:val="none"/>
                    </w:rPr>
                    <w:t>1</w:t>
                  </w:r>
                </w:p>
              </w:tc>
              <w:tc>
                <w:tcPr>
                  <w:tcW w:w="1964" w:type="dxa"/>
                  <w:tcBorders>
                    <w:tl2br w:val="nil"/>
                    <w:tr2bl w:val="nil"/>
                  </w:tcBorders>
                  <w:vAlign w:val="center"/>
                </w:tcPr>
                <w:p w14:paraId="791FFA7E">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67"/>
                      <w:color w:val="auto"/>
                      <w:sz w:val="18"/>
                      <w:szCs w:val="18"/>
                      <w:highlight w:val="none"/>
                    </w:rPr>
                    <w:t>东侧厂界外1m</w:t>
                  </w:r>
                </w:p>
              </w:tc>
              <w:tc>
                <w:tcPr>
                  <w:tcW w:w="1342" w:type="dxa"/>
                  <w:tcBorders>
                    <w:tl2br w:val="nil"/>
                    <w:tr2bl w:val="nil"/>
                  </w:tcBorders>
                  <w:vAlign w:val="center"/>
                </w:tcPr>
                <w:p w14:paraId="3F004221">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35.71</w:t>
                  </w:r>
                </w:p>
              </w:tc>
              <w:tc>
                <w:tcPr>
                  <w:tcW w:w="1342" w:type="dxa"/>
                  <w:tcBorders>
                    <w:tl2br w:val="nil"/>
                    <w:tr2bl w:val="nil"/>
                  </w:tcBorders>
                  <w:vAlign w:val="center"/>
                </w:tcPr>
                <w:p w14:paraId="7E482BBD">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35.71</w:t>
                  </w:r>
                </w:p>
              </w:tc>
              <w:tc>
                <w:tcPr>
                  <w:tcW w:w="1343" w:type="dxa"/>
                  <w:tcBorders>
                    <w:tl2br w:val="nil"/>
                    <w:tr2bl w:val="nil"/>
                  </w:tcBorders>
                  <w:vAlign w:val="center"/>
                </w:tcPr>
                <w:p w14:paraId="37AA8535">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60</w:t>
                  </w:r>
                </w:p>
              </w:tc>
              <w:tc>
                <w:tcPr>
                  <w:tcW w:w="1343" w:type="dxa"/>
                  <w:tcBorders>
                    <w:tl2br w:val="nil"/>
                    <w:tr2bl w:val="nil"/>
                  </w:tcBorders>
                  <w:vAlign w:val="center"/>
                </w:tcPr>
                <w:p w14:paraId="53EE99DB">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50</w:t>
                  </w:r>
                </w:p>
              </w:tc>
            </w:tr>
            <w:tr w14:paraId="49B7C8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vAlign w:val="center"/>
                </w:tcPr>
                <w:p w14:paraId="2D62C27F">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eastAsia="仿宋"/>
                      <w:color w:val="auto"/>
                      <w:sz w:val="18"/>
                      <w:szCs w:val="18"/>
                      <w:highlight w:val="none"/>
                    </w:rPr>
                    <w:t>2</w:t>
                  </w:r>
                </w:p>
              </w:tc>
              <w:tc>
                <w:tcPr>
                  <w:tcW w:w="1964" w:type="dxa"/>
                  <w:tcBorders>
                    <w:tl2br w:val="nil"/>
                    <w:tr2bl w:val="nil"/>
                  </w:tcBorders>
                  <w:vAlign w:val="center"/>
                </w:tcPr>
                <w:p w14:paraId="1BC5E37F">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67"/>
                      <w:color w:val="auto"/>
                      <w:sz w:val="18"/>
                      <w:szCs w:val="18"/>
                      <w:highlight w:val="none"/>
                    </w:rPr>
                    <w:t>南侧厂界外1m</w:t>
                  </w:r>
                </w:p>
              </w:tc>
              <w:tc>
                <w:tcPr>
                  <w:tcW w:w="1342" w:type="dxa"/>
                  <w:tcBorders>
                    <w:tl2br w:val="nil"/>
                    <w:tr2bl w:val="nil"/>
                  </w:tcBorders>
                  <w:vAlign w:val="center"/>
                </w:tcPr>
                <w:p w14:paraId="1F86BCFD">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40.33</w:t>
                  </w:r>
                </w:p>
              </w:tc>
              <w:tc>
                <w:tcPr>
                  <w:tcW w:w="1342" w:type="dxa"/>
                  <w:tcBorders>
                    <w:tl2br w:val="nil"/>
                    <w:tr2bl w:val="nil"/>
                  </w:tcBorders>
                  <w:shd w:val="clear" w:color="auto" w:fill="auto"/>
                  <w:vAlign w:val="center"/>
                </w:tcPr>
                <w:p w14:paraId="67083545">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40.33</w:t>
                  </w:r>
                </w:p>
              </w:tc>
              <w:tc>
                <w:tcPr>
                  <w:tcW w:w="1343" w:type="dxa"/>
                  <w:tcBorders>
                    <w:tl2br w:val="nil"/>
                    <w:tr2bl w:val="nil"/>
                  </w:tcBorders>
                  <w:vAlign w:val="center"/>
                </w:tcPr>
                <w:p w14:paraId="5A78BBB4">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60</w:t>
                  </w:r>
                </w:p>
              </w:tc>
              <w:tc>
                <w:tcPr>
                  <w:tcW w:w="1343" w:type="dxa"/>
                  <w:tcBorders>
                    <w:tl2br w:val="nil"/>
                    <w:tr2bl w:val="nil"/>
                  </w:tcBorders>
                  <w:vAlign w:val="center"/>
                </w:tcPr>
                <w:p w14:paraId="06883C32">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50</w:t>
                  </w:r>
                </w:p>
              </w:tc>
            </w:tr>
            <w:tr w14:paraId="29ADDF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vAlign w:val="center"/>
                </w:tcPr>
                <w:p w14:paraId="76D31ECC">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eastAsia="仿宋"/>
                      <w:color w:val="auto"/>
                      <w:sz w:val="18"/>
                      <w:szCs w:val="18"/>
                      <w:highlight w:val="none"/>
                    </w:rPr>
                    <w:t>3</w:t>
                  </w:r>
                </w:p>
              </w:tc>
              <w:tc>
                <w:tcPr>
                  <w:tcW w:w="1964" w:type="dxa"/>
                  <w:tcBorders>
                    <w:tl2br w:val="nil"/>
                    <w:tr2bl w:val="nil"/>
                  </w:tcBorders>
                  <w:vAlign w:val="center"/>
                </w:tcPr>
                <w:p w14:paraId="03C5636C">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67"/>
                      <w:color w:val="auto"/>
                      <w:sz w:val="18"/>
                      <w:szCs w:val="18"/>
                      <w:highlight w:val="none"/>
                    </w:rPr>
                    <w:t>西侧厂界外1m</w:t>
                  </w:r>
                </w:p>
              </w:tc>
              <w:tc>
                <w:tcPr>
                  <w:tcW w:w="1342" w:type="dxa"/>
                  <w:tcBorders>
                    <w:tl2br w:val="nil"/>
                    <w:tr2bl w:val="nil"/>
                  </w:tcBorders>
                  <w:vAlign w:val="center"/>
                </w:tcPr>
                <w:p w14:paraId="079C2397">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34.53</w:t>
                  </w:r>
                </w:p>
              </w:tc>
              <w:tc>
                <w:tcPr>
                  <w:tcW w:w="1342" w:type="dxa"/>
                  <w:tcBorders>
                    <w:tl2br w:val="nil"/>
                    <w:tr2bl w:val="nil"/>
                  </w:tcBorders>
                  <w:vAlign w:val="center"/>
                </w:tcPr>
                <w:p w14:paraId="377338C3">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34.53</w:t>
                  </w:r>
                </w:p>
              </w:tc>
              <w:tc>
                <w:tcPr>
                  <w:tcW w:w="1343" w:type="dxa"/>
                  <w:tcBorders>
                    <w:tl2br w:val="nil"/>
                    <w:tr2bl w:val="nil"/>
                  </w:tcBorders>
                  <w:vAlign w:val="center"/>
                </w:tcPr>
                <w:p w14:paraId="683AF76E">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60</w:t>
                  </w:r>
                </w:p>
              </w:tc>
              <w:tc>
                <w:tcPr>
                  <w:tcW w:w="1343" w:type="dxa"/>
                  <w:tcBorders>
                    <w:tl2br w:val="nil"/>
                    <w:tr2bl w:val="nil"/>
                  </w:tcBorders>
                  <w:vAlign w:val="center"/>
                </w:tcPr>
                <w:p w14:paraId="3F0DD235">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50</w:t>
                  </w:r>
                </w:p>
              </w:tc>
            </w:tr>
            <w:tr w14:paraId="294526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tl2br w:val="nil"/>
                    <w:tr2bl w:val="nil"/>
                  </w:tcBorders>
                  <w:vAlign w:val="center"/>
                </w:tcPr>
                <w:p w14:paraId="216200AA">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eastAsia="仿宋"/>
                      <w:color w:val="auto"/>
                      <w:sz w:val="18"/>
                      <w:szCs w:val="18"/>
                      <w:highlight w:val="none"/>
                    </w:rPr>
                    <w:t>4</w:t>
                  </w:r>
                </w:p>
              </w:tc>
              <w:tc>
                <w:tcPr>
                  <w:tcW w:w="1964" w:type="dxa"/>
                  <w:tcBorders>
                    <w:tl2br w:val="nil"/>
                    <w:tr2bl w:val="nil"/>
                  </w:tcBorders>
                  <w:vAlign w:val="center"/>
                </w:tcPr>
                <w:p w14:paraId="10195D08">
                  <w:pPr>
                    <w:pStyle w:val="148"/>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67"/>
                      <w:color w:val="auto"/>
                      <w:sz w:val="18"/>
                      <w:szCs w:val="18"/>
                      <w:highlight w:val="none"/>
                    </w:rPr>
                    <w:t>北侧厂界外1m</w:t>
                  </w:r>
                </w:p>
              </w:tc>
              <w:tc>
                <w:tcPr>
                  <w:tcW w:w="1342" w:type="dxa"/>
                  <w:tcBorders>
                    <w:tl2br w:val="nil"/>
                    <w:tr2bl w:val="nil"/>
                  </w:tcBorders>
                  <w:vAlign w:val="center"/>
                </w:tcPr>
                <w:p w14:paraId="700C4ADD">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35.13</w:t>
                  </w:r>
                </w:p>
              </w:tc>
              <w:tc>
                <w:tcPr>
                  <w:tcW w:w="1342" w:type="dxa"/>
                  <w:tcBorders>
                    <w:tl2br w:val="nil"/>
                    <w:tr2bl w:val="nil"/>
                  </w:tcBorders>
                  <w:shd w:val="clear" w:color="auto" w:fill="auto"/>
                  <w:vAlign w:val="center"/>
                </w:tcPr>
                <w:p w14:paraId="3DE7DECC">
                  <w:pPr>
                    <w:pStyle w:val="92"/>
                    <w:keepNext w:val="0"/>
                    <w:keepLines w:val="0"/>
                    <w:suppressLineNumbers w:val="0"/>
                    <w:spacing w:before="0" w:beforeAutospacing="0" w:after="0" w:afterAutospacing="0"/>
                    <w:ind w:left="0" w:leftChars="0" w:right="0" w:rightChars="0" w:firstLine="0" w:firstLineChars="0"/>
                    <w:jc w:val="center"/>
                    <w:rPr>
                      <w:rStyle w:val="167"/>
                      <w:rFonts w:hint="default" w:ascii="Times New Roman" w:hAnsi="Times New Roman" w:eastAsia="仿宋" w:cs="Times New Roman"/>
                      <w:color w:val="auto"/>
                      <w:sz w:val="18"/>
                      <w:szCs w:val="18"/>
                      <w:highlight w:val="none"/>
                      <w:lang w:val="en-US" w:eastAsia="zh-CN"/>
                    </w:rPr>
                  </w:pPr>
                  <w:r>
                    <w:rPr>
                      <w:rStyle w:val="167"/>
                      <w:rFonts w:hint="eastAsia" w:ascii="宋体" w:hAnsi="宋体" w:cs="宋体"/>
                      <w:color w:val="auto"/>
                      <w:sz w:val="18"/>
                      <w:szCs w:val="18"/>
                      <w:lang w:val="en-US" w:eastAsia="zh-CN"/>
                    </w:rPr>
                    <w:t>35.13</w:t>
                  </w:r>
                </w:p>
              </w:tc>
              <w:tc>
                <w:tcPr>
                  <w:tcW w:w="1343" w:type="dxa"/>
                  <w:tcBorders>
                    <w:tl2br w:val="nil"/>
                    <w:tr2bl w:val="nil"/>
                  </w:tcBorders>
                  <w:vAlign w:val="center"/>
                </w:tcPr>
                <w:p w14:paraId="6096FBB0">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60</w:t>
                  </w:r>
                </w:p>
              </w:tc>
              <w:tc>
                <w:tcPr>
                  <w:tcW w:w="1343" w:type="dxa"/>
                  <w:tcBorders>
                    <w:tl2br w:val="nil"/>
                    <w:tr2bl w:val="nil"/>
                  </w:tcBorders>
                  <w:vAlign w:val="center"/>
                </w:tcPr>
                <w:p w14:paraId="7049F619">
                  <w:pPr>
                    <w:pStyle w:val="92"/>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67"/>
                      <w:rFonts w:hint="eastAsia" w:eastAsia="仿宋"/>
                      <w:color w:val="auto"/>
                      <w:sz w:val="18"/>
                      <w:szCs w:val="18"/>
                      <w:highlight w:val="none"/>
                      <w:lang w:val="en-US" w:eastAsia="zh-CN"/>
                    </w:rPr>
                    <w:t>50</w:t>
                  </w:r>
                </w:p>
              </w:tc>
            </w:tr>
          </w:tbl>
          <w:p w14:paraId="1F31B74C">
            <w:pPr>
              <w:pStyle w:val="72"/>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表4-</w:t>
            </w:r>
            <w:r>
              <w:rPr>
                <w:rFonts w:hint="eastAsia" w:ascii="Times New Roman" w:eastAsia="宋体" w:cs="Times New Roman"/>
                <w:b/>
                <w:color w:val="auto"/>
                <w:kern w:val="2"/>
                <w:sz w:val="21"/>
                <w:szCs w:val="21"/>
                <w:highlight w:val="none"/>
                <w:lang w:val="en-US" w:eastAsia="zh-CN" w:bidi="ar-SA"/>
              </w:rPr>
              <w:t>10</w:t>
            </w:r>
            <w:r>
              <w:rPr>
                <w:rFonts w:hint="eastAsia" w:ascii="Times New Roman" w:hAnsi="Times New Roman" w:eastAsia="宋体" w:cs="Times New Roman"/>
                <w:b/>
                <w:color w:val="auto"/>
                <w:kern w:val="2"/>
                <w:sz w:val="21"/>
                <w:szCs w:val="21"/>
                <w:highlight w:val="none"/>
                <w:lang w:val="en-US" w:eastAsia="zh-CN" w:bidi="ar-SA"/>
              </w:rPr>
              <w:t>声环境保护目标噪声预测结果与达标分析表</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ascii="Times New Roman" w:hAnsi="Times New Roman" w:eastAsia="宋体"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单位：dB（A）</w:t>
            </w:r>
          </w:p>
          <w:tbl>
            <w:tblPr>
              <w:tblStyle w:val="36"/>
              <w:tblW w:w="805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5"/>
              <w:gridCol w:w="825"/>
              <w:gridCol w:w="570"/>
              <w:gridCol w:w="570"/>
              <w:gridCol w:w="570"/>
              <w:gridCol w:w="570"/>
              <w:gridCol w:w="570"/>
              <w:gridCol w:w="570"/>
              <w:gridCol w:w="570"/>
              <w:gridCol w:w="570"/>
              <w:gridCol w:w="570"/>
              <w:gridCol w:w="570"/>
              <w:gridCol w:w="578"/>
              <w:gridCol w:w="578"/>
            </w:tblGrid>
            <w:tr w14:paraId="2B4C48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375" w:type="dxa"/>
                  <w:vMerge w:val="restart"/>
                  <w:tcBorders>
                    <w:tl2br w:val="nil"/>
                    <w:tr2bl w:val="nil"/>
                  </w:tcBorders>
                  <w:vAlign w:val="center"/>
                </w:tcPr>
                <w:p w14:paraId="3C971972">
                  <w:pPr>
                    <w:pStyle w:val="44"/>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序号</w:t>
                  </w:r>
                </w:p>
              </w:tc>
              <w:tc>
                <w:tcPr>
                  <w:tcW w:w="825" w:type="dxa"/>
                  <w:vMerge w:val="restart"/>
                  <w:tcBorders>
                    <w:tl2br w:val="nil"/>
                    <w:tr2bl w:val="nil"/>
                  </w:tcBorders>
                  <w:vAlign w:val="center"/>
                </w:tcPr>
                <w:p w14:paraId="01861B1D">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环境保护目标名称</w:t>
                  </w:r>
                </w:p>
              </w:tc>
              <w:tc>
                <w:tcPr>
                  <w:tcW w:w="1140" w:type="dxa"/>
                  <w:gridSpan w:val="2"/>
                  <w:tcBorders>
                    <w:tl2br w:val="nil"/>
                    <w:tr2bl w:val="nil"/>
                  </w:tcBorders>
                  <w:vAlign w:val="center"/>
                </w:tcPr>
                <w:p w14:paraId="27986802">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3129174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现状值</w:t>
                  </w:r>
                </w:p>
              </w:tc>
              <w:tc>
                <w:tcPr>
                  <w:tcW w:w="1140" w:type="dxa"/>
                  <w:gridSpan w:val="2"/>
                  <w:tcBorders>
                    <w:tl2br w:val="nil"/>
                    <w:tr2bl w:val="nil"/>
                  </w:tcBorders>
                  <w:vAlign w:val="center"/>
                </w:tcPr>
                <w:p w14:paraId="55E126EC">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69066C2B">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标准</w:t>
                  </w:r>
                </w:p>
              </w:tc>
              <w:tc>
                <w:tcPr>
                  <w:tcW w:w="1140" w:type="dxa"/>
                  <w:gridSpan w:val="2"/>
                  <w:tcBorders>
                    <w:tl2br w:val="nil"/>
                    <w:tr2bl w:val="nil"/>
                  </w:tcBorders>
                  <w:vAlign w:val="center"/>
                </w:tcPr>
                <w:p w14:paraId="5372F854">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432268A1">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贡献值</w:t>
                  </w:r>
                </w:p>
              </w:tc>
              <w:tc>
                <w:tcPr>
                  <w:tcW w:w="1140" w:type="dxa"/>
                  <w:gridSpan w:val="2"/>
                  <w:tcBorders>
                    <w:tl2br w:val="nil"/>
                    <w:tr2bl w:val="nil"/>
                  </w:tcBorders>
                  <w:vAlign w:val="center"/>
                </w:tcPr>
                <w:p w14:paraId="4D37B294">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噪声</w:t>
                  </w:r>
                </w:p>
                <w:p w14:paraId="4A99A72C">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预测值</w:t>
                  </w:r>
                </w:p>
              </w:tc>
              <w:tc>
                <w:tcPr>
                  <w:tcW w:w="1140" w:type="dxa"/>
                  <w:gridSpan w:val="2"/>
                  <w:tcBorders>
                    <w:tl2br w:val="nil"/>
                    <w:tr2bl w:val="nil"/>
                  </w:tcBorders>
                  <w:vAlign w:val="center"/>
                </w:tcPr>
                <w:p w14:paraId="1D4F376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较现状增量</w:t>
                  </w:r>
                </w:p>
              </w:tc>
              <w:tc>
                <w:tcPr>
                  <w:tcW w:w="1156" w:type="dxa"/>
                  <w:gridSpan w:val="2"/>
                  <w:tcBorders>
                    <w:tl2br w:val="nil"/>
                    <w:tr2bl w:val="nil"/>
                  </w:tcBorders>
                  <w:vAlign w:val="center"/>
                </w:tcPr>
                <w:p w14:paraId="59182F77">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超标和达标情况</w:t>
                  </w:r>
                </w:p>
              </w:tc>
            </w:tr>
            <w:tr w14:paraId="3430A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375" w:type="dxa"/>
                  <w:vMerge w:val="continue"/>
                  <w:tcBorders>
                    <w:tl2br w:val="nil"/>
                    <w:tr2bl w:val="nil"/>
                  </w:tcBorders>
                  <w:vAlign w:val="center"/>
                </w:tcPr>
                <w:p w14:paraId="3E37AC33">
                  <w:pPr>
                    <w:pStyle w:val="44"/>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p>
              </w:tc>
              <w:tc>
                <w:tcPr>
                  <w:tcW w:w="825" w:type="dxa"/>
                  <w:vMerge w:val="continue"/>
                  <w:tcBorders>
                    <w:tl2br w:val="nil"/>
                    <w:tr2bl w:val="nil"/>
                  </w:tcBorders>
                  <w:vAlign w:val="center"/>
                </w:tcPr>
                <w:p w14:paraId="1C62E7EC">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0" w:type="dxa"/>
                  <w:tcBorders>
                    <w:tl2br w:val="nil"/>
                    <w:tr2bl w:val="nil"/>
                  </w:tcBorders>
                  <w:vAlign w:val="center"/>
                </w:tcPr>
                <w:p w14:paraId="66D7CF0D">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0" w:type="dxa"/>
                  <w:tcBorders>
                    <w:tl2br w:val="nil"/>
                    <w:tr2bl w:val="nil"/>
                  </w:tcBorders>
                  <w:vAlign w:val="center"/>
                </w:tcPr>
                <w:p w14:paraId="3CF8ADD8">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3B40A9EE">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0" w:type="dxa"/>
                  <w:tcBorders>
                    <w:tl2br w:val="nil"/>
                    <w:tr2bl w:val="nil"/>
                  </w:tcBorders>
                  <w:vAlign w:val="center"/>
                </w:tcPr>
                <w:p w14:paraId="7DEB3F8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3CF774A5">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0" w:type="dxa"/>
                  <w:tcBorders>
                    <w:tl2br w:val="nil"/>
                    <w:tr2bl w:val="nil"/>
                  </w:tcBorders>
                  <w:vAlign w:val="center"/>
                </w:tcPr>
                <w:p w14:paraId="18F7E350">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58EDECF2">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0" w:type="dxa"/>
                  <w:tcBorders>
                    <w:tl2br w:val="nil"/>
                    <w:tr2bl w:val="nil"/>
                  </w:tcBorders>
                  <w:vAlign w:val="center"/>
                </w:tcPr>
                <w:p w14:paraId="56984F78">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0" w:type="dxa"/>
                  <w:tcBorders>
                    <w:tl2br w:val="nil"/>
                    <w:tr2bl w:val="nil"/>
                  </w:tcBorders>
                  <w:vAlign w:val="center"/>
                </w:tcPr>
                <w:p w14:paraId="269604C5">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0" w:type="dxa"/>
                  <w:tcBorders>
                    <w:tl2br w:val="nil"/>
                    <w:tr2bl w:val="nil"/>
                  </w:tcBorders>
                  <w:vAlign w:val="center"/>
                </w:tcPr>
                <w:p w14:paraId="29DF952D">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c>
                <w:tcPr>
                  <w:tcW w:w="578" w:type="dxa"/>
                  <w:tcBorders>
                    <w:tl2br w:val="nil"/>
                    <w:tr2bl w:val="nil"/>
                  </w:tcBorders>
                  <w:vAlign w:val="center"/>
                </w:tcPr>
                <w:p w14:paraId="19FD7781">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昼间</w:t>
                  </w:r>
                </w:p>
              </w:tc>
              <w:tc>
                <w:tcPr>
                  <w:tcW w:w="578" w:type="dxa"/>
                  <w:tcBorders>
                    <w:tl2br w:val="nil"/>
                    <w:tr2bl w:val="nil"/>
                  </w:tcBorders>
                  <w:vAlign w:val="center"/>
                </w:tcPr>
                <w:p w14:paraId="4209C25A">
                  <w:pPr>
                    <w:keepNext w:val="0"/>
                    <w:keepLines w:val="0"/>
                    <w:suppressLineNumbers w:val="0"/>
                    <w:kinsoku w:val="0"/>
                    <w:overflowPunct w:val="0"/>
                    <w:autoSpaceDE w:val="0"/>
                    <w:autoSpaceDN w:val="0"/>
                    <w:spacing w:before="0" w:beforeAutospacing="0" w:after="0" w:afterAutospacing="0" w:line="360" w:lineRule="auto"/>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夜间</w:t>
                  </w:r>
                </w:p>
              </w:tc>
            </w:tr>
            <w:tr w14:paraId="6B9E3C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75" w:type="dxa"/>
                  <w:tcBorders>
                    <w:tl2br w:val="nil"/>
                    <w:tr2bl w:val="nil"/>
                  </w:tcBorders>
                  <w:vAlign w:val="center"/>
                </w:tcPr>
                <w:p w14:paraId="33771A12">
                  <w:pPr>
                    <w:pStyle w:val="44"/>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1</w:t>
                  </w:r>
                </w:p>
              </w:tc>
              <w:tc>
                <w:tcPr>
                  <w:tcW w:w="825" w:type="dxa"/>
                  <w:tcBorders>
                    <w:tl2br w:val="nil"/>
                    <w:tr2bl w:val="nil"/>
                  </w:tcBorders>
                  <w:vAlign w:val="center"/>
                </w:tcPr>
                <w:p w14:paraId="0E2B3D1D">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西</w:t>
                  </w:r>
                  <w:r>
                    <w:rPr>
                      <w:rFonts w:hint="eastAsia" w:ascii="Times New Roman" w:hAnsi="Times New Roman" w:eastAsia="宋体" w:cs="Times New Roman"/>
                      <w:bCs/>
                      <w:color w:val="auto"/>
                      <w:kern w:val="2"/>
                      <w:sz w:val="18"/>
                      <w:szCs w:val="18"/>
                      <w:highlight w:val="none"/>
                      <w:vertAlign w:val="baseline"/>
                      <w:lang w:val="en-US" w:eastAsia="zh-CN" w:bidi="ar-SA"/>
                    </w:rPr>
                    <w:t>侧敏感点</w:t>
                  </w:r>
                </w:p>
              </w:tc>
              <w:tc>
                <w:tcPr>
                  <w:tcW w:w="570" w:type="dxa"/>
                  <w:tcBorders>
                    <w:tl2br w:val="nil"/>
                    <w:tr2bl w:val="nil"/>
                  </w:tcBorders>
                  <w:vAlign w:val="center"/>
                </w:tcPr>
                <w:p w14:paraId="7A328BEC">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52.5</w:t>
                  </w:r>
                </w:p>
              </w:tc>
              <w:tc>
                <w:tcPr>
                  <w:tcW w:w="570" w:type="dxa"/>
                  <w:tcBorders>
                    <w:tl2br w:val="nil"/>
                    <w:tr2bl w:val="nil"/>
                  </w:tcBorders>
                  <w:vAlign w:val="center"/>
                </w:tcPr>
                <w:p w14:paraId="09E4275B">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44.4</w:t>
                  </w:r>
                </w:p>
              </w:tc>
              <w:tc>
                <w:tcPr>
                  <w:tcW w:w="570" w:type="dxa"/>
                  <w:tcBorders>
                    <w:tl2br w:val="nil"/>
                    <w:tr2bl w:val="nil"/>
                  </w:tcBorders>
                  <w:vAlign w:val="center"/>
                </w:tcPr>
                <w:p w14:paraId="77B28E2A">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60</w:t>
                  </w:r>
                </w:p>
              </w:tc>
              <w:tc>
                <w:tcPr>
                  <w:tcW w:w="570" w:type="dxa"/>
                  <w:tcBorders>
                    <w:tl2br w:val="nil"/>
                    <w:tr2bl w:val="nil"/>
                  </w:tcBorders>
                  <w:vAlign w:val="center"/>
                </w:tcPr>
                <w:p w14:paraId="610E96FE">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50</w:t>
                  </w:r>
                </w:p>
              </w:tc>
              <w:tc>
                <w:tcPr>
                  <w:tcW w:w="570" w:type="dxa"/>
                  <w:tcBorders>
                    <w:tl2br w:val="nil"/>
                    <w:tr2bl w:val="nil"/>
                  </w:tcBorders>
                  <w:shd w:val="clear" w:color="auto" w:fill="auto"/>
                  <w:vAlign w:val="center"/>
                </w:tcPr>
                <w:p w14:paraId="628459D5">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32.2</w:t>
                  </w:r>
                </w:p>
              </w:tc>
              <w:tc>
                <w:tcPr>
                  <w:tcW w:w="570" w:type="dxa"/>
                  <w:tcBorders>
                    <w:tl2br w:val="nil"/>
                    <w:tr2bl w:val="nil"/>
                  </w:tcBorders>
                  <w:shd w:val="clear" w:color="auto" w:fill="auto"/>
                  <w:vAlign w:val="center"/>
                </w:tcPr>
                <w:p w14:paraId="684BB285">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32.2</w:t>
                  </w:r>
                </w:p>
              </w:tc>
              <w:tc>
                <w:tcPr>
                  <w:tcW w:w="570" w:type="dxa"/>
                  <w:tcBorders>
                    <w:tl2br w:val="nil"/>
                    <w:tr2bl w:val="nil"/>
                  </w:tcBorders>
                  <w:vAlign w:val="center"/>
                </w:tcPr>
                <w:p w14:paraId="16777572">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52.54</w:t>
                  </w:r>
                </w:p>
              </w:tc>
              <w:tc>
                <w:tcPr>
                  <w:tcW w:w="570" w:type="dxa"/>
                  <w:tcBorders>
                    <w:tl2br w:val="nil"/>
                    <w:tr2bl w:val="nil"/>
                  </w:tcBorders>
                  <w:vAlign w:val="center"/>
                </w:tcPr>
                <w:p w14:paraId="6AE5D59E">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44.65</w:t>
                  </w:r>
                </w:p>
              </w:tc>
              <w:tc>
                <w:tcPr>
                  <w:tcW w:w="570" w:type="dxa"/>
                  <w:tcBorders>
                    <w:tl2br w:val="nil"/>
                    <w:tr2bl w:val="nil"/>
                  </w:tcBorders>
                  <w:vAlign w:val="center"/>
                </w:tcPr>
                <w:p w14:paraId="77451EB1">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0.04</w:t>
                  </w:r>
                </w:p>
              </w:tc>
              <w:tc>
                <w:tcPr>
                  <w:tcW w:w="570" w:type="dxa"/>
                  <w:tcBorders>
                    <w:tl2br w:val="nil"/>
                    <w:tr2bl w:val="nil"/>
                  </w:tcBorders>
                  <w:vAlign w:val="center"/>
                </w:tcPr>
                <w:p w14:paraId="77E1D38E">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0.25</w:t>
                  </w:r>
                </w:p>
              </w:tc>
              <w:tc>
                <w:tcPr>
                  <w:tcW w:w="578" w:type="dxa"/>
                  <w:tcBorders>
                    <w:tl2br w:val="nil"/>
                    <w:tr2bl w:val="nil"/>
                  </w:tcBorders>
                  <w:vAlign w:val="center"/>
                </w:tcPr>
                <w:p w14:paraId="4AD18939">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c>
                <w:tcPr>
                  <w:tcW w:w="578" w:type="dxa"/>
                  <w:tcBorders>
                    <w:tl2br w:val="nil"/>
                    <w:tr2bl w:val="nil"/>
                  </w:tcBorders>
                  <w:vAlign w:val="center"/>
                </w:tcPr>
                <w:p w14:paraId="16AC1386">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r>
            <w:tr w14:paraId="1D7386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75" w:type="dxa"/>
                  <w:tcBorders>
                    <w:tl2br w:val="nil"/>
                    <w:tr2bl w:val="nil"/>
                  </w:tcBorders>
                  <w:vAlign w:val="center"/>
                </w:tcPr>
                <w:p w14:paraId="5C309EC1">
                  <w:pPr>
                    <w:pStyle w:val="44"/>
                    <w:keepNext w:val="0"/>
                    <w:keepLines w:val="0"/>
                    <w:suppressLineNumbers w:val="0"/>
                    <w:spacing w:before="0" w:beforeAutospacing="0" w:after="0" w:afterAutospacing="0"/>
                    <w:ind w:left="0" w:right="0"/>
                    <w:jc w:val="center"/>
                    <w:rPr>
                      <w:rFonts w:hint="default" w:ascii="Times New Roman" w:hAnsi="Times New Roman"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2</w:t>
                  </w:r>
                </w:p>
              </w:tc>
              <w:tc>
                <w:tcPr>
                  <w:tcW w:w="825" w:type="dxa"/>
                  <w:tcBorders>
                    <w:tl2br w:val="nil"/>
                    <w:tr2bl w:val="nil"/>
                  </w:tcBorders>
                  <w:vAlign w:val="center"/>
                </w:tcPr>
                <w:p w14:paraId="0098D11C">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南侧敏感点</w:t>
                  </w:r>
                </w:p>
              </w:tc>
              <w:tc>
                <w:tcPr>
                  <w:tcW w:w="570" w:type="dxa"/>
                  <w:tcBorders>
                    <w:tl2br w:val="nil"/>
                    <w:tr2bl w:val="nil"/>
                  </w:tcBorders>
                  <w:vAlign w:val="center"/>
                </w:tcPr>
                <w:p w14:paraId="6638D583">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51.9</w:t>
                  </w:r>
                </w:p>
              </w:tc>
              <w:tc>
                <w:tcPr>
                  <w:tcW w:w="570" w:type="dxa"/>
                  <w:tcBorders>
                    <w:tl2br w:val="nil"/>
                    <w:tr2bl w:val="nil"/>
                  </w:tcBorders>
                  <w:vAlign w:val="center"/>
                </w:tcPr>
                <w:p w14:paraId="22A03892">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baseline"/>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41.9</w:t>
                  </w:r>
                </w:p>
              </w:tc>
              <w:tc>
                <w:tcPr>
                  <w:tcW w:w="570" w:type="dxa"/>
                  <w:tcBorders>
                    <w:tl2br w:val="nil"/>
                    <w:tr2bl w:val="nil"/>
                  </w:tcBorders>
                  <w:shd w:val="clear" w:color="auto" w:fill="auto"/>
                  <w:vAlign w:val="center"/>
                </w:tcPr>
                <w:p w14:paraId="75DAE4DA">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60</w:t>
                  </w:r>
                </w:p>
              </w:tc>
              <w:tc>
                <w:tcPr>
                  <w:tcW w:w="570" w:type="dxa"/>
                  <w:tcBorders>
                    <w:tl2br w:val="nil"/>
                    <w:tr2bl w:val="nil"/>
                  </w:tcBorders>
                  <w:shd w:val="clear" w:color="auto" w:fill="auto"/>
                  <w:vAlign w:val="center"/>
                </w:tcPr>
                <w:p w14:paraId="0E94808C">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50</w:t>
                  </w:r>
                </w:p>
              </w:tc>
              <w:tc>
                <w:tcPr>
                  <w:tcW w:w="570" w:type="dxa"/>
                  <w:tcBorders>
                    <w:tl2br w:val="nil"/>
                    <w:tr2bl w:val="nil"/>
                  </w:tcBorders>
                  <w:shd w:val="clear" w:color="auto" w:fill="auto"/>
                  <w:vAlign w:val="center"/>
                </w:tcPr>
                <w:p w14:paraId="76C78A60">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38.6</w:t>
                  </w:r>
                </w:p>
              </w:tc>
              <w:tc>
                <w:tcPr>
                  <w:tcW w:w="570" w:type="dxa"/>
                  <w:tcBorders>
                    <w:tl2br w:val="nil"/>
                    <w:tr2bl w:val="nil"/>
                  </w:tcBorders>
                  <w:shd w:val="clear" w:color="auto" w:fill="auto"/>
                  <w:vAlign w:val="center"/>
                </w:tcPr>
                <w:p w14:paraId="774697FD">
                  <w:pPr>
                    <w:pStyle w:val="44"/>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38.6</w:t>
                  </w:r>
                </w:p>
              </w:tc>
              <w:tc>
                <w:tcPr>
                  <w:tcW w:w="570" w:type="dxa"/>
                  <w:tcBorders>
                    <w:tl2br w:val="nil"/>
                    <w:tr2bl w:val="nil"/>
                  </w:tcBorders>
                  <w:vAlign w:val="center"/>
                </w:tcPr>
                <w:p w14:paraId="189BFC83">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52.09</w:t>
                  </w:r>
                </w:p>
              </w:tc>
              <w:tc>
                <w:tcPr>
                  <w:tcW w:w="570" w:type="dxa"/>
                  <w:tcBorders>
                    <w:tl2br w:val="nil"/>
                    <w:tr2bl w:val="nil"/>
                  </w:tcBorders>
                  <w:vAlign w:val="center"/>
                </w:tcPr>
                <w:p w14:paraId="22140C15">
                  <w:pPr>
                    <w:pStyle w:val="4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43.5</w:t>
                  </w:r>
                </w:p>
              </w:tc>
              <w:tc>
                <w:tcPr>
                  <w:tcW w:w="570" w:type="dxa"/>
                  <w:tcBorders>
                    <w:tl2br w:val="nil"/>
                    <w:tr2bl w:val="nil"/>
                  </w:tcBorders>
                  <w:vAlign w:val="center"/>
                </w:tcPr>
                <w:p w14:paraId="33CBD714">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0.19</w:t>
                  </w:r>
                </w:p>
              </w:tc>
              <w:tc>
                <w:tcPr>
                  <w:tcW w:w="570" w:type="dxa"/>
                  <w:tcBorders>
                    <w:tl2br w:val="nil"/>
                    <w:tr2bl w:val="nil"/>
                  </w:tcBorders>
                  <w:vAlign w:val="center"/>
                </w:tcPr>
                <w:p w14:paraId="51F20D06">
                  <w:pPr>
                    <w:pStyle w:val="44"/>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cs="Times New Roman"/>
                      <w:bCs/>
                      <w:color w:val="auto"/>
                      <w:kern w:val="2"/>
                      <w:sz w:val="18"/>
                      <w:szCs w:val="18"/>
                      <w:highlight w:val="none"/>
                      <w:vertAlign w:val="baseline"/>
                      <w:lang w:val="en-US" w:eastAsia="zh-CN" w:bidi="ar-SA"/>
                    </w:rPr>
                    <w:t>1.6</w:t>
                  </w:r>
                </w:p>
              </w:tc>
              <w:tc>
                <w:tcPr>
                  <w:tcW w:w="578" w:type="dxa"/>
                  <w:tcBorders>
                    <w:tl2br w:val="nil"/>
                    <w:tr2bl w:val="nil"/>
                  </w:tcBorders>
                  <w:shd w:val="clear" w:color="auto" w:fill="auto"/>
                  <w:vAlign w:val="center"/>
                </w:tcPr>
                <w:p w14:paraId="38A74363">
                  <w:pPr>
                    <w:pStyle w:val="44"/>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c>
                <w:tcPr>
                  <w:tcW w:w="578" w:type="dxa"/>
                  <w:tcBorders>
                    <w:tl2br w:val="nil"/>
                    <w:tr2bl w:val="nil"/>
                  </w:tcBorders>
                  <w:shd w:val="clear" w:color="auto" w:fill="auto"/>
                  <w:vAlign w:val="center"/>
                </w:tcPr>
                <w:p w14:paraId="21C32EA3">
                  <w:pPr>
                    <w:pStyle w:val="44"/>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达标</w:t>
                  </w:r>
                </w:p>
              </w:tc>
            </w:tr>
          </w:tbl>
          <w:p w14:paraId="65A48E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bCs/>
                <w:color w:val="auto"/>
                <w:szCs w:val="21"/>
                <w:highlight w:val="none"/>
              </w:rPr>
            </w:pPr>
          </w:p>
          <w:p w14:paraId="1A378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）污染防治措施及环境影响分析</w:t>
            </w:r>
          </w:p>
          <w:p w14:paraId="49CB95EF">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本项目运营期采取如下降噪措施：</w:t>
            </w:r>
          </w:p>
          <w:p w14:paraId="223C23A2">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①在厂区总体布置中应注意防噪间距，以减少噪声的污染；</w:t>
            </w:r>
          </w:p>
          <w:p w14:paraId="0AB591CF">
            <w:pPr>
              <w:pStyle w:val="3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②</w:t>
            </w:r>
            <w:r>
              <w:rPr>
                <w:rFonts w:hint="eastAsia"/>
                <w:color w:val="auto"/>
                <w:sz w:val="21"/>
                <w:szCs w:val="21"/>
                <w:highlight w:val="none"/>
              </w:rPr>
              <w:t>选用低噪声设备，建筑采取隔声、降噪措施，设置减振器，风机进出口均设软管连接等措施</w:t>
            </w:r>
            <w:r>
              <w:rPr>
                <w:rFonts w:hint="eastAsia"/>
                <w:color w:val="auto"/>
                <w:sz w:val="21"/>
                <w:szCs w:val="21"/>
                <w:highlight w:val="none"/>
                <w:lang w:eastAsia="zh-CN"/>
              </w:rPr>
              <w:t>；</w:t>
            </w:r>
          </w:p>
          <w:p w14:paraId="2B1D6010">
            <w:pPr>
              <w:pStyle w:val="32"/>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14:paraId="2F0045FC">
            <w:pPr>
              <w:pStyle w:val="32"/>
              <w:keepNext w:val="0"/>
              <w:keepLines w:val="0"/>
              <w:widowControl w:val="0"/>
              <w:suppressLineNumbers w:val="0"/>
              <w:snapToGrid/>
              <w:spacing w:before="0" w:beforeAutospacing="0" w:after="0" w:afterAutospacing="0" w:line="360" w:lineRule="auto"/>
              <w:ind w:left="0" w:right="0" w:firstLineChars="200"/>
              <w:jc w:val="both"/>
              <w:rPr>
                <w:rFonts w:hint="eastAsia" w:eastAsia="宋体"/>
                <w:color w:val="auto"/>
                <w:sz w:val="21"/>
                <w:szCs w:val="21"/>
                <w:highlight w:val="none"/>
                <w:lang w:eastAsia="zh-CN"/>
              </w:rPr>
            </w:pPr>
            <w:r>
              <w:rPr>
                <w:rFonts w:hint="default"/>
                <w:color w:val="auto"/>
                <w:sz w:val="21"/>
                <w:szCs w:val="21"/>
                <w:highlight w:val="none"/>
              </w:rPr>
              <w:t>④厂房隔声，合理布局，优化平面布局。</w:t>
            </w:r>
          </w:p>
          <w:p w14:paraId="1E7B9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本项目选用低噪声设备，基础减振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default" w:ascii="Times New Roman" w:hAnsi="Times New Roman" w:cs="Times New Roman"/>
                <w:color w:val="auto"/>
                <w:szCs w:val="21"/>
                <w:highlight w:val="none"/>
              </w:rPr>
              <w:t>厂界噪声</w:t>
            </w:r>
            <w:r>
              <w:rPr>
                <w:rFonts w:hint="eastAsia" w:cs="Times New Roman"/>
                <w:color w:val="auto"/>
                <w:szCs w:val="21"/>
                <w:highlight w:val="none"/>
                <w:lang w:val="en-US" w:eastAsia="zh-CN"/>
              </w:rPr>
              <w:t>满足</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Cs w:val="21"/>
                <w:highlight w:val="none"/>
              </w:rPr>
              <w:t>工业企业厂界环境噪声排放标准》(GB12348-2008)表1中</w:t>
            </w:r>
            <w:r>
              <w:rPr>
                <w:rFonts w:hint="default"/>
                <w:color w:val="auto"/>
                <w:sz w:val="21"/>
                <w:szCs w:val="21"/>
                <w:highlight w:val="none"/>
              </w:rPr>
              <w:t>2类</w:t>
            </w:r>
            <w:r>
              <w:rPr>
                <w:rFonts w:hint="eastAsia"/>
                <w:color w:val="auto"/>
                <w:sz w:val="21"/>
                <w:szCs w:val="21"/>
                <w:highlight w:val="none"/>
                <w:lang w:val="en-US" w:eastAsia="zh-CN"/>
              </w:rPr>
              <w:t>标准</w:t>
            </w:r>
            <w:r>
              <w:rPr>
                <w:rFonts w:hint="eastAsia"/>
                <w:color w:val="auto"/>
                <w:sz w:val="21"/>
                <w:szCs w:val="21"/>
                <w:highlight w:val="none"/>
                <w:lang w:eastAsia="zh-CN"/>
              </w:rPr>
              <w:t>。</w:t>
            </w:r>
            <w:r>
              <w:rPr>
                <w:rFonts w:hint="default"/>
                <w:color w:val="auto"/>
                <w:sz w:val="21"/>
                <w:szCs w:val="21"/>
                <w:highlight w:val="none"/>
              </w:rPr>
              <w:t>本项目对周围声环境</w:t>
            </w:r>
            <w:r>
              <w:rPr>
                <w:rFonts w:hint="eastAsia"/>
                <w:color w:val="auto"/>
                <w:sz w:val="21"/>
                <w:szCs w:val="21"/>
                <w:highlight w:val="none"/>
                <w:lang w:val="en-US" w:eastAsia="zh-CN"/>
              </w:rPr>
              <w:t>及噪声敏感点</w:t>
            </w:r>
            <w:r>
              <w:rPr>
                <w:rFonts w:hint="default"/>
                <w:color w:val="auto"/>
                <w:sz w:val="21"/>
                <w:szCs w:val="21"/>
                <w:highlight w:val="none"/>
              </w:rPr>
              <w:t>影响较小。</w:t>
            </w:r>
          </w:p>
          <w:p w14:paraId="10D6B2AE">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（3）监测要求</w:t>
            </w:r>
          </w:p>
          <w:p w14:paraId="67B6FFCB">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总则》（HJ819-2017），本项目噪声监测计划如下：</w:t>
            </w:r>
          </w:p>
          <w:p w14:paraId="6B1BAA8C">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-11 </w:t>
            </w:r>
            <w:r>
              <w:rPr>
                <w:rFonts w:hint="eastAsia" w:hAnsi="宋体"/>
                <w:b/>
                <w:color w:val="auto"/>
                <w:szCs w:val="21"/>
                <w:highlight w:val="none"/>
              </w:rPr>
              <w:t>项目噪声监测计划表</w:t>
            </w:r>
          </w:p>
          <w:tbl>
            <w:tblPr>
              <w:tblStyle w:val="3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1577"/>
              <w:gridCol w:w="2193"/>
              <w:gridCol w:w="2773"/>
            </w:tblGrid>
            <w:tr w14:paraId="1834ED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tcBorders>
                    <w:left w:val="nil"/>
                    <w:bottom w:val="single" w:color="auto" w:sz="4" w:space="0"/>
                    <w:right w:val="single" w:color="auto" w:sz="4" w:space="0"/>
                  </w:tcBorders>
                  <w:noWrap w:val="0"/>
                  <w:vAlign w:val="center"/>
                </w:tcPr>
                <w:p w14:paraId="3083E3FA">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173" w:type="dxa"/>
                  <w:tcBorders>
                    <w:left w:val="single" w:color="auto" w:sz="4" w:space="0"/>
                    <w:bottom w:val="single" w:color="auto" w:sz="4" w:space="0"/>
                    <w:right w:val="single" w:color="auto" w:sz="4" w:space="0"/>
                  </w:tcBorders>
                  <w:noWrap w:val="0"/>
                  <w:vAlign w:val="center"/>
                </w:tcPr>
                <w:p w14:paraId="493DDA64">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1631" w:type="dxa"/>
                  <w:tcBorders>
                    <w:left w:val="single" w:color="auto" w:sz="4" w:space="0"/>
                    <w:bottom w:val="single" w:color="auto" w:sz="4" w:space="0"/>
                    <w:right w:val="single" w:color="auto" w:sz="4" w:space="0"/>
                  </w:tcBorders>
                  <w:noWrap w:val="0"/>
                  <w:vAlign w:val="center"/>
                </w:tcPr>
                <w:p w14:paraId="5B4DF97F">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063" w:type="dxa"/>
                  <w:tcBorders>
                    <w:left w:val="single" w:color="auto" w:sz="4" w:space="0"/>
                    <w:bottom w:val="single" w:color="auto" w:sz="4" w:space="0"/>
                    <w:right w:val="nil"/>
                  </w:tcBorders>
                  <w:noWrap w:val="0"/>
                  <w:vAlign w:val="center"/>
                </w:tcPr>
                <w:p w14:paraId="6617E22D">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r>
            <w:tr w14:paraId="4E2219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tcBorders>
                    <w:top w:val="single" w:color="auto" w:sz="4" w:space="0"/>
                    <w:left w:val="nil"/>
                    <w:right w:val="single" w:color="auto" w:sz="4" w:space="0"/>
                  </w:tcBorders>
                  <w:noWrap w:val="0"/>
                  <w:vAlign w:val="center"/>
                </w:tcPr>
                <w:p w14:paraId="4BFC6A6E">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173" w:type="dxa"/>
                  <w:tcBorders>
                    <w:top w:val="single" w:color="auto" w:sz="4" w:space="0"/>
                    <w:left w:val="single" w:color="auto" w:sz="4" w:space="0"/>
                    <w:right w:val="single" w:color="auto" w:sz="4" w:space="0"/>
                  </w:tcBorders>
                  <w:noWrap w:val="0"/>
                  <w:vAlign w:val="center"/>
                </w:tcPr>
                <w:p w14:paraId="1A3C49BF">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1631" w:type="dxa"/>
                  <w:tcBorders>
                    <w:top w:val="single" w:color="auto" w:sz="4" w:space="0"/>
                    <w:left w:val="single" w:color="auto" w:sz="4" w:space="0"/>
                    <w:right w:val="single" w:color="auto" w:sz="4" w:space="0"/>
                  </w:tcBorders>
                  <w:noWrap w:val="0"/>
                  <w:vAlign w:val="center"/>
                </w:tcPr>
                <w:p w14:paraId="7FDEAE08">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063" w:type="dxa"/>
                  <w:tcBorders>
                    <w:top w:val="single" w:color="auto" w:sz="4" w:space="0"/>
                    <w:left w:val="single" w:color="auto" w:sz="4" w:space="0"/>
                    <w:right w:val="nil"/>
                  </w:tcBorders>
                  <w:noWrap w:val="0"/>
                  <w:vAlign w:val="center"/>
                </w:tcPr>
                <w:p w14:paraId="6EBDF53C">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rPr>
                    <w:t>季度</w:t>
                  </w:r>
                </w:p>
              </w:tc>
            </w:tr>
          </w:tbl>
          <w:p w14:paraId="5DC7B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454B4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67B1255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12 </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5"/>
              <w:tblW w:w="80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1231"/>
              <w:gridCol w:w="1464"/>
              <w:gridCol w:w="716"/>
              <w:gridCol w:w="1390"/>
              <w:gridCol w:w="818"/>
              <w:gridCol w:w="1434"/>
            </w:tblGrid>
            <w:tr w14:paraId="3BA76E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022" w:type="dxa"/>
                  <w:noWrap w:val="0"/>
                  <w:vAlign w:val="center"/>
                </w:tcPr>
                <w:p w14:paraId="38203FA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231" w:type="dxa"/>
                  <w:noWrap w:val="0"/>
                  <w:vAlign w:val="center"/>
                </w:tcPr>
                <w:p w14:paraId="0824A47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6B5BA0D9">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464" w:type="dxa"/>
                  <w:noWrap w:val="0"/>
                  <w:vAlign w:val="center"/>
                </w:tcPr>
                <w:p w14:paraId="5EBE5BE3">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494239F4">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716" w:type="dxa"/>
                  <w:noWrap w:val="0"/>
                  <w:vAlign w:val="center"/>
                </w:tcPr>
                <w:p w14:paraId="7008419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1390" w:type="dxa"/>
                  <w:noWrap w:val="0"/>
                  <w:vAlign w:val="center"/>
                </w:tcPr>
                <w:p w14:paraId="56327337">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818" w:type="dxa"/>
                  <w:noWrap w:val="0"/>
                  <w:vAlign w:val="center"/>
                </w:tcPr>
                <w:p w14:paraId="0060BD73">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434" w:type="dxa"/>
                  <w:noWrap w:val="0"/>
                  <w:vAlign w:val="center"/>
                </w:tcPr>
                <w:p w14:paraId="610BF596">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372E9B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022" w:type="dxa"/>
                  <w:noWrap w:val="0"/>
                  <w:vAlign w:val="center"/>
                </w:tcPr>
                <w:p w14:paraId="0989AEEB">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18"/>
                      <w:szCs w:val="18"/>
                      <w:highlight w:val="none"/>
                      <w:lang w:val="en-US" w:eastAsia="zh-CN"/>
                    </w:rPr>
                  </w:pPr>
                  <w:r>
                    <w:rPr>
                      <w:rFonts w:hint="eastAsia" w:cs="Times New Roman"/>
                      <w:color w:val="auto"/>
                      <w:spacing w:val="0"/>
                      <w:kern w:val="2"/>
                      <w:sz w:val="18"/>
                      <w:szCs w:val="18"/>
                      <w:highlight w:val="none"/>
                      <w:lang w:val="en-US" w:eastAsia="zh-CN" w:bidi="ar-SA"/>
                    </w:rPr>
                    <w:t>生活</w:t>
                  </w:r>
                </w:p>
              </w:tc>
              <w:tc>
                <w:tcPr>
                  <w:tcW w:w="1231" w:type="dxa"/>
                  <w:noWrap w:val="0"/>
                  <w:vAlign w:val="center"/>
                </w:tcPr>
                <w:p w14:paraId="3753EBB2">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eastAsia" w:cs="Times New Roman"/>
                      <w:color w:val="auto"/>
                      <w:spacing w:val="0"/>
                      <w:sz w:val="18"/>
                      <w:szCs w:val="18"/>
                      <w:highlight w:val="none"/>
                      <w:lang w:val="en-US" w:eastAsia="zh-CN"/>
                    </w:rPr>
                    <w:t>生活垃圾</w:t>
                  </w:r>
                </w:p>
              </w:tc>
              <w:tc>
                <w:tcPr>
                  <w:tcW w:w="1464" w:type="dxa"/>
                  <w:noWrap w:val="0"/>
                  <w:vAlign w:val="center"/>
                </w:tcPr>
                <w:p w14:paraId="211743F7">
                  <w:pPr>
                    <w:pStyle w:val="2"/>
                    <w:keepNext w:val="0"/>
                    <w:keepLines w:val="0"/>
                    <w:pageBreakBefore w:val="0"/>
                    <w:suppressLineNumbers w:val="0"/>
                    <w:kinsoku/>
                    <w:wordWrap/>
                    <w:overflowPunct/>
                    <w:topLinePunct w:val="0"/>
                    <w:bidi w:val="0"/>
                    <w:spacing w:beforeAutospacing="0" w:afterAutospacing="0" w:line="240" w:lineRule="auto"/>
                    <w:ind w:left="0" w:right="0"/>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lang w:val="en-US" w:eastAsia="zh-CN"/>
                    </w:rPr>
                    <w:t>生活垃圾</w:t>
                  </w:r>
                </w:p>
              </w:tc>
              <w:tc>
                <w:tcPr>
                  <w:tcW w:w="716" w:type="dxa"/>
                  <w:noWrap w:val="0"/>
                  <w:vAlign w:val="center"/>
                </w:tcPr>
                <w:p w14:paraId="6D1E188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3.775</w:t>
                  </w:r>
                </w:p>
              </w:tc>
              <w:tc>
                <w:tcPr>
                  <w:tcW w:w="1390" w:type="dxa"/>
                  <w:noWrap w:val="0"/>
                  <w:vAlign w:val="center"/>
                </w:tcPr>
                <w:p w14:paraId="3E8AE83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垃圾桶</w:t>
                  </w:r>
                </w:p>
              </w:tc>
              <w:tc>
                <w:tcPr>
                  <w:tcW w:w="818" w:type="dxa"/>
                  <w:noWrap w:val="0"/>
                  <w:vAlign w:val="center"/>
                </w:tcPr>
                <w:p w14:paraId="7DFD31D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3.775</w:t>
                  </w:r>
                </w:p>
              </w:tc>
              <w:tc>
                <w:tcPr>
                  <w:tcW w:w="1434" w:type="dxa"/>
                  <w:noWrap w:val="0"/>
                  <w:vAlign w:val="center"/>
                </w:tcPr>
                <w:p w14:paraId="220B34F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eastAsia="宋体" w:cs="Times New Roman"/>
                      <w:color w:val="auto"/>
                      <w:sz w:val="18"/>
                      <w:szCs w:val="18"/>
                      <w:highlight w:val="none"/>
                      <w:vertAlign w:val="baseline"/>
                      <w:lang w:eastAsia="zh-CN"/>
                    </w:rPr>
                    <w:t>由市政环卫部门统一清运</w:t>
                  </w:r>
                </w:p>
              </w:tc>
            </w:tr>
            <w:tr w14:paraId="7DEB69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8" w:hRule="atLeast"/>
                <w:jc w:val="center"/>
              </w:trPr>
              <w:tc>
                <w:tcPr>
                  <w:tcW w:w="1022" w:type="dxa"/>
                  <w:vMerge w:val="restart"/>
                  <w:noWrap w:val="0"/>
                  <w:vAlign w:val="center"/>
                </w:tcPr>
                <w:p w14:paraId="6ADE52A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热风炉</w:t>
                  </w:r>
                </w:p>
              </w:tc>
              <w:tc>
                <w:tcPr>
                  <w:tcW w:w="1231" w:type="dxa"/>
                  <w:noWrap w:val="0"/>
                  <w:vAlign w:val="center"/>
                </w:tcPr>
                <w:p w14:paraId="21A75BFB">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val="en-US" w:eastAsia="zh-CN"/>
                    </w:rPr>
                    <w:t>灰</w:t>
                  </w:r>
                  <w:r>
                    <w:rPr>
                      <w:rFonts w:hint="default" w:ascii="Times New Roman" w:hAnsi="Times New Roman" w:cs="Times New Roman"/>
                      <w:color w:val="auto"/>
                      <w:sz w:val="18"/>
                      <w:szCs w:val="18"/>
                      <w:highlight w:val="none"/>
                    </w:rPr>
                    <w:t>渣</w:t>
                  </w:r>
                  <w:r>
                    <w:rPr>
                      <w:rFonts w:hint="eastAsia" w:cs="Times New Roman"/>
                      <w:color w:val="auto"/>
                      <w:sz w:val="18"/>
                      <w:szCs w:val="18"/>
                      <w:highlight w:val="none"/>
                      <w:lang w:val="en-US" w:eastAsia="zh-CN"/>
                    </w:rPr>
                    <w:t>及除尘器收尘灰</w:t>
                  </w:r>
                </w:p>
              </w:tc>
              <w:tc>
                <w:tcPr>
                  <w:tcW w:w="1464" w:type="dxa"/>
                  <w:noWrap w:val="0"/>
                  <w:vAlign w:val="center"/>
                </w:tcPr>
                <w:p w14:paraId="1E8B2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工业固体废物900-099-S03</w:t>
                  </w:r>
                </w:p>
              </w:tc>
              <w:tc>
                <w:tcPr>
                  <w:tcW w:w="716" w:type="dxa"/>
                  <w:noWrap w:val="0"/>
                  <w:vAlign w:val="center"/>
                </w:tcPr>
                <w:p w14:paraId="13DA8D4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823.66</w:t>
                  </w:r>
                </w:p>
              </w:tc>
              <w:tc>
                <w:tcPr>
                  <w:tcW w:w="1390" w:type="dxa"/>
                  <w:noWrap w:val="0"/>
                  <w:vAlign w:val="center"/>
                </w:tcPr>
                <w:p w14:paraId="7873AEE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暂存于</w:t>
                  </w:r>
                  <w:r>
                    <w:rPr>
                      <w:rFonts w:hint="eastAsia" w:ascii="宋体" w:hAnsi="宋体" w:eastAsia="宋体" w:cs="宋体"/>
                      <w:bCs/>
                      <w:color w:val="auto"/>
                      <w:kern w:val="0"/>
                      <w:sz w:val="18"/>
                      <w:szCs w:val="18"/>
                      <w:highlight w:val="none"/>
                      <w:lang w:val="en-US" w:eastAsia="zh-CN"/>
                    </w:rPr>
                    <w:t>热风炉房</w:t>
                  </w:r>
                  <w:r>
                    <w:rPr>
                      <w:rFonts w:hint="eastAsia" w:cs="Times New Roman"/>
                      <w:color w:val="auto"/>
                      <w:sz w:val="18"/>
                      <w:szCs w:val="18"/>
                      <w:highlight w:val="none"/>
                      <w:lang w:val="en-US" w:eastAsia="zh-CN"/>
                    </w:rPr>
                    <w:t>灰渣间内，每10天清运1次，不在厂区长期储存</w:t>
                  </w:r>
                </w:p>
              </w:tc>
              <w:tc>
                <w:tcPr>
                  <w:tcW w:w="818" w:type="dxa"/>
                  <w:noWrap w:val="0"/>
                  <w:vAlign w:val="center"/>
                </w:tcPr>
                <w:p w14:paraId="46DFE27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823.66</w:t>
                  </w:r>
                </w:p>
              </w:tc>
              <w:tc>
                <w:tcPr>
                  <w:tcW w:w="1434" w:type="dxa"/>
                  <w:noWrap w:val="0"/>
                  <w:vAlign w:val="center"/>
                </w:tcPr>
                <w:p w14:paraId="493D1C2E">
                  <w:pPr>
                    <w:pStyle w:val="13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eastAsia" w:cs="Times New Roman"/>
                      <w:color w:val="auto"/>
                      <w:sz w:val="18"/>
                      <w:szCs w:val="18"/>
                      <w:highlight w:val="none"/>
                      <w:lang w:val="en-US" w:eastAsia="zh-CN"/>
                    </w:rPr>
                    <w:t>外售综合利用</w:t>
                  </w:r>
                </w:p>
              </w:tc>
            </w:tr>
            <w:tr w14:paraId="51607C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022" w:type="dxa"/>
                  <w:vMerge w:val="continue"/>
                  <w:noWrap w:val="0"/>
                  <w:vAlign w:val="center"/>
                </w:tcPr>
                <w:p w14:paraId="75F82999">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z w:val="18"/>
                      <w:szCs w:val="18"/>
                      <w:highlight w:val="none"/>
                    </w:rPr>
                  </w:pPr>
                </w:p>
              </w:tc>
              <w:tc>
                <w:tcPr>
                  <w:tcW w:w="1231" w:type="dxa"/>
                  <w:noWrap w:val="0"/>
                  <w:vAlign w:val="center"/>
                </w:tcPr>
                <w:p w14:paraId="1A789672">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废布袋</w:t>
                  </w:r>
                </w:p>
              </w:tc>
              <w:tc>
                <w:tcPr>
                  <w:tcW w:w="1464" w:type="dxa"/>
                  <w:noWrap w:val="0"/>
                  <w:vAlign w:val="center"/>
                </w:tcPr>
                <w:p w14:paraId="30DD811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s="Times New Roman"/>
                      <w:color w:val="auto"/>
                      <w:sz w:val="18"/>
                      <w:szCs w:val="18"/>
                      <w:highlight w:val="none"/>
                      <w:lang w:val="en-US" w:eastAsia="zh-CN"/>
                    </w:rPr>
                    <w:t>900</w:t>
                  </w:r>
                  <w:r>
                    <w:rPr>
                      <w:rFonts w:hint="default" w:ascii="Times New Roman" w:hAnsi="Times New Roman" w:cs="Times New Roman"/>
                      <w:color w:val="auto"/>
                      <w:sz w:val="18"/>
                      <w:szCs w:val="18"/>
                      <w:highlight w:val="none"/>
                    </w:rPr>
                    <w:t>-00</w:t>
                  </w:r>
                  <w:r>
                    <w:rPr>
                      <w:rFonts w:hint="eastAsia"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-S</w:t>
                  </w:r>
                  <w:r>
                    <w:rPr>
                      <w:rFonts w:hint="eastAsia" w:cs="Times New Roman"/>
                      <w:color w:val="auto"/>
                      <w:sz w:val="18"/>
                      <w:szCs w:val="18"/>
                      <w:highlight w:val="none"/>
                      <w:lang w:val="en-US" w:eastAsia="zh-CN"/>
                    </w:rPr>
                    <w:t>59</w:t>
                  </w:r>
                </w:p>
              </w:tc>
              <w:tc>
                <w:tcPr>
                  <w:tcW w:w="716" w:type="dxa"/>
                  <w:noWrap w:val="0"/>
                  <w:vAlign w:val="center"/>
                </w:tcPr>
                <w:p w14:paraId="36F250BF">
                  <w:pPr>
                    <w:keepNext w:val="0"/>
                    <w:keepLines w:val="0"/>
                    <w:suppressLineNumbers w:val="0"/>
                    <w:autoSpaceDE w:val="0"/>
                    <w:autoSpaceDN w:val="0"/>
                    <w:spacing w:before="0" w:beforeAutospacing="0" w:after="0" w:afterAutospacing="0"/>
                    <w:ind w:left="0" w:leftChars="0" w:right="0" w:rightChars="0"/>
                    <w:jc w:val="center"/>
                    <w:rPr>
                      <w:rFonts w:hint="eastAsia"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5</w:t>
                  </w:r>
                </w:p>
              </w:tc>
              <w:tc>
                <w:tcPr>
                  <w:tcW w:w="1390" w:type="dxa"/>
                  <w:noWrap w:val="0"/>
                  <w:vAlign w:val="center"/>
                </w:tcPr>
                <w:p w14:paraId="2BF6C724">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袋装</w:t>
                  </w:r>
                </w:p>
              </w:tc>
              <w:tc>
                <w:tcPr>
                  <w:tcW w:w="818" w:type="dxa"/>
                  <w:noWrap w:val="0"/>
                  <w:vAlign w:val="center"/>
                </w:tcPr>
                <w:p w14:paraId="35E07A7F">
                  <w:pPr>
                    <w:keepNext w:val="0"/>
                    <w:keepLines w:val="0"/>
                    <w:suppressLineNumbers w:val="0"/>
                    <w:autoSpaceDE w:val="0"/>
                    <w:autoSpaceDN w:val="0"/>
                    <w:spacing w:before="0" w:beforeAutospacing="0" w:after="0" w:afterAutospacing="0"/>
                    <w:ind w:left="0" w:leftChars="0" w:right="0" w:rightChars="0"/>
                    <w:jc w:val="center"/>
                    <w:rPr>
                      <w:rFonts w:hint="eastAsia"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5</w:t>
                  </w:r>
                </w:p>
              </w:tc>
              <w:tc>
                <w:tcPr>
                  <w:tcW w:w="1434" w:type="dxa"/>
                  <w:noWrap w:val="0"/>
                  <w:vAlign w:val="center"/>
                </w:tcPr>
                <w:p w14:paraId="72DD9EA7">
                  <w:pPr>
                    <w:keepNext w:val="0"/>
                    <w:keepLines w:val="0"/>
                    <w:suppressLineNumbers w:val="0"/>
                    <w:autoSpaceDE w:val="0"/>
                    <w:autoSpaceDN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除尘器厂家更换后直接带走</w:t>
                  </w:r>
                </w:p>
              </w:tc>
            </w:tr>
            <w:tr w14:paraId="4AF545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022" w:type="dxa"/>
                  <w:noWrap w:val="0"/>
                  <w:vAlign w:val="center"/>
                </w:tcPr>
                <w:p w14:paraId="6AF682B3">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18"/>
                      <w:szCs w:val="18"/>
                      <w:highlight w:val="none"/>
                    </w:rPr>
                  </w:pPr>
                  <w:r>
                    <w:rPr>
                      <w:rFonts w:hint="eastAsia" w:cs="Times New Roman"/>
                      <w:color w:val="auto"/>
                      <w:sz w:val="18"/>
                      <w:szCs w:val="18"/>
                      <w:highlight w:val="none"/>
                      <w:lang w:val="en-US" w:eastAsia="zh-CN"/>
                    </w:rPr>
                    <w:t>工艺粉尘</w:t>
                  </w:r>
                </w:p>
              </w:tc>
              <w:tc>
                <w:tcPr>
                  <w:tcW w:w="1231" w:type="dxa"/>
                  <w:noWrap w:val="0"/>
                  <w:vAlign w:val="center"/>
                </w:tcPr>
                <w:p w14:paraId="3A46884C">
                  <w:pPr>
                    <w:pStyle w:val="131"/>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p>
              </w:tc>
              <w:tc>
                <w:tcPr>
                  <w:tcW w:w="1464" w:type="dxa"/>
                  <w:noWrap w:val="0"/>
                  <w:vAlign w:val="center"/>
                </w:tcPr>
                <w:p w14:paraId="3F6D1D1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716" w:type="dxa"/>
                  <w:noWrap w:val="0"/>
                  <w:vAlign w:val="center"/>
                </w:tcPr>
                <w:p w14:paraId="5561596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149.85</w:t>
                  </w:r>
                </w:p>
              </w:tc>
              <w:tc>
                <w:tcPr>
                  <w:tcW w:w="1390" w:type="dxa"/>
                  <w:noWrap w:val="0"/>
                  <w:vAlign w:val="center"/>
                </w:tcPr>
                <w:p w14:paraId="1D52977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18" w:type="dxa"/>
                  <w:noWrap w:val="0"/>
                  <w:vAlign w:val="center"/>
                </w:tcPr>
                <w:p w14:paraId="31C44C5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149.85</w:t>
                  </w:r>
                </w:p>
              </w:tc>
              <w:tc>
                <w:tcPr>
                  <w:tcW w:w="1434" w:type="dxa"/>
                  <w:noWrap w:val="0"/>
                  <w:vAlign w:val="center"/>
                </w:tcPr>
                <w:p w14:paraId="1C7A7E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default" w:ascii="Times New Roman" w:hAnsi="Times New Roman" w:eastAsia="宋体" w:cs="Times New Roman"/>
                      <w:bCs/>
                      <w:color w:val="auto"/>
                      <w:sz w:val="18"/>
                      <w:szCs w:val="18"/>
                      <w:highlight w:val="none"/>
                      <w:lang w:val="en-US"/>
                    </w:rPr>
                    <w:t>由市政环卫部门统一清运</w:t>
                  </w:r>
                </w:p>
              </w:tc>
            </w:tr>
            <w:tr w14:paraId="006B91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22" w:type="dxa"/>
                  <w:vMerge w:val="restart"/>
                  <w:noWrap w:val="0"/>
                  <w:vAlign w:val="center"/>
                </w:tcPr>
                <w:p w14:paraId="547AFDDB">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设备维护</w:t>
                  </w:r>
                </w:p>
              </w:tc>
              <w:tc>
                <w:tcPr>
                  <w:tcW w:w="1231" w:type="dxa"/>
                  <w:noWrap w:val="0"/>
                  <w:vAlign w:val="center"/>
                </w:tcPr>
                <w:p w14:paraId="3E02F4D0">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废机油</w:t>
                  </w:r>
                </w:p>
              </w:tc>
              <w:tc>
                <w:tcPr>
                  <w:tcW w:w="1464" w:type="dxa"/>
                  <w:noWrap w:val="0"/>
                  <w:vAlign w:val="center"/>
                </w:tcPr>
                <w:p w14:paraId="153BD06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危险废物</w:t>
                  </w:r>
                </w:p>
                <w:p w14:paraId="41ED5751">
                  <w:pPr>
                    <w:pStyle w:val="2"/>
                    <w:keepNext w:val="0"/>
                    <w:keepLines w:val="0"/>
                    <w:suppressLineNumbers w:val="0"/>
                    <w:spacing w:beforeAutospacing="0" w:afterAutospacing="0"/>
                    <w:ind w:left="0" w:right="113" w:rightChars="0"/>
                    <w:jc w:val="center"/>
                    <w:rPr>
                      <w:rFonts w:hint="default" w:ascii="Times New Roman" w:hAnsi="Times New Roman" w:cs="Times New Roman"/>
                      <w:color w:val="auto"/>
                      <w:sz w:val="18"/>
                      <w:szCs w:val="18"/>
                      <w:highlight w:val="none"/>
                    </w:rPr>
                  </w:pPr>
                  <w:r>
                    <w:rPr>
                      <w:rFonts w:hint="eastAsia"/>
                      <w:color w:val="auto"/>
                      <w:lang w:val="en-US" w:eastAsia="zh-CN"/>
                    </w:rPr>
                    <w:t>9</w:t>
                  </w:r>
                  <w:r>
                    <w:rPr>
                      <w:rFonts w:hint="eastAsia" w:ascii="Times New Roman" w:hAnsi="Times New Roman" w:eastAsia="宋体" w:cs="Times New Roman"/>
                      <w:color w:val="auto"/>
                      <w:kern w:val="2"/>
                      <w:sz w:val="18"/>
                      <w:szCs w:val="18"/>
                      <w:highlight w:val="none"/>
                      <w:lang w:val="en-US" w:eastAsia="zh-CN" w:bidi="ar-SA"/>
                    </w:rPr>
                    <w:t>00-214-08</w:t>
                  </w:r>
                </w:p>
              </w:tc>
              <w:tc>
                <w:tcPr>
                  <w:tcW w:w="716" w:type="dxa"/>
                  <w:noWrap w:val="0"/>
                  <w:vAlign w:val="center"/>
                </w:tcPr>
                <w:p w14:paraId="38F3137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0.02</w:t>
                  </w:r>
                </w:p>
              </w:tc>
              <w:tc>
                <w:tcPr>
                  <w:tcW w:w="1390" w:type="dxa"/>
                  <w:noWrap w:val="0"/>
                  <w:vAlign w:val="center"/>
                </w:tcPr>
                <w:p w14:paraId="223AADFA">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暂存危险废物贮存点内密闭废油桶</w:t>
                  </w:r>
                </w:p>
              </w:tc>
              <w:tc>
                <w:tcPr>
                  <w:tcW w:w="818" w:type="dxa"/>
                  <w:noWrap w:val="0"/>
                  <w:vAlign w:val="center"/>
                </w:tcPr>
                <w:p w14:paraId="2EE32EE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0.02</w:t>
                  </w:r>
                </w:p>
              </w:tc>
              <w:tc>
                <w:tcPr>
                  <w:tcW w:w="1434" w:type="dxa"/>
                  <w:vMerge w:val="restart"/>
                  <w:noWrap w:val="0"/>
                  <w:vAlign w:val="center"/>
                </w:tcPr>
                <w:p w14:paraId="09BBB2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eastAsia" w:ascii="Times New Roman" w:hAnsi="Times New Roman" w:cs="Times New Roman"/>
                      <w:color w:val="auto"/>
                      <w:sz w:val="18"/>
                      <w:szCs w:val="18"/>
                      <w:highlight w:val="none"/>
                      <w:lang w:val="en-US" w:eastAsia="zh-CN"/>
                    </w:rPr>
                    <w:t>委托有资质单位处置</w:t>
                  </w:r>
                </w:p>
              </w:tc>
            </w:tr>
            <w:tr w14:paraId="3F777E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022" w:type="dxa"/>
                  <w:vMerge w:val="continue"/>
                  <w:noWrap w:val="0"/>
                  <w:vAlign w:val="center"/>
                </w:tcPr>
                <w:p w14:paraId="135DF66B">
                  <w:pPr>
                    <w:pStyle w:val="131"/>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p>
              </w:tc>
              <w:tc>
                <w:tcPr>
                  <w:tcW w:w="1231" w:type="dxa"/>
                  <w:noWrap w:val="0"/>
                  <w:vAlign w:val="center"/>
                </w:tcPr>
                <w:p w14:paraId="2FBCC05A">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废弃含油抹布手套</w:t>
                  </w:r>
                </w:p>
              </w:tc>
              <w:tc>
                <w:tcPr>
                  <w:tcW w:w="1464" w:type="dxa"/>
                  <w:noWrap w:val="0"/>
                  <w:vAlign w:val="center"/>
                </w:tcPr>
                <w:p w14:paraId="00CEC250">
                  <w:pPr>
                    <w:keepNext w:val="0"/>
                    <w:keepLines w:val="0"/>
                    <w:suppressLineNumbers w:val="0"/>
                    <w:spacing w:before="0" w:beforeAutospacing="0" w:after="0" w:afterAutospacing="0"/>
                    <w:ind w:left="0" w:right="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危险废物</w:t>
                  </w:r>
                </w:p>
                <w:p w14:paraId="4072B56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900-041-49</w:t>
                  </w:r>
                </w:p>
              </w:tc>
              <w:tc>
                <w:tcPr>
                  <w:tcW w:w="716" w:type="dxa"/>
                  <w:noWrap w:val="0"/>
                  <w:vAlign w:val="center"/>
                </w:tcPr>
                <w:p w14:paraId="55BB451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0.01</w:t>
                  </w:r>
                </w:p>
              </w:tc>
              <w:tc>
                <w:tcPr>
                  <w:tcW w:w="1390" w:type="dxa"/>
                  <w:noWrap w:val="0"/>
                  <w:vAlign w:val="center"/>
                </w:tcPr>
                <w:p w14:paraId="5611B01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暂存危险废物贮存点内密闭容器内</w:t>
                  </w:r>
                </w:p>
              </w:tc>
              <w:tc>
                <w:tcPr>
                  <w:tcW w:w="818" w:type="dxa"/>
                  <w:noWrap w:val="0"/>
                  <w:vAlign w:val="center"/>
                </w:tcPr>
                <w:p w14:paraId="1860C18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0.01</w:t>
                  </w:r>
                </w:p>
              </w:tc>
              <w:tc>
                <w:tcPr>
                  <w:tcW w:w="1434" w:type="dxa"/>
                  <w:vMerge w:val="continue"/>
                  <w:noWrap w:val="0"/>
                  <w:vAlign w:val="center"/>
                </w:tcPr>
                <w:p w14:paraId="29176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p>
              </w:tc>
            </w:tr>
          </w:tbl>
          <w:p w14:paraId="2FBD1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default" w:ascii="Times New Roman" w:hAnsi="Times New Roman" w:eastAsia="宋体" w:cs="Times New Roman"/>
                <w:color w:val="auto"/>
                <w:kern w:val="21"/>
                <w:sz w:val="21"/>
                <w:szCs w:val="21"/>
                <w:highlight w:val="none"/>
                <w:lang w:val="en-US" w:eastAsia="zh-CN"/>
              </w:rPr>
              <w:t>员</w:t>
            </w:r>
            <w:r>
              <w:rPr>
                <w:rFonts w:hint="default" w:ascii="Times New Roman" w:hAnsi="Times New Roman" w:eastAsia="宋体" w:cs="Times New Roman"/>
                <w:color w:val="auto"/>
                <w:kern w:val="21"/>
                <w:sz w:val="21"/>
                <w:szCs w:val="21"/>
                <w:highlight w:val="none"/>
              </w:rPr>
              <w:t>工生活垃圾</w:t>
            </w:r>
            <w:r>
              <w:rPr>
                <w:rFonts w:hint="eastAsia"/>
                <w:color w:val="auto"/>
                <w:highlight w:val="none"/>
              </w:rPr>
              <w:t>、热风炉</w:t>
            </w:r>
            <w:r>
              <w:rPr>
                <w:rFonts w:hint="eastAsia"/>
                <w:color w:val="auto"/>
                <w:highlight w:val="none"/>
                <w:lang w:eastAsia="zh-CN"/>
              </w:rPr>
              <w:t>灰渣、</w:t>
            </w:r>
            <w:r>
              <w:rPr>
                <w:rFonts w:hint="eastAsia"/>
                <w:color w:val="auto"/>
                <w:highlight w:val="none"/>
                <w:lang w:val="en-US" w:eastAsia="zh-CN"/>
              </w:rPr>
              <w:t>除尘器收尘灰、废布袋、</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default" w:ascii="Times New Roman" w:hAnsi="Times New Roman" w:cs="Times New Roman"/>
                <w:color w:val="auto"/>
                <w:sz w:val="21"/>
                <w:szCs w:val="21"/>
                <w:highlight w:val="none"/>
              </w:rPr>
              <w:t>粉尘</w:t>
            </w:r>
            <w:r>
              <w:rPr>
                <w:rFonts w:hint="eastAsia"/>
                <w:color w:val="auto"/>
                <w:highlight w:val="none"/>
              </w:rPr>
              <w:t>。</w:t>
            </w:r>
          </w:p>
          <w:p w14:paraId="635B46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①生活垃圾：本项目</w:t>
            </w:r>
            <w:r>
              <w:rPr>
                <w:rFonts w:hint="eastAsia" w:cs="Times New Roman"/>
                <w:color w:val="auto"/>
                <w:sz w:val="21"/>
                <w:szCs w:val="21"/>
                <w:highlight w:val="none"/>
                <w:lang w:eastAsia="zh-CN"/>
              </w:rPr>
              <w:t>办公室</w:t>
            </w:r>
            <w:r>
              <w:rPr>
                <w:rFonts w:hint="default" w:ascii="Times New Roman" w:hAnsi="Times New Roman" w:eastAsia="宋体" w:cs="Times New Roman"/>
                <w:color w:val="auto"/>
                <w:sz w:val="21"/>
                <w:szCs w:val="21"/>
                <w:highlight w:val="none"/>
              </w:rPr>
              <w:t>劳动定员</w:t>
            </w:r>
            <w:r>
              <w:rPr>
                <w:rFonts w:hint="eastAsia"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人</w:t>
            </w:r>
            <w:r>
              <w:rPr>
                <w:rFonts w:hint="eastAsia" w:cs="Times New Roman"/>
                <w:color w:val="auto"/>
                <w:sz w:val="21"/>
                <w:szCs w:val="21"/>
                <w:highlight w:val="none"/>
                <w:lang w:eastAsia="zh-CN"/>
              </w:rPr>
              <w:t>，年工作</w:t>
            </w:r>
            <w:r>
              <w:rPr>
                <w:rFonts w:hint="eastAsia" w:cs="Times New Roman"/>
                <w:color w:val="auto"/>
                <w:sz w:val="21"/>
                <w:szCs w:val="21"/>
                <w:highlight w:val="none"/>
                <w:lang w:val="en-US" w:eastAsia="zh-CN"/>
              </w:rPr>
              <w:t>250天，烘干塔劳动定员10人，年工作180天</w:t>
            </w:r>
            <w:r>
              <w:rPr>
                <w:rFonts w:hint="default" w:ascii="Times New Roman" w:hAnsi="Times New Roman" w:eastAsia="宋体" w:cs="Times New Roman"/>
                <w:color w:val="auto"/>
                <w:sz w:val="21"/>
                <w:szCs w:val="21"/>
                <w:highlight w:val="none"/>
              </w:rPr>
              <w:t>，生活垃圾按0.5kg/人·d计，则生活垃圾产生量为</w:t>
            </w:r>
            <w:r>
              <w:rPr>
                <w:rFonts w:hint="eastAsia" w:cs="Times New Roman"/>
                <w:color w:val="auto"/>
                <w:sz w:val="21"/>
                <w:szCs w:val="21"/>
                <w:highlight w:val="none"/>
                <w:lang w:val="en-US" w:eastAsia="zh-CN"/>
              </w:rPr>
              <w:t>3.775t</w:t>
            </w:r>
            <w:r>
              <w:rPr>
                <w:rFonts w:hint="default" w:ascii="Times New Roman" w:hAnsi="Times New Roman" w:eastAsia="宋体" w:cs="Times New Roman"/>
                <w:color w:val="auto"/>
                <w:sz w:val="21"/>
                <w:szCs w:val="21"/>
                <w:highlight w:val="none"/>
              </w:rPr>
              <w:t>/a，由市政环卫部门统一清运。</w:t>
            </w:r>
          </w:p>
          <w:p w14:paraId="21491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②</w:t>
            </w:r>
            <w:r>
              <w:rPr>
                <w:rFonts w:hint="default" w:ascii="Times New Roman" w:hAnsi="Times New Roman" w:cs="Times New Roman"/>
                <w:color w:val="auto"/>
                <w:sz w:val="21"/>
                <w:szCs w:val="21"/>
                <w:highlight w:val="none"/>
              </w:rPr>
              <w:t>热风炉</w:t>
            </w:r>
            <w:r>
              <w:rPr>
                <w:rFonts w:hint="eastAsia" w:cs="Times New Roman"/>
                <w:color w:val="auto"/>
                <w:sz w:val="21"/>
                <w:szCs w:val="21"/>
                <w:highlight w:val="none"/>
                <w:lang w:val="en-US" w:eastAsia="zh-CN"/>
              </w:rPr>
              <w:t>灰</w:t>
            </w:r>
            <w:r>
              <w:rPr>
                <w:rFonts w:hint="default" w:ascii="Times New Roman" w:hAnsi="Times New Roman" w:cs="Times New Roman"/>
                <w:color w:val="auto"/>
                <w:sz w:val="21"/>
                <w:szCs w:val="21"/>
                <w:highlight w:val="none"/>
              </w:rPr>
              <w:t>渣</w:t>
            </w:r>
            <w:r>
              <w:rPr>
                <w:rFonts w:hint="eastAsia" w:cs="Times New Roman"/>
                <w:color w:val="auto"/>
                <w:sz w:val="21"/>
                <w:szCs w:val="21"/>
                <w:highlight w:val="none"/>
                <w:lang w:val="en-US" w:eastAsia="zh-CN"/>
              </w:rPr>
              <w:t>、除尘器收尘灰</w:t>
            </w:r>
          </w:p>
          <w:p w14:paraId="4F8130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热风炉灰渣</w:t>
            </w:r>
            <w:r>
              <w:rPr>
                <w:rFonts w:hint="eastAsia" w:cs="Times New Roman"/>
                <w:color w:val="auto"/>
                <w:sz w:val="21"/>
                <w:szCs w:val="21"/>
                <w:highlight w:val="none"/>
                <w:lang w:val="en-US" w:eastAsia="zh-CN"/>
              </w:rPr>
              <w:t>及除尘器收尘灰</w:t>
            </w:r>
            <w:r>
              <w:rPr>
                <w:rFonts w:hint="default" w:ascii="Times New Roman" w:hAnsi="Times New Roman" w:cs="Times New Roman"/>
                <w:color w:val="auto"/>
                <w:sz w:val="21"/>
                <w:szCs w:val="21"/>
                <w:highlight w:val="none"/>
              </w:rPr>
              <w:t>产生量参考《污染源源强核算技术指南 锅炉》（HJ 991-2018）中8.1生物质锅炉灰渣产生量计算方法进行核算。</w:t>
            </w:r>
          </w:p>
          <w:p w14:paraId="179D1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color w:val="auto"/>
                <w:position w:val="-30"/>
                <w:sz w:val="21"/>
                <w:szCs w:val="21"/>
                <w:highlight w:val="none"/>
              </w:rPr>
              <w:object>
                <v:shape id="_x0000_i1027" o:spt="75" type="#_x0000_t75" style="height:36pt;width:147pt;" o:ole="t" filled="f" o:preferrelative="t" stroked="f" coordsize="21600,21600">
                  <v:path/>
                  <v:fill on="f" focussize="0,0"/>
                  <v:stroke on="f"/>
                  <v:imagedata r:id="rId26" o:title=""/>
                  <o:lock v:ext="edit" aspectratio="t"/>
                  <w10:wrap type="none"/>
                  <w10:anchorlock/>
                </v:shape>
                <o:OLEObject Type="Embed" ProgID="Equation.KSEE3" ShapeID="_x0000_i1027" DrawAspect="Content" ObjectID="_1468075727" r:id="rId25">
                  <o:LockedField>false</o:LockedField>
                </o:OLEObject>
              </w:object>
            </w:r>
          </w:p>
          <w:p w14:paraId="5A7E1D85">
            <w:pPr>
              <w:pStyle w:val="32"/>
              <w:keepNext w:val="0"/>
              <w:keepLines w:val="0"/>
              <w:suppressLineNumbers w:val="0"/>
              <w:spacing w:before="0" w:beforeAutospacing="0" w:after="0" w:afterAutospacing="0" w:line="360" w:lineRule="auto"/>
              <w:ind w:left="0" w:right="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----核算时段内灰渣产生量，t；</w:t>
            </w:r>
          </w:p>
          <w:p w14:paraId="675F2AE3">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R----核算时段内锅炉燃料耗量，</w:t>
            </w:r>
            <w:r>
              <w:rPr>
                <w:rFonts w:hint="eastAsia" w:cs="Times New Roman"/>
                <w:color w:val="auto"/>
                <w:sz w:val="21"/>
                <w:szCs w:val="21"/>
                <w:highlight w:val="none"/>
                <w:lang w:val="en-US" w:eastAsia="zh-CN"/>
              </w:rPr>
              <w:t>9272.6</w:t>
            </w:r>
            <w:r>
              <w:rPr>
                <w:rFonts w:hint="default" w:ascii="Times New Roman" w:hAnsi="Times New Roman" w:eastAsia="宋体" w:cs="Times New Roman"/>
                <w:color w:val="auto"/>
                <w:sz w:val="21"/>
                <w:szCs w:val="21"/>
                <w:highlight w:val="none"/>
              </w:rPr>
              <w:t>t；</w:t>
            </w:r>
          </w:p>
          <w:p w14:paraId="3DB7E3E2">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----收到基灰分的质量分数，%；取</w:t>
            </w:r>
            <w:r>
              <w:rPr>
                <w:rFonts w:hint="eastAsia"/>
                <w:bCs w:val="0"/>
                <w:color w:val="auto"/>
                <w:highlight w:val="none"/>
                <w:lang w:val="en-US" w:eastAsia="zh-CN"/>
              </w:rPr>
              <w:t>3.71</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p>
          <w:p w14:paraId="6DFD0A0C">
            <w:pPr>
              <w:pStyle w:val="3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----锅炉机械不完全燃烧热损失，%；取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热风炉</w:t>
            </w:r>
            <w:r>
              <w:rPr>
                <w:rFonts w:hint="default" w:ascii="Times New Roman" w:hAnsi="Times New Roman" w:cs="Times New Roman"/>
                <w:color w:val="auto"/>
                <w:sz w:val="21"/>
                <w:szCs w:val="21"/>
                <w:highlight w:val="none"/>
              </w:rPr>
              <w:t>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p>
          <w:p w14:paraId="0BF54B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----收到基低位发热量，kJ/kg。</w:t>
            </w:r>
            <w:r>
              <w:rPr>
                <w:rFonts w:hint="default"/>
                <w:bCs w:val="0"/>
                <w:color w:val="auto"/>
                <w:highlight w:val="none"/>
                <w:lang w:val="en-US" w:eastAsia="zh-CN"/>
              </w:rPr>
              <w:t>取</w:t>
            </w:r>
            <w:r>
              <w:rPr>
                <w:rFonts w:hint="eastAsia"/>
                <w:bCs w:val="0"/>
                <w:color w:val="auto"/>
                <w:highlight w:val="none"/>
                <w:lang w:val="en-US" w:eastAsia="zh-CN"/>
              </w:rPr>
              <w:t>17.52</w:t>
            </w:r>
            <w:r>
              <w:rPr>
                <w:rFonts w:hint="default" w:ascii="Arial" w:hAnsi="Arial" w:cs="Arial"/>
                <w:color w:val="auto"/>
                <w:highlight w:val="none"/>
              </w:rPr>
              <w:t>×</w:t>
            </w:r>
            <w:r>
              <w:rPr>
                <w:rFonts w:hint="eastAsia"/>
                <w:color w:val="auto"/>
                <w:highlight w:val="none"/>
                <w:lang w:val="en-US" w:eastAsia="zh-CN"/>
              </w:rPr>
              <w:t>10</w:t>
            </w:r>
            <w:r>
              <w:rPr>
                <w:rFonts w:hint="eastAsia"/>
                <w:color w:val="auto"/>
                <w:highlight w:val="none"/>
                <w:vertAlign w:val="superscript"/>
                <w:lang w:val="en-US" w:eastAsia="zh-CN"/>
              </w:rPr>
              <w:t>3</w:t>
            </w:r>
            <w:r>
              <w:rPr>
                <w:rFonts w:hint="default" w:ascii="Times New Roman" w:hAnsi="Times New Roman" w:cs="Times New Roman"/>
                <w:color w:val="auto"/>
                <w:sz w:val="21"/>
                <w:szCs w:val="21"/>
                <w:highlight w:val="none"/>
              </w:rPr>
              <w:t>；（根据生物质成分分析报告）；</w:t>
            </w:r>
          </w:p>
          <w:p w14:paraId="61B776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经计算，本项目</w:t>
            </w:r>
            <w:r>
              <w:rPr>
                <w:rFonts w:hint="eastAsia" w:cs="Times New Roman"/>
                <w:color w:val="auto"/>
                <w:sz w:val="21"/>
                <w:szCs w:val="21"/>
                <w:highlight w:val="none"/>
                <w:lang w:val="en-US" w:eastAsia="zh-CN"/>
              </w:rPr>
              <w:t>热风炉灰渣及除尘器收尘灰</w:t>
            </w:r>
            <w:r>
              <w:rPr>
                <w:rFonts w:hint="default" w:ascii="Times New Roman" w:hAnsi="Times New Roman" w:cs="Times New Roman"/>
                <w:bCs/>
                <w:color w:val="auto"/>
                <w:sz w:val="21"/>
                <w:szCs w:val="21"/>
                <w:highlight w:val="none"/>
              </w:rPr>
              <w:t>产生量为</w:t>
            </w:r>
            <w:r>
              <w:rPr>
                <w:rFonts w:hint="eastAsia" w:cs="Times New Roman"/>
                <w:bCs/>
                <w:color w:val="auto"/>
                <w:sz w:val="21"/>
                <w:szCs w:val="21"/>
                <w:highlight w:val="none"/>
                <w:lang w:val="en-US" w:eastAsia="zh-CN"/>
              </w:rPr>
              <w:t>823.66t</w:t>
            </w:r>
            <w:r>
              <w:rPr>
                <w:rFonts w:hint="default" w:ascii="Times New Roman" w:hAnsi="Times New Roman" w:cs="Times New Roman"/>
                <w:bCs/>
                <w:color w:val="auto"/>
                <w:sz w:val="21"/>
                <w:szCs w:val="21"/>
                <w:highlight w:val="none"/>
              </w:rPr>
              <w:t>/a，</w:t>
            </w:r>
            <w:r>
              <w:rPr>
                <w:rFonts w:hint="default" w:ascii="Times New Roman" w:hAnsi="Times New Roman" w:cs="Times New Roman"/>
                <w:color w:val="auto"/>
                <w:sz w:val="21"/>
                <w:szCs w:val="21"/>
                <w:highlight w:val="none"/>
              </w:rPr>
              <w:t>密封收集，暂存于</w:t>
            </w:r>
            <w:r>
              <w:rPr>
                <w:rFonts w:hint="eastAsia" w:ascii="宋体" w:hAnsi="宋体" w:eastAsia="宋体" w:cs="宋体"/>
                <w:bCs/>
                <w:color w:val="auto"/>
                <w:kern w:val="0"/>
                <w:sz w:val="21"/>
                <w:szCs w:val="21"/>
                <w:highlight w:val="none"/>
                <w:lang w:val="en-US" w:eastAsia="zh-CN"/>
              </w:rPr>
              <w:t>热风炉房</w:t>
            </w:r>
            <w:r>
              <w:rPr>
                <w:rFonts w:hint="eastAsia" w:cs="Times New Roman"/>
                <w:color w:val="auto"/>
                <w:sz w:val="21"/>
                <w:szCs w:val="21"/>
                <w:highlight w:val="none"/>
                <w:lang w:val="en-US" w:eastAsia="zh-CN"/>
              </w:rPr>
              <w:t>内灰渣间</w:t>
            </w:r>
            <w:r>
              <w:rPr>
                <w:rFonts w:hint="default" w:ascii="Times New Roman" w:hAnsi="Times New Roman" w:cs="Times New Roman"/>
                <w:color w:val="auto"/>
                <w:sz w:val="21"/>
                <w:szCs w:val="21"/>
                <w:highlight w:val="none"/>
              </w:rPr>
              <w:t>，定期外售综合利用</w:t>
            </w:r>
            <w:r>
              <w:rPr>
                <w:rFonts w:hint="eastAsia" w:cs="Times New Roman"/>
                <w:color w:val="auto"/>
                <w:sz w:val="21"/>
                <w:szCs w:val="21"/>
                <w:highlight w:val="none"/>
                <w:lang w:val="en-US" w:eastAsia="zh-CN"/>
              </w:rPr>
              <w:t>，不在厂区长期储存，外售综合利用。</w:t>
            </w:r>
          </w:p>
          <w:p w14:paraId="6424B960">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③</w:t>
            </w:r>
            <w:r>
              <w:rPr>
                <w:rFonts w:hint="eastAsia" w:cs="Times New Roman"/>
                <w:color w:val="auto"/>
                <w:sz w:val="21"/>
                <w:szCs w:val="21"/>
                <w:highlight w:val="none"/>
                <w:lang w:val="en-US" w:eastAsia="zh-CN"/>
              </w:rPr>
              <w:t>废布袋</w:t>
            </w:r>
          </w:p>
          <w:p w14:paraId="21CDD01F">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default" w:cs="Times New Roman"/>
                <w:color w:val="auto"/>
                <w:sz w:val="21"/>
                <w:szCs w:val="21"/>
                <w:highlight w:val="none"/>
                <w:lang w:val="en-US" w:eastAsia="zh-CN"/>
              </w:rPr>
            </w:pPr>
            <w:r>
              <w:rPr>
                <w:rFonts w:hint="default"/>
                <w:color w:val="auto"/>
                <w:sz w:val="21"/>
                <w:szCs w:val="21"/>
              </w:rPr>
              <w:t>本项目除尘器为保证除尘效率，定期更换布袋，</w:t>
            </w:r>
            <w:r>
              <w:rPr>
                <w:rFonts w:hint="eastAsia" w:ascii="Times New Roman" w:hAnsi="Times New Roman" w:cs="Times New Roman"/>
                <w:color w:val="auto"/>
                <w:sz w:val="21"/>
                <w:szCs w:val="21"/>
                <w:highlight w:val="none"/>
                <w:lang w:eastAsia="zh-CN" w:bidi="ar"/>
              </w:rPr>
              <w:t>每年</w:t>
            </w:r>
            <w:r>
              <w:rPr>
                <w:rFonts w:hint="default"/>
                <w:color w:val="auto"/>
                <w:sz w:val="21"/>
                <w:szCs w:val="21"/>
              </w:rPr>
              <w:t>更换一次，废弃布袋产生量</w:t>
            </w:r>
            <w:r>
              <w:rPr>
                <w:rFonts w:hint="eastAsia"/>
                <w:color w:val="auto"/>
                <w:sz w:val="21"/>
                <w:szCs w:val="21"/>
                <w:lang w:val="en-US" w:eastAsia="zh-CN"/>
              </w:rPr>
              <w:t>约</w:t>
            </w: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t/a</w:t>
            </w:r>
            <w:r>
              <w:rPr>
                <w:rFonts w:hint="default"/>
                <w:color w:val="auto"/>
                <w:sz w:val="21"/>
                <w:szCs w:val="21"/>
              </w:rPr>
              <w:t>，</w:t>
            </w:r>
            <w:r>
              <w:rPr>
                <w:rFonts w:hint="eastAsia"/>
                <w:color w:val="auto"/>
                <w:sz w:val="21"/>
                <w:szCs w:val="21"/>
              </w:rPr>
              <w:t>更换后由厂家直接带走</w:t>
            </w:r>
            <w:r>
              <w:rPr>
                <w:rFonts w:hint="default"/>
                <w:color w:val="auto"/>
                <w:sz w:val="21"/>
                <w:szCs w:val="21"/>
              </w:rPr>
              <w:t>。</w:t>
            </w:r>
          </w:p>
          <w:p w14:paraId="1E3BF2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④</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default" w:ascii="Times New Roman" w:hAnsi="Times New Roman" w:cs="Times New Roman"/>
                <w:color w:val="auto"/>
                <w:sz w:val="21"/>
                <w:szCs w:val="21"/>
                <w:highlight w:val="none"/>
              </w:rPr>
              <w:t>粉尘</w:t>
            </w:r>
          </w:p>
          <w:p w14:paraId="6D72E2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eastAsia" w:ascii="Times New Roman" w:hAnsi="Times New Roman" w:cs="Times New Roman"/>
                <w:color w:val="auto"/>
                <w:sz w:val="21"/>
                <w:szCs w:val="21"/>
                <w:highlight w:val="none"/>
                <w:lang w:eastAsia="zh-CN"/>
              </w:rPr>
              <w:t>过程的</w:t>
            </w:r>
            <w:r>
              <w:rPr>
                <w:rFonts w:hint="eastAsia"/>
                <w:color w:val="auto"/>
                <w:highlight w:val="none"/>
                <w:lang w:eastAsia="zh-CN"/>
              </w:rPr>
              <w:t>粉尘</w:t>
            </w:r>
            <w:r>
              <w:rPr>
                <w:rFonts w:hint="default" w:ascii="Times New Roman" w:hAnsi="Times New Roman" w:cs="Times New Roman"/>
                <w:color w:val="auto"/>
                <w:sz w:val="21"/>
                <w:szCs w:val="21"/>
                <w:highlight w:val="none"/>
              </w:rPr>
              <w:t>量为</w:t>
            </w:r>
            <w:r>
              <w:rPr>
                <w:rFonts w:hint="eastAsia" w:cs="Times New Roman"/>
                <w:color w:val="auto"/>
                <w:sz w:val="21"/>
                <w:szCs w:val="21"/>
                <w:highlight w:val="none"/>
                <w:lang w:val="en-US" w:eastAsia="zh-CN"/>
              </w:rPr>
              <w:t>149.85t</w:t>
            </w:r>
            <w:r>
              <w:rPr>
                <w:rFonts w:hint="default" w:ascii="Times New Roman" w:hAnsi="Times New Roman" w:cs="Times New Roman"/>
                <w:color w:val="auto"/>
                <w:sz w:val="21"/>
                <w:szCs w:val="21"/>
                <w:highlight w:val="none"/>
              </w:rPr>
              <w:t>，</w:t>
            </w:r>
            <w:r>
              <w:rPr>
                <w:rFonts w:hint="eastAsia"/>
                <w:color w:val="auto"/>
                <w:sz w:val="21"/>
                <w:szCs w:val="21"/>
                <w:highlight w:val="none"/>
                <w:lang w:val="en-US" w:eastAsia="zh-CN"/>
              </w:rPr>
              <w:t>由市政环卫部门统一清运</w:t>
            </w:r>
            <w:r>
              <w:rPr>
                <w:rFonts w:hint="default" w:ascii="Times New Roman" w:hAnsi="Times New Roman" w:eastAsia="宋体" w:cs="Times New Roman"/>
                <w:color w:val="auto"/>
                <w:sz w:val="21"/>
                <w:szCs w:val="21"/>
                <w:highlight w:val="none"/>
              </w:rPr>
              <w:t>。</w:t>
            </w:r>
          </w:p>
          <w:p w14:paraId="1298205B">
            <w:pPr>
              <w:pStyle w:val="2"/>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eastAsia"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⑤</w:t>
            </w:r>
            <w:r>
              <w:rPr>
                <w:rFonts w:hint="eastAsia" w:ascii="Times New Roman" w:hAnsi="Times New Roman" w:eastAsia="宋体" w:cs="Times New Roman"/>
                <w:bCs/>
                <w:color w:val="auto"/>
                <w:sz w:val="21"/>
                <w:szCs w:val="21"/>
                <w:highlight w:val="none"/>
                <w:lang w:val="en-US" w:eastAsia="zh-CN"/>
              </w:rPr>
              <w:t>危险</w:t>
            </w:r>
            <w:r>
              <w:rPr>
                <w:rFonts w:hint="eastAsia" w:cs="Times New Roman"/>
                <w:bCs/>
                <w:color w:val="auto"/>
                <w:sz w:val="21"/>
                <w:szCs w:val="21"/>
                <w:highlight w:val="none"/>
                <w:lang w:val="en-US" w:eastAsia="zh-CN"/>
              </w:rPr>
              <w:t>废物</w:t>
            </w:r>
          </w:p>
          <w:p w14:paraId="5D86FB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hAnsi="宋体"/>
                <w:color w:val="auto"/>
                <w:sz w:val="21"/>
                <w:szCs w:val="21"/>
                <w:highlight w:val="none"/>
                <w:lang w:eastAsia="zh-CN"/>
              </w:rPr>
            </w:pPr>
            <w:r>
              <w:rPr>
                <w:rFonts w:hint="eastAsia" w:cs="Times New Roman"/>
                <w:bCs/>
                <w:color w:val="auto"/>
                <w:sz w:val="21"/>
                <w:szCs w:val="21"/>
                <w:highlight w:val="none"/>
                <w:lang w:val="en-US" w:eastAsia="zh-CN"/>
              </w:rPr>
              <w:t>废机油、含油抹布手套等</w:t>
            </w:r>
            <w:r>
              <w:rPr>
                <w:rFonts w:hint="eastAsia" w:ascii="Times New Roman" w:hAnsi="Times New Roman" w:eastAsia="宋体" w:cs="Times New Roman"/>
                <w:bCs/>
                <w:color w:val="auto"/>
                <w:sz w:val="21"/>
                <w:szCs w:val="21"/>
                <w:highlight w:val="none"/>
                <w:lang w:val="en-US" w:eastAsia="zh-CN"/>
              </w:rPr>
              <w:t>统一储存在</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内</w:t>
            </w:r>
            <w:r>
              <w:rPr>
                <w:rFonts w:hint="eastAsia" w:cs="Times New Roman"/>
                <w:bCs/>
                <w:color w:val="auto"/>
                <w:sz w:val="21"/>
                <w:szCs w:val="21"/>
                <w:highlight w:val="none"/>
                <w:lang w:val="en-US" w:eastAsia="zh-CN"/>
              </w:rPr>
              <w:t>密闭废油桶、容器内</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产生量</w:t>
            </w:r>
            <w:r>
              <w:rPr>
                <w:rFonts w:hint="eastAsia"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3</w:t>
            </w:r>
            <w:r>
              <w:rPr>
                <w:rFonts w:hint="eastAsia" w:ascii="Times New Roman" w:hAnsi="Times New Roman" w:eastAsia="宋体" w:cs="Times New Roman"/>
                <w:bCs/>
                <w:color w:val="auto"/>
                <w:sz w:val="21"/>
                <w:szCs w:val="21"/>
                <w:highlight w:val="none"/>
                <w:lang w:val="en-US" w:eastAsia="zh-CN"/>
              </w:rPr>
              <w:t>t/a，集中收集后</w:t>
            </w:r>
            <w:r>
              <w:rPr>
                <w:rFonts w:hint="eastAsia" w:ascii="Times New Roman" w:hAnsi="Times New Roman" w:eastAsia="宋体" w:cs="Times New Roman"/>
                <w:bCs/>
                <w:color w:val="auto"/>
                <w:sz w:val="21"/>
                <w:szCs w:val="21"/>
                <w:highlight w:val="none"/>
                <w:lang w:eastAsia="zh-CN"/>
              </w:rPr>
              <w:t>，定期</w:t>
            </w:r>
            <w:r>
              <w:rPr>
                <w:rFonts w:hint="eastAsia" w:ascii="Times New Roman" w:hAnsi="Times New Roman" w:eastAsia="宋体" w:cs="Times New Roman"/>
                <w:bCs/>
                <w:color w:val="auto"/>
                <w:sz w:val="21"/>
                <w:szCs w:val="21"/>
                <w:highlight w:val="none"/>
                <w:lang w:val="en-US" w:eastAsia="zh-CN"/>
              </w:rPr>
              <w:t>交由有资质单位处理。</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必须地面与裙脚要用坚固、防渗的建筑材料建造，防渗层为至少2mm厚的防渗人工材料，防渗系数≤10</w:t>
            </w:r>
            <w:r>
              <w:rPr>
                <w:rFonts w:hint="eastAsia" w:ascii="Times New Roman" w:hAnsi="Times New Roman" w:eastAsia="宋体" w:cs="Times New Roman"/>
                <w:bCs/>
                <w:color w:val="auto"/>
                <w:sz w:val="21"/>
                <w:szCs w:val="21"/>
                <w:highlight w:val="none"/>
                <w:vertAlign w:val="superscript"/>
                <w:lang w:val="en-US" w:eastAsia="zh-CN"/>
              </w:rPr>
              <w:t>-</w:t>
            </w:r>
            <w:r>
              <w:rPr>
                <w:rFonts w:hint="eastAsia" w:cs="Times New Roman"/>
                <w:bCs/>
                <w:color w:val="auto"/>
                <w:sz w:val="21"/>
                <w:szCs w:val="21"/>
                <w:highlight w:val="none"/>
                <w:vertAlign w:val="superscript"/>
                <w:lang w:val="en-US" w:eastAsia="zh-CN"/>
              </w:rPr>
              <w:t>10</w:t>
            </w:r>
            <w:r>
              <w:rPr>
                <w:rFonts w:hint="eastAsia" w:ascii="Times New Roman" w:hAnsi="Times New Roman" w:eastAsia="宋体" w:cs="Times New Roman"/>
                <w:bCs/>
                <w:color w:val="auto"/>
                <w:sz w:val="21"/>
                <w:szCs w:val="21"/>
                <w:highlight w:val="none"/>
                <w:lang w:val="en-US" w:eastAsia="zh-CN"/>
              </w:rPr>
              <w:t>cm/s，危险废物须做好危险废物情况的记录、记录上须标明危险废物的名</w:t>
            </w:r>
            <w:r>
              <w:rPr>
                <w:rFonts w:hint="eastAsia" w:hAnsi="宋体"/>
                <w:color w:val="auto"/>
                <w:sz w:val="21"/>
                <w:szCs w:val="21"/>
                <w:highlight w:val="none"/>
                <w:lang w:val="en-US" w:eastAsia="zh-CN"/>
              </w:rPr>
              <w:t>称、来源、数量、入库时间、废物出库日期及接收单位名称。危险废物经过统一收集后再交给有资质的危险废物处置单位处理。</w:t>
            </w:r>
          </w:p>
          <w:p w14:paraId="6165B465">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采取上述措施后，运营期产生的固体废物可以得到有效处理处置，不会对周边环境产生危害性影响。</w:t>
            </w:r>
          </w:p>
          <w:p w14:paraId="4A30A68F">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（2）</w:t>
            </w:r>
            <w:r>
              <w:rPr>
                <w:rFonts w:hint="eastAsia" w:ascii="Times New Roman" w:hAnsi="Times New Roman" w:eastAsia="宋体" w:cs="Times New Roman"/>
                <w:bCs/>
                <w:color w:val="auto"/>
                <w:sz w:val="21"/>
                <w:szCs w:val="21"/>
                <w:highlight w:val="none"/>
                <w:lang w:val="en-US" w:eastAsia="zh-CN"/>
              </w:rPr>
              <w:t>危险废物处置措施</w:t>
            </w:r>
          </w:p>
          <w:p w14:paraId="655DFD9A">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①</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设置要求</w:t>
            </w:r>
          </w:p>
          <w:p w14:paraId="08700E9D">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rPr>
            </w:pP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应做到防风、防雨、防晒、防渗漏，贮存设施地面与裙脚应采取表面防渗措施</w:t>
            </w:r>
            <w:r>
              <w:rPr>
                <w:rFonts w:hint="eastAsia" w:cs="Times New Roman"/>
                <w:bCs/>
                <w:color w:val="auto"/>
                <w:sz w:val="21"/>
                <w:szCs w:val="21"/>
                <w:highlight w:val="none"/>
                <w:lang w:val="en-US" w:eastAsia="zh-CN"/>
              </w:rPr>
              <w:t>，防渗、防腐材料应覆盖所有可能与废物及其渗滤液、渗漏液等接触的构筑物表面。</w:t>
            </w:r>
            <w:r>
              <w:rPr>
                <w:rFonts w:hint="eastAsia" w:ascii="Times New Roman" w:hAnsi="Times New Roman" w:eastAsia="宋体" w:cs="Times New Roman"/>
                <w:bCs/>
                <w:color w:val="auto"/>
                <w:sz w:val="21"/>
                <w:szCs w:val="21"/>
                <w:highlight w:val="none"/>
                <w:lang w:val="en-US" w:eastAsia="zh-CN"/>
              </w:rPr>
              <w:t>严格按照《危险废物贮存污染控制标准》（GB18597-</w:t>
            </w:r>
            <w:bookmarkStart w:id="18" w:name="_GoBack"/>
            <w:bookmarkEnd w:id="18"/>
            <w:r>
              <w:rPr>
                <w:rFonts w:hint="eastAsia" w:ascii="Times New Roman" w:hAnsi="Times New Roman" w:eastAsia="宋体" w:cs="Times New Roman"/>
                <w:bCs/>
                <w:color w:val="auto"/>
                <w:sz w:val="21"/>
                <w:szCs w:val="21"/>
                <w:highlight w:val="none"/>
                <w:lang w:val="en-US" w:eastAsia="zh-CN"/>
              </w:rPr>
              <w:t>20</w:t>
            </w:r>
            <w:r>
              <w:rPr>
                <w:rFonts w:hint="eastAsia" w:cs="Times New Roman"/>
                <w:bCs/>
                <w:color w:val="auto"/>
                <w:sz w:val="21"/>
                <w:szCs w:val="21"/>
                <w:highlight w:val="none"/>
                <w:lang w:val="en-US" w:eastAsia="zh-CN"/>
              </w:rPr>
              <w:t>23</w:t>
            </w:r>
            <w:r>
              <w:rPr>
                <w:rFonts w:hint="eastAsia" w:ascii="Times New Roman" w:hAnsi="Times New Roman" w:eastAsia="宋体" w:cs="Times New Roman"/>
                <w:bCs/>
                <w:color w:val="auto"/>
                <w:sz w:val="21"/>
                <w:szCs w:val="21"/>
                <w:highlight w:val="none"/>
                <w:lang w:val="en-US" w:eastAsia="zh-CN"/>
              </w:rPr>
              <w:t>）的要求进行防渗、防漏</w:t>
            </w:r>
            <w:r>
              <w:rPr>
                <w:rFonts w:hint="eastAsia" w:cs="Times New Roman"/>
                <w:bCs/>
                <w:color w:val="auto"/>
                <w:sz w:val="21"/>
                <w:szCs w:val="21"/>
                <w:highlight w:val="none"/>
                <w:lang w:val="en-US" w:eastAsia="zh-CN"/>
              </w:rPr>
              <w:t>。</w:t>
            </w:r>
          </w:p>
          <w:p w14:paraId="0941B0B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13</w:t>
            </w:r>
            <w:r>
              <w:rPr>
                <w:rFonts w:hint="eastAsia" w:ascii="Times New Roman" w:hAnsi="Times New Roman" w:eastAsia="宋体" w:cs="Times New Roman"/>
                <w:b/>
                <w:bCs/>
                <w:color w:val="auto"/>
                <w:kern w:val="2"/>
                <w:sz w:val="21"/>
                <w:szCs w:val="21"/>
                <w:highlight w:val="none"/>
                <w:lang w:val="en-US" w:eastAsia="zh-CN" w:bidi="ar-SA"/>
              </w:rPr>
              <w:t xml:space="preserve">  危险废物贮存场所基本情况</w:t>
            </w:r>
          </w:p>
          <w:tbl>
            <w:tblPr>
              <w:tblStyle w:val="35"/>
              <w:tblW w:w="80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237"/>
              <w:gridCol w:w="1309"/>
              <w:gridCol w:w="1005"/>
              <w:gridCol w:w="1544"/>
              <w:gridCol w:w="903"/>
              <w:gridCol w:w="899"/>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tcBorders>
                    <w:tl2br w:val="nil"/>
                    <w:tr2bl w:val="nil"/>
                  </w:tcBorders>
                  <w:noWrap w:val="0"/>
                  <w:vAlign w:val="center"/>
                </w:tcPr>
                <w:p w14:paraId="46299BE5">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危险废物名称</w:t>
                  </w:r>
                </w:p>
              </w:tc>
              <w:tc>
                <w:tcPr>
                  <w:tcW w:w="1237" w:type="dxa"/>
                  <w:tcBorders>
                    <w:tl2br w:val="nil"/>
                    <w:tr2bl w:val="nil"/>
                  </w:tcBorders>
                  <w:noWrap w:val="0"/>
                  <w:vAlign w:val="center"/>
                </w:tcPr>
                <w:p w14:paraId="611BAFD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危险废物类别</w:t>
                  </w:r>
                </w:p>
              </w:tc>
              <w:tc>
                <w:tcPr>
                  <w:tcW w:w="1309" w:type="dxa"/>
                  <w:tcBorders>
                    <w:tl2br w:val="nil"/>
                    <w:tr2bl w:val="nil"/>
                  </w:tcBorders>
                  <w:noWrap w:val="0"/>
                  <w:vAlign w:val="center"/>
                </w:tcPr>
                <w:p w14:paraId="4020758F">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危险废物代码</w:t>
                  </w:r>
                </w:p>
              </w:tc>
              <w:tc>
                <w:tcPr>
                  <w:tcW w:w="1005" w:type="dxa"/>
                  <w:tcBorders>
                    <w:tl2br w:val="nil"/>
                    <w:tr2bl w:val="nil"/>
                  </w:tcBorders>
                  <w:noWrap w:val="0"/>
                  <w:vAlign w:val="center"/>
                </w:tcPr>
                <w:p w14:paraId="5DE1A32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年产生量</w:t>
                  </w:r>
                </w:p>
              </w:tc>
              <w:tc>
                <w:tcPr>
                  <w:tcW w:w="1544" w:type="dxa"/>
                  <w:tcBorders>
                    <w:tl2br w:val="nil"/>
                    <w:tr2bl w:val="nil"/>
                  </w:tcBorders>
                  <w:noWrap w:val="0"/>
                  <w:vAlign w:val="center"/>
                </w:tcPr>
                <w:p w14:paraId="13E5C7E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贮存方式</w:t>
                  </w:r>
                </w:p>
              </w:tc>
              <w:tc>
                <w:tcPr>
                  <w:tcW w:w="903" w:type="dxa"/>
                  <w:tcBorders>
                    <w:tl2br w:val="nil"/>
                    <w:tr2bl w:val="nil"/>
                  </w:tcBorders>
                  <w:noWrap w:val="0"/>
                  <w:vAlign w:val="center"/>
                </w:tcPr>
                <w:p w14:paraId="7CC62A0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贮存能力</w:t>
                  </w:r>
                </w:p>
              </w:tc>
              <w:tc>
                <w:tcPr>
                  <w:tcW w:w="899" w:type="dxa"/>
                  <w:tcBorders>
                    <w:tl2br w:val="nil"/>
                    <w:tr2bl w:val="nil"/>
                  </w:tcBorders>
                  <w:noWrap w:val="0"/>
                  <w:vAlign w:val="center"/>
                </w:tcPr>
                <w:p w14:paraId="2F203AE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tcBorders>
                    <w:tl2br w:val="nil"/>
                    <w:tr2bl w:val="nil"/>
                  </w:tcBorders>
                  <w:noWrap w:val="0"/>
                  <w:vAlign w:val="center"/>
                </w:tcPr>
                <w:p w14:paraId="53241F21">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废机油</w:t>
                  </w:r>
                </w:p>
              </w:tc>
              <w:tc>
                <w:tcPr>
                  <w:tcW w:w="1237" w:type="dxa"/>
                  <w:tcBorders>
                    <w:tl2br w:val="nil"/>
                    <w:tr2bl w:val="nil"/>
                  </w:tcBorders>
                  <w:noWrap w:val="0"/>
                  <w:vAlign w:val="center"/>
                </w:tcPr>
                <w:p w14:paraId="1C69FE0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HW08</w:t>
                  </w:r>
                </w:p>
              </w:tc>
              <w:tc>
                <w:tcPr>
                  <w:tcW w:w="1309" w:type="dxa"/>
                  <w:tcBorders>
                    <w:tl2br w:val="nil"/>
                    <w:tr2bl w:val="nil"/>
                  </w:tcBorders>
                  <w:noWrap w:val="0"/>
                  <w:vAlign w:val="center"/>
                </w:tcPr>
                <w:p w14:paraId="1CE5518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900-21</w:t>
                  </w:r>
                  <w:r>
                    <w:rPr>
                      <w:rFonts w:hint="eastAsia" w:ascii="Times New Roman" w:hAnsi="Times New Roman" w:cs="Times New Roman"/>
                      <w:bCs/>
                      <w:color w:val="auto"/>
                      <w:sz w:val="18"/>
                      <w:szCs w:val="18"/>
                      <w:highlight w:val="none"/>
                      <w:lang w:val="en-US" w:eastAsia="zh-CN"/>
                    </w:rPr>
                    <w:t>4</w:t>
                  </w:r>
                  <w:r>
                    <w:rPr>
                      <w:rFonts w:hint="eastAsia" w:ascii="Times New Roman" w:hAnsi="Times New Roman" w:eastAsia="宋体" w:cs="Times New Roman"/>
                      <w:bCs/>
                      <w:color w:val="auto"/>
                      <w:sz w:val="18"/>
                      <w:szCs w:val="18"/>
                      <w:highlight w:val="none"/>
                      <w:lang w:val="en-US" w:eastAsia="zh-CN"/>
                    </w:rPr>
                    <w:t>-08</w:t>
                  </w:r>
                </w:p>
              </w:tc>
              <w:tc>
                <w:tcPr>
                  <w:tcW w:w="1005" w:type="dxa"/>
                  <w:tcBorders>
                    <w:tl2br w:val="nil"/>
                    <w:tr2bl w:val="nil"/>
                  </w:tcBorders>
                  <w:noWrap w:val="0"/>
                  <w:vAlign w:val="center"/>
                </w:tcPr>
                <w:p w14:paraId="53680E4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w:t>
                  </w:r>
                  <w:r>
                    <w:rPr>
                      <w:rFonts w:hint="eastAsia" w:cs="Times New Roman"/>
                      <w:bCs/>
                      <w:color w:val="auto"/>
                      <w:sz w:val="18"/>
                      <w:szCs w:val="18"/>
                      <w:highlight w:val="none"/>
                      <w:lang w:val="en-US" w:eastAsia="zh-CN"/>
                    </w:rPr>
                    <w:t>02t</w:t>
                  </w:r>
                </w:p>
              </w:tc>
              <w:tc>
                <w:tcPr>
                  <w:tcW w:w="1544" w:type="dxa"/>
                  <w:tcBorders>
                    <w:tl2br w:val="nil"/>
                    <w:tr2bl w:val="nil"/>
                  </w:tcBorders>
                  <w:noWrap w:val="0"/>
                  <w:vAlign w:val="center"/>
                </w:tcPr>
                <w:p w14:paraId="20B23EC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暂存于</w:t>
                  </w:r>
                  <w:r>
                    <w:rPr>
                      <w:rFonts w:hint="eastAsia"/>
                      <w:color w:val="auto"/>
                      <w:sz w:val="18"/>
                      <w:szCs w:val="18"/>
                      <w:highlight w:val="none"/>
                      <w:lang w:val="en-US" w:eastAsia="zh-CN"/>
                    </w:rPr>
                    <w:t>危险废物贮存点</w:t>
                  </w:r>
                </w:p>
              </w:tc>
              <w:tc>
                <w:tcPr>
                  <w:tcW w:w="903" w:type="dxa"/>
                  <w:tcBorders>
                    <w:tl2br w:val="nil"/>
                    <w:tr2bl w:val="nil"/>
                  </w:tcBorders>
                  <w:noWrap w:val="0"/>
                  <w:vAlign w:val="center"/>
                </w:tcPr>
                <w:p w14:paraId="55C0D95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30kg</w:t>
                  </w:r>
                </w:p>
              </w:tc>
              <w:tc>
                <w:tcPr>
                  <w:tcW w:w="899" w:type="dxa"/>
                  <w:tcBorders>
                    <w:tl2br w:val="nil"/>
                    <w:tr2bl w:val="nil"/>
                  </w:tcBorders>
                  <w:noWrap w:val="0"/>
                  <w:vAlign w:val="center"/>
                </w:tcPr>
                <w:p w14:paraId="19A343D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4C143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78" w:type="dxa"/>
                  <w:tcBorders>
                    <w:tl2br w:val="nil"/>
                    <w:tr2bl w:val="nil"/>
                  </w:tcBorders>
                  <w:shd w:val="clear" w:color="auto" w:fill="auto"/>
                  <w:noWrap w:val="0"/>
                  <w:vAlign w:val="center"/>
                </w:tcPr>
                <w:p w14:paraId="31872CB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废弃含油抹布手套</w:t>
                  </w:r>
                </w:p>
              </w:tc>
              <w:tc>
                <w:tcPr>
                  <w:tcW w:w="1237" w:type="dxa"/>
                  <w:tcBorders>
                    <w:tl2br w:val="nil"/>
                    <w:tr2bl w:val="nil"/>
                  </w:tcBorders>
                  <w:shd w:val="clear" w:color="auto" w:fill="auto"/>
                  <w:noWrap w:val="0"/>
                  <w:vAlign w:val="center"/>
                </w:tcPr>
                <w:p w14:paraId="2802334C">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HW08</w:t>
                  </w:r>
                </w:p>
              </w:tc>
              <w:tc>
                <w:tcPr>
                  <w:tcW w:w="1309" w:type="dxa"/>
                  <w:tcBorders>
                    <w:tl2br w:val="nil"/>
                    <w:tr2bl w:val="nil"/>
                  </w:tcBorders>
                  <w:shd w:val="clear" w:color="auto" w:fill="auto"/>
                  <w:noWrap w:val="0"/>
                  <w:vAlign w:val="center"/>
                </w:tcPr>
                <w:p w14:paraId="02A4269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900-041-49</w:t>
                  </w:r>
                </w:p>
              </w:tc>
              <w:tc>
                <w:tcPr>
                  <w:tcW w:w="1005" w:type="dxa"/>
                  <w:tcBorders>
                    <w:tl2br w:val="nil"/>
                    <w:tr2bl w:val="nil"/>
                  </w:tcBorders>
                  <w:shd w:val="clear" w:color="auto" w:fill="auto"/>
                  <w:noWrap w:val="0"/>
                  <w:vAlign w:val="center"/>
                </w:tcPr>
                <w:p w14:paraId="2B5390B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0.01</w:t>
                  </w:r>
                </w:p>
              </w:tc>
              <w:tc>
                <w:tcPr>
                  <w:tcW w:w="1544" w:type="dxa"/>
                  <w:tcBorders>
                    <w:tl2br w:val="nil"/>
                    <w:tr2bl w:val="nil"/>
                  </w:tcBorders>
                  <w:shd w:val="clear" w:color="auto" w:fill="auto"/>
                  <w:noWrap w:val="0"/>
                  <w:vAlign w:val="center"/>
                </w:tcPr>
                <w:p w14:paraId="31D81EC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r>
                    <w:rPr>
                      <w:rFonts w:hint="eastAsia" w:ascii="Times New Roman" w:hAnsi="Times New Roman" w:eastAsia="宋体" w:cs="Times New Roman"/>
                      <w:bCs/>
                      <w:color w:val="auto"/>
                      <w:sz w:val="18"/>
                      <w:szCs w:val="18"/>
                      <w:highlight w:val="none"/>
                      <w:lang w:val="en-US" w:eastAsia="zh-CN"/>
                    </w:rPr>
                    <w:t>内</w:t>
                  </w:r>
                  <w:r>
                    <w:rPr>
                      <w:rFonts w:hint="eastAsia" w:cs="Times New Roman"/>
                      <w:bCs/>
                      <w:color w:val="auto"/>
                      <w:sz w:val="18"/>
                      <w:szCs w:val="18"/>
                      <w:highlight w:val="none"/>
                      <w:lang w:val="en-US" w:eastAsia="zh-CN"/>
                    </w:rPr>
                    <w:t>密闭容器内</w:t>
                  </w:r>
                </w:p>
              </w:tc>
              <w:tc>
                <w:tcPr>
                  <w:tcW w:w="903" w:type="dxa"/>
                  <w:tcBorders>
                    <w:tl2br w:val="nil"/>
                    <w:tr2bl w:val="nil"/>
                  </w:tcBorders>
                  <w:shd w:val="clear" w:color="auto" w:fill="auto"/>
                  <w:noWrap w:val="0"/>
                  <w:vAlign w:val="center"/>
                </w:tcPr>
                <w:p w14:paraId="6A79E232">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20kg</w:t>
                  </w:r>
                </w:p>
              </w:tc>
              <w:tc>
                <w:tcPr>
                  <w:tcW w:w="899" w:type="dxa"/>
                  <w:tcBorders>
                    <w:tl2br w:val="nil"/>
                    <w:tr2bl w:val="nil"/>
                  </w:tcBorders>
                  <w:shd w:val="clear" w:color="auto" w:fill="auto"/>
                  <w:noWrap w:val="0"/>
                  <w:vAlign w:val="center"/>
                </w:tcPr>
                <w:p w14:paraId="0856F84B">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bl>
          <w:p w14:paraId="11601ED1">
            <w:pPr>
              <w:pStyle w:val="49"/>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eastAsia" w:ascii="Times New Roman" w:hAnsi="Times New Roman" w:cs="Times New Roman"/>
                <w:b w:val="0"/>
                <w:bCs/>
                <w:color w:val="auto"/>
                <w:sz w:val="21"/>
                <w:szCs w:val="21"/>
                <w:lang w:val="en-US" w:eastAsia="zh-CN"/>
              </w:rPr>
            </w:pPr>
            <w:r>
              <w:rPr>
                <w:rFonts w:hint="eastAsia" w:cs="Times New Roman"/>
                <w:color w:val="auto"/>
                <w:kern w:val="2"/>
                <w:sz w:val="21"/>
                <w:szCs w:val="21"/>
                <w:lang w:val="en-US" w:eastAsia="zh-CN" w:bidi="ar-SA"/>
              </w:rPr>
              <w:t>②危废</w:t>
            </w:r>
            <w:r>
              <w:rPr>
                <w:rFonts w:hint="eastAsia" w:ascii="Times New Roman" w:hAnsi="Times New Roman" w:cs="Times New Roman"/>
                <w:b w:val="0"/>
                <w:bCs/>
                <w:color w:val="auto"/>
                <w:sz w:val="21"/>
                <w:szCs w:val="21"/>
                <w:lang w:val="en-US" w:eastAsia="zh-CN"/>
              </w:rPr>
              <w:t>贮存点贮存可行性分析</w:t>
            </w:r>
          </w:p>
          <w:p w14:paraId="3F9C9F83">
            <w:pPr>
              <w:pStyle w:val="49"/>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color w:val="auto"/>
                <w:szCs w:val="20"/>
                <w:lang w:val="en-US"/>
              </w:rPr>
            </w:pPr>
            <w:r>
              <w:rPr>
                <w:rFonts w:hint="eastAsia" w:ascii="Times New Roman" w:hAnsi="Times New Roman" w:cs="Times New Roman"/>
                <w:b w:val="0"/>
                <w:bCs/>
                <w:color w:val="auto"/>
                <w:sz w:val="21"/>
                <w:szCs w:val="21"/>
                <w:lang w:val="en-US" w:eastAsia="zh-CN"/>
              </w:rPr>
              <w:t>本项目危险废物产生量约为0.02t/a，新建危险废物贮存点位于库房3，面积4m</w:t>
            </w:r>
            <w:r>
              <w:rPr>
                <w:rFonts w:hint="eastAsia" w:ascii="Times New Roman" w:hAnsi="Times New Roman" w:cs="Times New Roman"/>
                <w:b w:val="0"/>
                <w:bCs/>
                <w:color w:val="auto"/>
                <w:sz w:val="21"/>
                <w:szCs w:val="21"/>
                <w:vertAlign w:val="superscript"/>
                <w:lang w:val="en-US" w:eastAsia="zh-CN"/>
              </w:rPr>
              <w:t>2</w:t>
            </w:r>
            <w:r>
              <w:rPr>
                <w:rFonts w:hint="eastAsia" w:ascii="Times New Roman" w:hAnsi="Times New Roman" w:cs="Times New Roman"/>
                <w:b w:val="0"/>
                <w:bCs/>
                <w:color w:val="auto"/>
                <w:sz w:val="21"/>
                <w:szCs w:val="21"/>
                <w:lang w:val="en-US" w:eastAsia="zh-CN"/>
              </w:rPr>
              <w:t>，危险废物贮存点地面及裙脚采用2mm厚的高密度聚乙烯+防渗混凝土进行防渗处理，渗透系数≤10</w:t>
            </w:r>
            <w:r>
              <w:rPr>
                <w:rFonts w:hint="eastAsia" w:ascii="Times New Roman" w:hAnsi="Times New Roman" w:cs="Times New Roman"/>
                <w:b w:val="0"/>
                <w:bCs/>
                <w:color w:val="auto"/>
                <w:sz w:val="21"/>
                <w:szCs w:val="21"/>
                <w:vertAlign w:val="superscript"/>
                <w:lang w:val="en-US" w:eastAsia="zh-CN"/>
              </w:rPr>
              <w:t>-10</w:t>
            </w:r>
            <w:r>
              <w:rPr>
                <w:rFonts w:hint="eastAsia" w:ascii="Times New Roman" w:hAnsi="Times New Roman" w:cs="Times New Roman"/>
                <w:b w:val="0"/>
                <w:bCs/>
                <w:color w:val="auto"/>
                <w:sz w:val="21"/>
                <w:szCs w:val="21"/>
                <w:lang w:val="en-US" w:eastAsia="zh-CN"/>
              </w:rPr>
              <w:t>cm/s，满足《危险废物贮存污染控制标准》（GB18597-2023）。废机油在储存过程中，采用专用的容器存储，容器外侧粘贴符合标准要求的醒目标签。建设单位对危废贮存场的设计、建设和管理严格按照《危险废物贮存污染控制标准》（GB18597-2023）、《环境保护图形标志、固体废物贮存（处置）场》（GB15562.2）和《危险废物收集、贮存、运输技术规范》（HJ2025-2012）的规定进行。因此，危险废物贮存点能够满足本项目要求。</w:t>
            </w:r>
          </w:p>
          <w:p w14:paraId="162E88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21"/>
                <w:sz w:val="21"/>
                <w:szCs w:val="21"/>
                <w:highlight w:val="none"/>
                <w:lang w:eastAsia="zh-CN"/>
              </w:rPr>
            </w:pPr>
          </w:p>
          <w:p w14:paraId="4B000B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2）环境管理</w:t>
            </w:r>
            <w:r>
              <w:rPr>
                <w:rFonts w:hint="default" w:ascii="Times New Roman" w:hAnsi="Times New Roman" w:cs="Times New Roman"/>
                <w:bCs/>
                <w:color w:val="auto"/>
                <w:sz w:val="21"/>
                <w:szCs w:val="21"/>
                <w:highlight w:val="none"/>
              </w:rPr>
              <w:t>要求</w:t>
            </w:r>
          </w:p>
          <w:p w14:paraId="07E0C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一般固体废物环境管理要求</w:t>
            </w:r>
          </w:p>
          <w:p w14:paraId="5D208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w:t>
            </w:r>
            <w:r>
              <w:rPr>
                <w:rFonts w:hint="eastAsia"/>
                <w:color w:val="auto"/>
                <w:sz w:val="21"/>
                <w:szCs w:val="21"/>
                <w:highlight w:val="none"/>
                <w:lang w:val="en-US" w:eastAsia="zh-CN"/>
              </w:rPr>
              <w:t>生活垃圾由市政环卫部门统一清运；</w:t>
            </w:r>
            <w:r>
              <w:rPr>
                <w:rFonts w:hint="eastAsia"/>
                <w:color w:val="auto"/>
                <w:highlight w:val="none"/>
                <w:lang w:val="en-US" w:eastAsia="zh-CN"/>
              </w:rPr>
              <w:t>热风炉灰</w:t>
            </w:r>
            <w:r>
              <w:rPr>
                <w:rFonts w:hint="eastAsia"/>
                <w:color w:val="auto"/>
                <w:highlight w:val="none"/>
              </w:rPr>
              <w:t>渣</w:t>
            </w:r>
            <w:r>
              <w:rPr>
                <w:rFonts w:hint="eastAsia"/>
                <w:color w:val="auto"/>
                <w:highlight w:val="none"/>
                <w:lang w:eastAsia="zh-CN"/>
              </w:rPr>
              <w:t>、</w:t>
            </w:r>
            <w:r>
              <w:rPr>
                <w:rFonts w:hint="eastAsia"/>
                <w:color w:val="auto"/>
                <w:highlight w:val="none"/>
                <w:lang w:val="en-US" w:eastAsia="zh-CN"/>
              </w:rPr>
              <w:t>除尘器收尘灰</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集中收集</w:t>
            </w:r>
            <w:r>
              <w:rPr>
                <w:rFonts w:hint="eastAsia" w:cs="Times New Roman"/>
                <w:color w:val="auto"/>
                <w:sz w:val="21"/>
                <w:szCs w:val="21"/>
                <w:highlight w:val="none"/>
                <w:lang w:val="en-US" w:eastAsia="zh-CN"/>
              </w:rPr>
              <w:t>存储于灰渣间，每10天清运1次，不在厂区长期储存，外售综合利用</w:t>
            </w:r>
            <w:r>
              <w:rPr>
                <w:rFonts w:hint="eastAsia" w:cs="Times New Roman"/>
                <w:color w:val="auto"/>
                <w:kern w:val="21"/>
                <w:sz w:val="21"/>
                <w:szCs w:val="21"/>
                <w:highlight w:val="none"/>
                <w:lang w:val="en-US" w:eastAsia="zh-CN"/>
              </w:rPr>
              <w:t>；</w:t>
            </w:r>
            <w:r>
              <w:rPr>
                <w:rFonts w:hint="eastAsia" w:ascii="宋体" w:hAnsi="宋体" w:cs="宋体"/>
                <w:color w:val="auto"/>
                <w:sz w:val="21"/>
                <w:szCs w:val="21"/>
                <w:lang w:val="en-US" w:eastAsia="zh-CN"/>
              </w:rPr>
              <w:t>废布袋，</w:t>
            </w:r>
            <w:r>
              <w:rPr>
                <w:rFonts w:hint="eastAsia" w:ascii="宋体" w:hAnsi="宋体" w:cs="宋体"/>
                <w:color w:val="auto"/>
                <w:sz w:val="21"/>
                <w:szCs w:val="21"/>
              </w:rPr>
              <w:t>由除尘器厂家更换后直接带走</w:t>
            </w:r>
            <w:r>
              <w:rPr>
                <w:rFonts w:hint="eastAsia" w:ascii="宋体" w:hAnsi="宋体" w:cs="宋体"/>
                <w:color w:val="auto"/>
                <w:sz w:val="21"/>
                <w:szCs w:val="21"/>
                <w:lang w:eastAsia="zh-CN"/>
              </w:rPr>
              <w:t>；</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default" w:ascii="Times New Roman" w:hAnsi="Times New Roman" w:cs="Times New Roman"/>
                <w:color w:val="auto"/>
                <w:sz w:val="21"/>
                <w:szCs w:val="21"/>
                <w:highlight w:val="none"/>
              </w:rPr>
              <w:t>粉尘</w:t>
            </w:r>
            <w:r>
              <w:rPr>
                <w:rFonts w:hint="eastAsia" w:cs="Times New Roman"/>
                <w:color w:val="auto"/>
                <w:kern w:val="21"/>
                <w:sz w:val="21"/>
                <w:szCs w:val="21"/>
                <w:highlight w:val="none"/>
                <w:lang w:val="en-US" w:eastAsia="zh-CN"/>
              </w:rPr>
              <w:t>，</w:t>
            </w:r>
            <w:r>
              <w:rPr>
                <w:rFonts w:hint="eastAsia"/>
                <w:color w:val="auto"/>
                <w:sz w:val="21"/>
                <w:szCs w:val="21"/>
                <w:highlight w:val="none"/>
                <w:lang w:val="en-US" w:eastAsia="zh-CN"/>
              </w:rPr>
              <w:t>由市政环卫部门统一清运</w:t>
            </w:r>
            <w:r>
              <w:rPr>
                <w:rFonts w:hint="default" w:ascii="Times New Roman" w:hAnsi="Times New Roman" w:eastAsia="宋体" w:cs="Times New Roman"/>
                <w:color w:val="auto"/>
                <w:sz w:val="21"/>
                <w:szCs w:val="21"/>
                <w:highlight w:val="none"/>
              </w:rPr>
              <w:t>。</w:t>
            </w:r>
          </w:p>
          <w:p w14:paraId="22598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2A128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2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②</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禁止向生活垃圾收集设施中投放工业固体废物。</w:t>
            </w:r>
          </w:p>
          <w:p w14:paraId="0A632A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3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③</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2E8036F5">
            <w:pPr>
              <w:pStyle w:val="2"/>
              <w:keepNext w:val="0"/>
              <w:keepLines w:val="0"/>
              <w:suppressLineNumbers w:val="0"/>
              <w:tabs>
                <w:tab w:val="left" w:pos="395"/>
              </w:tabs>
              <w:spacing w:beforeAutospacing="0" w:afterAutospacing="0"/>
              <w:ind w:left="0" w:firstLine="42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危险废物环境管理要求</w:t>
            </w:r>
          </w:p>
          <w:p w14:paraId="023C6E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w:t>
            </w:r>
            <w:r>
              <w:rPr>
                <w:rFonts w:hint="eastAsia" w:cs="Times New Roman"/>
                <w:bCs/>
                <w:color w:val="auto"/>
                <w:sz w:val="21"/>
                <w:szCs w:val="21"/>
                <w:highlight w:val="none"/>
                <w:lang w:eastAsia="zh-CN"/>
              </w:rPr>
              <w:t>危险废物贮存点</w:t>
            </w:r>
            <w:r>
              <w:rPr>
                <w:rFonts w:hint="default" w:ascii="Times New Roman" w:hAnsi="Times New Roman" w:cs="Times New Roman"/>
                <w:bCs/>
                <w:color w:val="auto"/>
                <w:sz w:val="21"/>
                <w:szCs w:val="21"/>
                <w:highlight w:val="none"/>
              </w:rPr>
              <w:t>的设置应按《危险废物贮存污染控制标准》（GB18597-20</w:t>
            </w:r>
            <w:r>
              <w:rPr>
                <w:rFonts w:hint="default" w:ascii="Times New Roman" w:hAnsi="Times New Roman" w:cs="Times New Roman"/>
                <w:bCs/>
                <w:color w:val="auto"/>
                <w:sz w:val="21"/>
                <w:szCs w:val="21"/>
                <w:highlight w:val="none"/>
                <w:lang w:val="en-US" w:eastAsia="zh-CN"/>
              </w:rPr>
              <w:t>23</w:t>
            </w:r>
            <w:r>
              <w:rPr>
                <w:rFonts w:hint="default" w:ascii="Times New Roman" w:hAnsi="Times New Roman" w:cs="Times New Roman"/>
                <w:bCs/>
                <w:color w:val="auto"/>
                <w:sz w:val="21"/>
                <w:szCs w:val="21"/>
                <w:highlight w:val="none"/>
              </w:rPr>
              <w:t>）相关要求进行设置，并做到以下几点：</w:t>
            </w:r>
          </w:p>
          <w:p w14:paraId="76AE7F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①贮存设施运行环境管理要求</w:t>
            </w:r>
          </w:p>
          <w:p w14:paraId="230D98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lang w:val="en-US" w:eastAsia="zh-CN" w:bidi="ar-SA"/>
              </w:rPr>
              <w:t>危险废物存入贮存设施前应对危险废物类别和特性与危险废物标签等危险废物识别标志的一致性进行核验，不一致的或类别、特性不明的不应存入。</w:t>
            </w:r>
          </w:p>
          <w:p w14:paraId="357770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lang w:val="en-US" w:eastAsia="zh-CN" w:bidi="ar-SA"/>
              </w:rPr>
              <w:t xml:space="preserve">应定期检查危险废物的贮存状况，及时清理贮存设施地面，更换破损泄漏的危险废物贮存容器和包装物，保证堆存危险废物的防雨、防风、防扬尘等设施功能完好。                              </w:t>
            </w:r>
          </w:p>
          <w:p w14:paraId="31AD6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lang w:val="en-US" w:eastAsia="zh-CN" w:bidi="ar-SA"/>
              </w:rPr>
              <w:t>作业设备及车辆等结束作业离开贮存设施时，应对其残留的危险废物进行清理，清理的废物或清洗废水应收集处理。</w:t>
            </w:r>
          </w:p>
          <w:p w14:paraId="63E5E22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lang w:val="en-US" w:eastAsia="zh-CN" w:bidi="ar-SA"/>
              </w:rPr>
              <w:t>贮存设施运行期间，应按国家有关标准和规定建立危险废物管理台账并保存。</w:t>
            </w:r>
          </w:p>
          <w:p w14:paraId="4E6BE3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lang w:val="en-US" w:eastAsia="zh-CN" w:bidi="ar-SA"/>
              </w:rPr>
              <w:t>贮存设施所有者或运营者应建立贮存设施环境管理制度、管理人员岗位职责制度、设施运行操作制度、人员岗位培训制度等。</w:t>
            </w:r>
          </w:p>
          <w:p w14:paraId="709FB4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F</w:t>
            </w:r>
            <w:r>
              <w:rPr>
                <w:rFonts w:hint="eastAsia" w:ascii="宋体" w:hAnsi="宋体" w:eastAsia="宋体" w:cs="宋体"/>
                <w:color w:val="auto"/>
                <w:kern w:val="2"/>
                <w:sz w:val="21"/>
                <w:szCs w:val="21"/>
                <w:lang w:val="en-US" w:eastAsia="zh-CN" w:bidi="ar-SA"/>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111EE2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G</w:t>
            </w:r>
            <w:r>
              <w:rPr>
                <w:rFonts w:hint="eastAsia" w:ascii="宋体" w:hAnsi="宋体" w:eastAsia="宋体" w:cs="宋体"/>
                <w:color w:val="auto"/>
                <w:kern w:val="2"/>
                <w:sz w:val="21"/>
                <w:szCs w:val="21"/>
                <w:lang w:val="en-US" w:eastAsia="zh-CN" w:bidi="ar-SA"/>
              </w:rPr>
              <w:t>贮存设施所有者或运营者应建立贮存设施全部档案，包括设计、施工、验收、运行、监测和环境应急等，应按国家有关档案管理的法律法规进行整理和归档。</w:t>
            </w:r>
          </w:p>
          <w:p w14:paraId="3DC9A7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②贮存点环境管理要求</w:t>
            </w:r>
          </w:p>
          <w:p w14:paraId="7D73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A</w:t>
            </w:r>
            <w:r>
              <w:rPr>
                <w:rFonts w:hint="eastAsia" w:ascii="宋体" w:hAnsi="宋体" w:eastAsia="宋体" w:cs="宋体"/>
                <w:color w:val="auto"/>
                <w:kern w:val="2"/>
                <w:sz w:val="21"/>
                <w:szCs w:val="21"/>
                <w:lang w:val="en-US" w:eastAsia="zh-CN" w:bidi="ar-SA"/>
              </w:rPr>
              <w:t>贮存点应具有固定的区域边界，并应采取与其他区域进行隔离的措施。</w:t>
            </w:r>
          </w:p>
          <w:p w14:paraId="5F8B2F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B</w:t>
            </w:r>
            <w:r>
              <w:rPr>
                <w:rFonts w:hint="eastAsia" w:ascii="宋体" w:hAnsi="宋体" w:eastAsia="宋体" w:cs="宋体"/>
                <w:color w:val="auto"/>
                <w:kern w:val="2"/>
                <w:sz w:val="21"/>
                <w:szCs w:val="21"/>
                <w:lang w:val="en-US" w:eastAsia="zh-CN" w:bidi="ar-SA"/>
              </w:rPr>
              <w:t>贮存点应采取防风、防雨、防晒和防止危险废物流失、扬散等措施。</w:t>
            </w:r>
          </w:p>
          <w:p w14:paraId="2B92BF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C</w:t>
            </w:r>
            <w:r>
              <w:rPr>
                <w:rFonts w:hint="eastAsia" w:ascii="宋体" w:hAnsi="宋体" w:eastAsia="宋体" w:cs="宋体"/>
                <w:color w:val="auto"/>
                <w:kern w:val="2"/>
                <w:sz w:val="21"/>
                <w:szCs w:val="21"/>
                <w:lang w:val="en-US" w:eastAsia="zh-CN" w:bidi="ar-SA"/>
              </w:rPr>
              <w:t>贮存点应采取防风、防雨、防晒和防止危险废物流失、扬散等措施。</w:t>
            </w:r>
          </w:p>
          <w:p w14:paraId="3237FC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D</w:t>
            </w:r>
            <w:r>
              <w:rPr>
                <w:rFonts w:hint="eastAsia" w:ascii="宋体" w:hAnsi="宋体" w:eastAsia="宋体" w:cs="宋体"/>
                <w:color w:val="auto"/>
                <w:kern w:val="2"/>
                <w:sz w:val="21"/>
                <w:szCs w:val="21"/>
                <w:lang w:val="en-US" w:eastAsia="zh-CN" w:bidi="ar-SA"/>
              </w:rPr>
              <w:t>贮存点应根据危险废物的形态、物理化学性质、包装形式等，采取防渗、防漏等污染防治措施或采用具有相应功能的装置。</w:t>
            </w:r>
          </w:p>
          <w:p w14:paraId="5387BC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kern w:val="2"/>
                <w:sz w:val="21"/>
                <w:szCs w:val="21"/>
                <w:lang w:val="en-US" w:eastAsia="zh-CN" w:bidi="ar-SA"/>
              </w:rPr>
            </w:pPr>
            <w:r>
              <w:rPr>
                <w:rFonts w:hint="eastAsia" w:cs="Times New Roman"/>
                <w:bCs/>
                <w:color w:val="auto"/>
                <w:sz w:val="21"/>
                <w:szCs w:val="21"/>
                <w:highlight w:val="none"/>
                <w:lang w:val="en-US" w:eastAsia="zh-CN"/>
              </w:rPr>
              <w:t>E</w:t>
            </w:r>
            <w:r>
              <w:rPr>
                <w:rFonts w:hint="eastAsia" w:ascii="宋体" w:hAnsi="宋体" w:eastAsia="宋体" w:cs="宋体"/>
                <w:color w:val="auto"/>
                <w:kern w:val="2"/>
                <w:sz w:val="21"/>
                <w:szCs w:val="21"/>
                <w:lang w:val="en-US" w:eastAsia="zh-CN" w:bidi="ar-SA"/>
              </w:rPr>
              <w:t>贮存点应及时清运贮存的危险废物，实时贮存量不应超过3吨。</w:t>
            </w:r>
          </w:p>
          <w:p w14:paraId="3C6A76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③</w:t>
            </w:r>
            <w:r>
              <w:rPr>
                <w:rFonts w:hint="default" w:ascii="Times New Roman" w:hAnsi="Times New Roman" w:cs="Times New Roman"/>
                <w:bCs/>
                <w:color w:val="auto"/>
                <w:sz w:val="21"/>
                <w:szCs w:val="21"/>
                <w:highlight w:val="none"/>
              </w:rPr>
              <w:t>对于委托处理的固体废物，其运输转移过程中需做到以下几点：</w:t>
            </w:r>
          </w:p>
          <w:p w14:paraId="6D8250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A</w:t>
            </w:r>
            <w:r>
              <w:rPr>
                <w:rFonts w:hint="default" w:ascii="Times New Roman" w:hAnsi="Times New Roman" w:cs="Times New Roman"/>
                <w:bCs/>
                <w:color w:val="auto"/>
                <w:sz w:val="21"/>
                <w:szCs w:val="21"/>
                <w:highlight w:val="none"/>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B</w:t>
            </w:r>
            <w:r>
              <w:rPr>
                <w:rFonts w:hint="default" w:ascii="Times New Roman" w:hAnsi="Times New Roman" w:cs="Times New Roman"/>
                <w:bCs/>
                <w:color w:val="auto"/>
                <w:sz w:val="21"/>
                <w:szCs w:val="21"/>
                <w:highlight w:val="none"/>
              </w:rPr>
              <w:t>本项目在危险废物转移的过程中严格执行《危险废物转移管理办法》（生态环境部 公安部 交通运输部 部令 第23号），危险废物的转运必须填写</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五联单</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，且必须</w:t>
            </w:r>
            <w:r>
              <w:rPr>
                <w:rFonts w:hint="default" w:ascii="Times New Roman" w:hAnsi="Times New Roman" w:eastAsia="宋体" w:cs="Times New Roman"/>
                <w:bCs/>
                <w:color w:val="auto"/>
                <w:sz w:val="21"/>
                <w:szCs w:val="21"/>
                <w:highlight w:val="none"/>
              </w:rPr>
              <w:t>符合国家及</w:t>
            </w:r>
            <w:r>
              <w:rPr>
                <w:rFonts w:hint="default" w:ascii="Times New Roman" w:hAnsi="Times New Roman" w:eastAsia="宋体" w:cs="Times New Roman"/>
                <w:bCs/>
                <w:color w:val="auto"/>
                <w:sz w:val="21"/>
                <w:szCs w:val="21"/>
                <w:highlight w:val="none"/>
                <w:lang w:val="en-US" w:eastAsia="zh-CN"/>
              </w:rPr>
              <w:t>黑龙江</w:t>
            </w:r>
            <w:r>
              <w:rPr>
                <w:rFonts w:hint="default" w:ascii="Times New Roman" w:hAnsi="Times New Roman" w:eastAsia="宋体" w:cs="Times New Roman"/>
                <w:bCs/>
                <w:color w:val="auto"/>
                <w:sz w:val="21"/>
                <w:szCs w:val="21"/>
                <w:highlight w:val="none"/>
              </w:rPr>
              <w:t>省对危险废物转运的相关规定；</w:t>
            </w:r>
          </w:p>
          <w:p w14:paraId="48FF6B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auto"/>
                <w:lang w:val="en-US" w:eastAsia="zh-CN"/>
              </w:rPr>
            </w:pPr>
            <w:r>
              <w:rPr>
                <w:rFonts w:hint="eastAsia" w:cs="Times New Roman"/>
                <w:bCs/>
                <w:color w:val="auto"/>
                <w:sz w:val="21"/>
                <w:szCs w:val="21"/>
                <w:highlight w:val="none"/>
                <w:lang w:val="en-US" w:eastAsia="zh-CN"/>
              </w:rPr>
              <w:t>C</w:t>
            </w:r>
            <w:r>
              <w:rPr>
                <w:rFonts w:hint="default" w:ascii="Times New Roman" w:hAnsi="Times New Roman" w:eastAsia="宋体" w:cs="Times New Roman"/>
                <w:bCs/>
                <w:color w:val="auto"/>
                <w:sz w:val="21"/>
                <w:szCs w:val="21"/>
                <w:highlight w:val="none"/>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作出周密的运输计划和行驶路线，其中包括有效的废物</w:t>
            </w:r>
            <w:r>
              <w:rPr>
                <w:rFonts w:hint="eastAsia" w:cs="Times New Roman"/>
                <w:bCs/>
                <w:color w:val="auto"/>
                <w:sz w:val="21"/>
                <w:szCs w:val="21"/>
                <w:highlight w:val="none"/>
                <w:lang w:eastAsia="zh-CN"/>
              </w:rPr>
              <w:t>泄漏</w:t>
            </w:r>
            <w:r>
              <w:rPr>
                <w:rFonts w:hint="default" w:ascii="Times New Roman" w:hAnsi="Times New Roman" w:eastAsia="宋体" w:cs="Times New Roman"/>
                <w:bCs/>
                <w:color w:val="auto"/>
                <w:sz w:val="21"/>
                <w:szCs w:val="21"/>
                <w:highlight w:val="none"/>
              </w:rPr>
              <w:t>情况下的应急措施</w:t>
            </w:r>
            <w:r>
              <w:rPr>
                <w:rFonts w:hint="eastAsia" w:ascii="Times New Roman" w:hAnsi="Times New Roman" w:cs="Times New Roman"/>
                <w:bCs/>
                <w:color w:val="auto"/>
                <w:sz w:val="21"/>
                <w:szCs w:val="21"/>
                <w:highlight w:val="none"/>
                <w:lang w:eastAsia="zh-CN"/>
              </w:rPr>
              <w:t>。</w:t>
            </w:r>
          </w:p>
          <w:p w14:paraId="02C3EE37">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（3）环境影响分析</w:t>
            </w:r>
          </w:p>
          <w:p w14:paraId="4B6A570E">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危险废物满</w:t>
            </w:r>
            <w:r>
              <w:rPr>
                <w:rFonts w:hint="eastAsia" w:ascii="Times New Roman" w:hAnsi="Times New Roman" w:cs="Times New Roman"/>
                <w:color w:val="auto"/>
                <w:sz w:val="21"/>
                <w:szCs w:val="21"/>
                <w:highlight w:val="none"/>
                <w:lang w:eastAsia="zh-CN"/>
              </w:rPr>
              <w:t>足</w:t>
            </w:r>
            <w:r>
              <w:rPr>
                <w:rFonts w:hint="default" w:ascii="Times New Roman" w:hAnsi="Times New Roman" w:cs="Times New Roman"/>
                <w:color w:val="auto"/>
                <w:sz w:val="21"/>
                <w:szCs w:val="21"/>
                <w:highlight w:val="none"/>
                <w:lang w:eastAsia="zh-CN"/>
              </w:rPr>
              <w:t>《危险废物贮存污染控制标准</w:t>
            </w:r>
            <w:r>
              <w:rPr>
                <w:rFonts w:hint="eastAsia" w:ascii="Times New Roman" w:hAnsi="Times New Roman" w:cs="Times New Roman"/>
                <w:color w:val="auto"/>
                <w:sz w:val="21"/>
                <w:szCs w:val="21"/>
                <w:highlight w:val="none"/>
                <w:lang w:eastAsia="zh-CN"/>
              </w:rPr>
              <w:t>》、《国家危险废物名录（2021 年版）》，</w:t>
            </w:r>
            <w:r>
              <w:rPr>
                <w:rFonts w:hint="default" w:ascii="Times New Roman" w:hAnsi="Times New Roman" w:cs="Times New Roman"/>
                <w:color w:val="auto"/>
                <w:sz w:val="21"/>
                <w:szCs w:val="21"/>
                <w:highlight w:val="none"/>
              </w:rPr>
              <w:t>本项目产生的固体废物</w:t>
            </w:r>
            <w:r>
              <w:rPr>
                <w:rFonts w:hint="eastAsia" w:cs="Times New Roman"/>
                <w:color w:val="auto"/>
                <w:sz w:val="21"/>
                <w:szCs w:val="21"/>
                <w:highlight w:val="none"/>
                <w:lang w:eastAsia="zh-CN"/>
              </w:rPr>
              <w:t>、危险废物</w:t>
            </w:r>
            <w:r>
              <w:rPr>
                <w:rFonts w:hint="default" w:ascii="Times New Roman" w:hAnsi="Times New Roman" w:cs="Times New Roman"/>
                <w:color w:val="auto"/>
                <w:sz w:val="21"/>
                <w:szCs w:val="21"/>
                <w:highlight w:val="none"/>
              </w:rPr>
              <w:t>经过妥善处理后，处置率达到100%不会影响周边环境。</w:t>
            </w:r>
          </w:p>
          <w:p w14:paraId="05B7298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eastAsia="宋体" w:cs="Times New Roman"/>
                <w:b/>
                <w:color w:val="auto"/>
                <w:kern w:val="2"/>
                <w:sz w:val="21"/>
                <w:szCs w:val="21"/>
                <w:lang w:val="en-US" w:eastAsia="zh-CN" w:bidi="ar-SA"/>
              </w:rPr>
              <w:t>5、</w:t>
            </w:r>
            <w:r>
              <w:rPr>
                <w:rFonts w:hint="default" w:ascii="Times New Roman" w:hAnsi="Times New Roman" w:cs="Times New Roman"/>
                <w:b/>
                <w:color w:val="auto"/>
                <w:szCs w:val="21"/>
                <w:highlight w:val="none"/>
              </w:rPr>
              <w:t>土壤和地下水</w:t>
            </w:r>
          </w:p>
          <w:p w14:paraId="7BF561A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420" w:leftChars="200" w:right="0" w:rightChars="0"/>
              <w:textAlignment w:val="auto"/>
              <w:rPr>
                <w:rFonts w:hint="default"/>
                <w:snapToGrid w:val="0"/>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本项目不存在土壤、地下水环境污染途径，运营期无地下水、土壤跟踪监测要求。</w:t>
            </w:r>
          </w:p>
          <w:p w14:paraId="7C6F82B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eastAsia="宋体" w:cs="Times New Roman"/>
                <w:b/>
                <w:color w:val="auto"/>
                <w:kern w:val="2"/>
                <w:sz w:val="21"/>
                <w:szCs w:val="21"/>
                <w:lang w:val="en-US" w:eastAsia="zh-CN" w:bidi="ar-SA"/>
              </w:rPr>
              <w:t>6、</w:t>
            </w:r>
            <w:r>
              <w:rPr>
                <w:rFonts w:hint="default" w:ascii="Times New Roman" w:hAnsi="Times New Roman" w:cs="Times New Roman"/>
                <w:b/>
                <w:color w:val="auto"/>
                <w:szCs w:val="21"/>
                <w:highlight w:val="none"/>
              </w:rPr>
              <w:t>环境风险</w:t>
            </w:r>
          </w:p>
          <w:p w14:paraId="2047E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（1）</w:t>
            </w:r>
            <w:r>
              <w:rPr>
                <w:rFonts w:hint="eastAsia" w:ascii="Times New Roman" w:hAnsi="Times New Roman" w:eastAsia="宋体" w:cs="Times New Roman"/>
                <w:color w:val="auto"/>
                <w:sz w:val="21"/>
                <w:szCs w:val="21"/>
                <w:highlight w:val="none"/>
                <w:lang w:val="en-US" w:eastAsia="zh-CN"/>
              </w:rPr>
              <w:t>环境风险识别</w:t>
            </w:r>
          </w:p>
          <w:p w14:paraId="60CC6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依据《建设项目环境风险评价技术导则》（HJ169-2018）中的危险物质或危险化学品，对项目的环境风险物质进行判断，本项目风险物质主要</w:t>
            </w:r>
            <w:r>
              <w:rPr>
                <w:rFonts w:hint="eastAsia" w:ascii="Times New Roman" w:hAnsi="Times New Roman" w:eastAsia="宋体" w:cs="Times New Roman"/>
                <w:color w:val="auto"/>
                <w:sz w:val="21"/>
                <w:szCs w:val="21"/>
                <w:highlight w:val="none"/>
                <w:lang w:val="en-US" w:eastAsia="zh-CN"/>
              </w:rPr>
              <w:t>为废机油</w:t>
            </w:r>
            <w:r>
              <w:rPr>
                <w:rFonts w:hint="default" w:ascii="Times New Roman" w:hAnsi="Times New Roman" w:eastAsia="宋体" w:cs="Times New Roman"/>
                <w:color w:val="auto"/>
                <w:sz w:val="21"/>
                <w:szCs w:val="21"/>
                <w:highlight w:val="none"/>
                <w:lang w:val="en-US"/>
              </w:rPr>
              <w:t>。</w:t>
            </w:r>
          </w:p>
          <w:p w14:paraId="0953C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（2）建设项目风险物质存储情况</w:t>
            </w:r>
          </w:p>
          <w:p w14:paraId="4C7AD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1"/>
                <w:szCs w:val="21"/>
                <w:highlight w:val="none"/>
                <w:lang w:val="en-US" w:eastAsia="zh-CN"/>
              </w:rPr>
              <w:t>废机油，</w:t>
            </w:r>
            <w:r>
              <w:rPr>
                <w:rFonts w:hint="eastAsia" w:hAnsi="宋体"/>
                <w:color w:val="auto"/>
                <w:sz w:val="21"/>
                <w:szCs w:val="21"/>
                <w:highlight w:val="none"/>
                <w:lang w:val="en-US" w:eastAsia="zh-CN"/>
              </w:rPr>
              <w:t>产生的废机油暂存在内的危险废物贮存点，</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内最大储存量</w:t>
            </w:r>
            <w:r>
              <w:rPr>
                <w:rFonts w:hint="eastAsia" w:ascii="Times New Roman" w:hAnsi="Times New Roman" w:cs="Times New Roman"/>
                <w:color w:val="auto"/>
                <w:sz w:val="21"/>
                <w:szCs w:val="21"/>
                <w:highlight w:val="none"/>
                <w:lang w:val="en-US" w:eastAsia="zh-CN"/>
              </w:rPr>
              <w:t>30</w:t>
            </w:r>
            <w:r>
              <w:rPr>
                <w:rFonts w:hint="eastAsia" w:ascii="Times New Roman" w:hAnsi="Times New Roman" w:eastAsia="宋体" w:cs="Times New Roman"/>
                <w:color w:val="auto"/>
                <w:sz w:val="21"/>
                <w:szCs w:val="21"/>
                <w:highlight w:val="none"/>
                <w:lang w:val="en-US" w:eastAsia="zh-CN"/>
              </w:rPr>
              <w:t>kg</w:t>
            </w:r>
            <w:r>
              <w:rPr>
                <w:rFonts w:hint="eastAsia" w:hAnsi="宋体"/>
                <w:color w:val="auto"/>
                <w:sz w:val="21"/>
                <w:szCs w:val="21"/>
                <w:highlight w:val="none"/>
                <w:lang w:val="en-US" w:eastAsia="zh-CN"/>
              </w:rPr>
              <w:t>。</w:t>
            </w:r>
          </w:p>
          <w:p w14:paraId="472B0ED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w:t>
            </w:r>
            <w:r>
              <w:rPr>
                <w:rFonts w:hint="eastAsia" w:ascii="Times New Roman" w:hAnsi="Times New Roman" w:cs="Times New Roman"/>
                <w:b/>
                <w:bCs/>
                <w:color w:val="auto"/>
                <w:kern w:val="2"/>
                <w:sz w:val="21"/>
                <w:szCs w:val="21"/>
                <w:highlight w:val="none"/>
                <w:lang w:val="en-US" w:eastAsia="zh-CN" w:bidi="ar-SA"/>
              </w:rPr>
              <w:t>4</w:t>
            </w:r>
            <w:r>
              <w:rPr>
                <w:rFonts w:hint="eastAsia" w:ascii="Times New Roman" w:hAnsi="Times New Roman" w:eastAsia="宋体" w:cs="Times New Roman"/>
                <w:b/>
                <w:bCs/>
                <w:color w:val="auto"/>
                <w:kern w:val="2"/>
                <w:sz w:val="21"/>
                <w:szCs w:val="21"/>
                <w:highlight w:val="none"/>
                <w:lang w:val="en-US" w:eastAsia="zh-CN" w:bidi="ar-SA"/>
              </w:rPr>
              <w:t xml:space="preserve">  环境风险物质统计表</w:t>
            </w:r>
          </w:p>
          <w:tbl>
            <w:tblPr>
              <w:tblStyle w:val="35"/>
              <w:tblW w:w="4997"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2"/>
              <w:gridCol w:w="3164"/>
              <w:gridCol w:w="1019"/>
              <w:gridCol w:w="1449"/>
              <w:gridCol w:w="1175"/>
              <w:gridCol w:w="730"/>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tcBorders>
                    <w:tl2br w:val="nil"/>
                    <w:tr2bl w:val="nil"/>
                  </w:tcBorders>
                  <w:noWrap w:val="0"/>
                  <w:vAlign w:val="center"/>
                </w:tcPr>
                <w:p w14:paraId="077DB47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序号</w:t>
                  </w:r>
                </w:p>
              </w:tc>
              <w:tc>
                <w:tcPr>
                  <w:tcW w:w="1965" w:type="pct"/>
                  <w:tcBorders>
                    <w:tl2br w:val="nil"/>
                    <w:tr2bl w:val="nil"/>
                  </w:tcBorders>
                  <w:noWrap w:val="0"/>
                  <w:vAlign w:val="center"/>
                </w:tcPr>
                <w:p w14:paraId="30F13A3B">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危险物质</w:t>
                  </w:r>
                </w:p>
              </w:tc>
              <w:tc>
                <w:tcPr>
                  <w:tcW w:w="633" w:type="pct"/>
                  <w:tcBorders>
                    <w:tl2br w:val="nil"/>
                    <w:tr2bl w:val="nil"/>
                  </w:tcBorders>
                  <w:noWrap w:val="0"/>
                  <w:vAlign w:val="center"/>
                </w:tcPr>
                <w:p w14:paraId="6A9DDD8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CAS号</w:t>
                  </w:r>
                </w:p>
              </w:tc>
              <w:tc>
                <w:tcPr>
                  <w:tcW w:w="900" w:type="pct"/>
                  <w:tcBorders>
                    <w:tl2br w:val="nil"/>
                    <w:tr2bl w:val="nil"/>
                  </w:tcBorders>
                  <w:noWrap w:val="0"/>
                  <w:vAlign w:val="center"/>
                </w:tcPr>
                <w:p w14:paraId="7D3B9848">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最大储存量（t）</w:t>
                  </w:r>
                </w:p>
              </w:tc>
              <w:tc>
                <w:tcPr>
                  <w:tcW w:w="729" w:type="pct"/>
                  <w:tcBorders>
                    <w:tl2br w:val="nil"/>
                    <w:tr2bl w:val="nil"/>
                  </w:tcBorders>
                  <w:noWrap w:val="0"/>
                  <w:vAlign w:val="center"/>
                </w:tcPr>
                <w:p w14:paraId="03ED51D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临界量（t）</w:t>
                  </w:r>
                </w:p>
              </w:tc>
              <w:tc>
                <w:tcPr>
                  <w:tcW w:w="453" w:type="pct"/>
                  <w:tcBorders>
                    <w:tl2br w:val="nil"/>
                    <w:tr2bl w:val="nil"/>
                  </w:tcBorders>
                  <w:noWrap w:val="0"/>
                  <w:vAlign w:val="center"/>
                </w:tcPr>
                <w:p w14:paraId="51C3036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tcBorders>
                    <w:tl2br w:val="nil"/>
                    <w:tr2bl w:val="nil"/>
                  </w:tcBorders>
                  <w:noWrap w:val="0"/>
                  <w:vAlign w:val="center"/>
                </w:tcPr>
                <w:p w14:paraId="4615E76C">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1</w:t>
                  </w:r>
                </w:p>
              </w:tc>
              <w:tc>
                <w:tcPr>
                  <w:tcW w:w="1965" w:type="pct"/>
                  <w:tcBorders>
                    <w:tl2br w:val="nil"/>
                    <w:tr2bl w:val="nil"/>
                  </w:tcBorders>
                  <w:noWrap w:val="0"/>
                  <w:vAlign w:val="center"/>
                </w:tcPr>
                <w:p w14:paraId="6F2F6E42">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油类物质（矿物油类，如石油、汽油、柴油；生物柴油等）</w:t>
                  </w:r>
                </w:p>
              </w:tc>
              <w:tc>
                <w:tcPr>
                  <w:tcW w:w="633" w:type="pct"/>
                  <w:tcBorders>
                    <w:tl2br w:val="nil"/>
                    <w:tr2bl w:val="nil"/>
                  </w:tcBorders>
                  <w:noWrap w:val="0"/>
                  <w:vAlign w:val="center"/>
                </w:tcPr>
                <w:p w14:paraId="02DD2D35">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w:t>
                  </w:r>
                </w:p>
              </w:tc>
              <w:tc>
                <w:tcPr>
                  <w:tcW w:w="900" w:type="pct"/>
                  <w:tcBorders>
                    <w:tl2br w:val="nil"/>
                    <w:tr2bl w:val="nil"/>
                  </w:tcBorders>
                  <w:noWrap w:val="0"/>
                  <w:vAlign w:val="center"/>
                </w:tcPr>
                <w:p w14:paraId="4D487598">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0.02</w:t>
                  </w:r>
                </w:p>
              </w:tc>
              <w:tc>
                <w:tcPr>
                  <w:tcW w:w="729" w:type="pct"/>
                  <w:tcBorders>
                    <w:tl2br w:val="nil"/>
                    <w:tr2bl w:val="nil"/>
                  </w:tcBorders>
                  <w:noWrap w:val="0"/>
                  <w:vAlign w:val="center"/>
                </w:tcPr>
                <w:p w14:paraId="38F4F2EE">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2500</w:t>
                  </w:r>
                </w:p>
              </w:tc>
              <w:tc>
                <w:tcPr>
                  <w:tcW w:w="453" w:type="pct"/>
                  <w:tcBorders>
                    <w:tl2br w:val="nil"/>
                    <w:tr2bl w:val="nil"/>
                  </w:tcBorders>
                  <w:noWrap w:val="0"/>
                  <w:vAlign w:val="center"/>
                </w:tcPr>
                <w:p w14:paraId="02AEFB6F">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tl2br w:val="nil"/>
                    <w:tr2bl w:val="nil"/>
                  </w:tcBorders>
                  <w:noWrap w:val="0"/>
                  <w:vAlign w:val="center"/>
                </w:tcPr>
                <w:p w14:paraId="0C631909">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合计</w:t>
                  </w:r>
                </w:p>
              </w:tc>
              <w:tc>
                <w:tcPr>
                  <w:tcW w:w="453" w:type="pct"/>
                  <w:tcBorders>
                    <w:tl2br w:val="nil"/>
                    <w:tr2bl w:val="nil"/>
                  </w:tcBorders>
                  <w:noWrap w:val="0"/>
                  <w:vAlign w:val="center"/>
                </w:tcPr>
                <w:p w14:paraId="635A23DC">
                  <w:pPr>
                    <w:keepNext w:val="0"/>
                    <w:keepLines w:val="0"/>
                    <w:suppressLineNumbers w:val="0"/>
                    <w:bidi w:val="0"/>
                    <w:spacing w:before="0" w:beforeAutospacing="0" w:after="0" w:afterAutospacing="0"/>
                    <w:ind w:left="0" w:right="0"/>
                    <w:jc w:val="center"/>
                    <w:rPr>
                      <w:rFonts w:hint="eastAsia"/>
                      <w:color w:val="auto"/>
                      <w:sz w:val="18"/>
                      <w:szCs w:val="18"/>
                      <w:lang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bl>
          <w:p w14:paraId="0C4DFF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（3）环境风险影响分析</w:t>
            </w:r>
          </w:p>
          <w:p w14:paraId="7B5BB9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rPr>
              <w:t>本项目选址不涉及环境敏感区，不存在重大危险源，风险水平值较低。项目运营期存在一定潜在的环境风险事故，主要为</w:t>
            </w:r>
            <w:r>
              <w:rPr>
                <w:rFonts w:hint="eastAsia" w:ascii="Times New Roman" w:hAnsi="Times New Roman" w:eastAsia="宋体" w:cs="Times New Roman"/>
                <w:color w:val="auto"/>
                <w:sz w:val="21"/>
                <w:szCs w:val="21"/>
                <w:highlight w:val="none"/>
                <w:lang w:val="en-US" w:eastAsia="zh-CN"/>
              </w:rPr>
              <w:t>废机油</w:t>
            </w:r>
            <w:r>
              <w:rPr>
                <w:rFonts w:hint="eastAsia" w:cs="Times New Roman"/>
                <w:color w:val="auto"/>
                <w:sz w:val="21"/>
                <w:szCs w:val="21"/>
                <w:highlight w:val="none"/>
                <w:lang w:val="en-US" w:eastAsia="zh-CN"/>
              </w:rPr>
              <w:t>泄漏</w:t>
            </w:r>
            <w:r>
              <w:rPr>
                <w:rFonts w:hint="eastAsia" w:ascii="Times New Roman" w:hAnsi="Times New Roman" w:eastAsia="宋体" w:cs="Times New Roman"/>
                <w:color w:val="auto"/>
                <w:sz w:val="21"/>
                <w:szCs w:val="21"/>
                <w:highlight w:val="none"/>
                <w:lang w:val="en-US" w:eastAsia="zh-CN"/>
              </w:rPr>
              <w:t>对土壤、地下水造成污染</w:t>
            </w:r>
            <w:r>
              <w:rPr>
                <w:rFonts w:hint="eastAsia" w:ascii="Times New Roman" w:hAnsi="Times New Roman" w:eastAsia="宋体" w:cs="Times New Roman"/>
                <w:color w:val="auto"/>
                <w:sz w:val="21"/>
                <w:szCs w:val="21"/>
                <w:highlight w:val="none"/>
                <w:lang w:val="en-US"/>
              </w:rPr>
              <w:t>。</w:t>
            </w:r>
            <w:r>
              <w:rPr>
                <w:rFonts w:hint="eastAsia" w:ascii="Times New Roman" w:hAnsi="Times New Roman" w:eastAsia="宋体" w:cs="Times New Roman"/>
                <w:color w:val="auto"/>
                <w:sz w:val="21"/>
                <w:szCs w:val="21"/>
                <w:highlight w:val="none"/>
                <w:lang w:val="en-US" w:eastAsia="zh-CN"/>
              </w:rPr>
              <w:t>废机油储存</w:t>
            </w:r>
            <w:r>
              <w:rPr>
                <w:rFonts w:hint="eastAsia" w:cs="Times New Roman"/>
                <w:color w:val="auto"/>
                <w:sz w:val="21"/>
                <w:szCs w:val="21"/>
                <w:highlight w:val="none"/>
                <w:lang w:val="en-US" w:eastAsia="zh-CN"/>
              </w:rPr>
              <w:t>在危险废物贮存点</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内地面硬化，</w:t>
            </w:r>
            <w:r>
              <w:rPr>
                <w:rFonts w:hint="default" w:ascii="Times New Roman" w:hAnsi="Times New Roman" w:eastAsia="宋体" w:cs="Times New Roman"/>
                <w:color w:val="auto"/>
                <w:sz w:val="21"/>
                <w:szCs w:val="21"/>
                <w:highlight w:val="none"/>
                <w:lang w:val="en-US"/>
              </w:rPr>
              <w:t>防渗性能不低于</w:t>
            </w:r>
            <w:r>
              <w:rPr>
                <w:rFonts w:hint="eastAsia" w:cs="Times New Roman"/>
                <w:color w:val="auto"/>
                <w:sz w:val="21"/>
                <w:szCs w:val="21"/>
                <w:highlight w:val="none"/>
                <w:lang w:val="en-US" w:eastAsia="zh-CN"/>
              </w:rPr>
              <w:t>2mm厚的防渗人工材料，防渗</w:t>
            </w:r>
            <w:r>
              <w:rPr>
                <w:rFonts w:hint="default" w:ascii="Times New Roman" w:hAnsi="Times New Roman" w:eastAsia="宋体" w:cs="Times New Roman"/>
                <w:color w:val="auto"/>
                <w:sz w:val="21"/>
                <w:szCs w:val="21"/>
                <w:highlight w:val="none"/>
                <w:lang w:val="en-US"/>
              </w:rPr>
              <w:t>系数为10</w:t>
            </w:r>
            <w:r>
              <w:rPr>
                <w:rFonts w:hint="eastAsia"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rPr>
              <w:t>cm/s</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r>
              <w:rPr>
                <w:rFonts w:hint="eastAsia" w:ascii="Times New Roman" w:hAnsi="Times New Roman" w:cs="Times New Roman"/>
                <w:color w:val="auto"/>
                <w:sz w:val="21"/>
                <w:szCs w:val="21"/>
                <w:highlight w:val="none"/>
                <w:lang w:val="en-US" w:eastAsia="zh-CN"/>
              </w:rPr>
              <w:t>，故</w:t>
            </w:r>
            <w:r>
              <w:rPr>
                <w:rFonts w:hint="eastAsia"/>
                <w:bCs/>
                <w:color w:val="auto"/>
                <w:szCs w:val="21"/>
                <w:highlight w:val="none"/>
                <w:lang w:eastAsia="zh-CN"/>
              </w:rPr>
              <w:t>本次评价仅考虑生物质燃料易燃可能产生的火灾事故风险。</w:t>
            </w:r>
            <w:r>
              <w:rPr>
                <w:rFonts w:hint="eastAsia"/>
                <w:bCs/>
                <w:color w:val="auto"/>
                <w:szCs w:val="21"/>
                <w:highlight w:val="none"/>
              </w:rPr>
              <w:t>火灾爆炸风险防范措施</w:t>
            </w:r>
            <w:r>
              <w:rPr>
                <w:rFonts w:hint="eastAsia"/>
                <w:bCs/>
                <w:color w:val="auto"/>
                <w:szCs w:val="21"/>
                <w:highlight w:val="none"/>
                <w:lang w:eastAsia="zh-CN"/>
              </w:rPr>
              <w:t>为</w:t>
            </w:r>
            <w:r>
              <w:rPr>
                <w:rFonts w:hint="eastAsia" w:cs="Times New Roman"/>
                <w:bCs/>
                <w:color w:val="auto"/>
                <w:kern w:val="0"/>
                <w:sz w:val="21"/>
                <w:szCs w:val="21"/>
                <w:highlight w:val="none"/>
                <w:lang w:val="en-US" w:eastAsia="zh-CN"/>
              </w:rPr>
              <w:t>热风炉房、车间</w:t>
            </w:r>
            <w:r>
              <w:rPr>
                <w:rFonts w:hint="eastAsia"/>
                <w:bCs/>
                <w:color w:val="auto"/>
                <w:szCs w:val="21"/>
                <w:highlight w:val="none"/>
                <w:lang w:eastAsia="zh-CN"/>
              </w:rPr>
              <w:t>内</w:t>
            </w:r>
            <w:r>
              <w:rPr>
                <w:rFonts w:hint="eastAsia"/>
                <w:bCs/>
                <w:color w:val="auto"/>
                <w:szCs w:val="21"/>
                <w:highlight w:val="none"/>
              </w:rPr>
              <w:t>设置灭火器。</w:t>
            </w:r>
            <w:r>
              <w:rPr>
                <w:rFonts w:hint="eastAsia"/>
                <w:bCs/>
                <w:color w:val="auto"/>
                <w:szCs w:val="21"/>
                <w:highlight w:val="none"/>
                <w:lang w:eastAsia="zh-CN"/>
              </w:rPr>
              <w:t>每日对</w:t>
            </w:r>
            <w:r>
              <w:rPr>
                <w:rFonts w:hint="eastAsia"/>
                <w:bCs/>
                <w:color w:val="auto"/>
                <w:szCs w:val="21"/>
                <w:highlight w:val="none"/>
              </w:rPr>
              <w:t>燃料贮存间</w:t>
            </w:r>
            <w:r>
              <w:rPr>
                <w:rFonts w:hint="eastAsia"/>
                <w:bCs/>
                <w:color w:val="auto"/>
                <w:szCs w:val="21"/>
                <w:highlight w:val="none"/>
                <w:lang w:eastAsia="zh-CN"/>
              </w:rPr>
              <w:t>进行查看，</w:t>
            </w:r>
            <w:r>
              <w:rPr>
                <w:rFonts w:hint="eastAsia"/>
                <w:bCs/>
                <w:color w:val="auto"/>
                <w:szCs w:val="21"/>
                <w:highlight w:val="none"/>
              </w:rPr>
              <w:t>并做好防尘、防雨、防渗、防腐“四防”措施，避免火灾</w:t>
            </w:r>
            <w:r>
              <w:rPr>
                <w:rFonts w:hint="eastAsia"/>
                <w:bCs/>
                <w:color w:val="auto"/>
                <w:szCs w:val="21"/>
                <w:highlight w:val="none"/>
                <w:lang w:eastAsia="zh-CN"/>
              </w:rPr>
              <w:t>的</w:t>
            </w:r>
            <w:r>
              <w:rPr>
                <w:rFonts w:hint="eastAsia"/>
                <w:bCs/>
                <w:color w:val="auto"/>
                <w:szCs w:val="21"/>
                <w:highlight w:val="none"/>
              </w:rPr>
              <w:t>引发。</w:t>
            </w:r>
          </w:p>
          <w:p w14:paraId="2361731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lang w:val="en-US" w:eastAsia="zh-CN" w:bidi="ar-SA"/>
              </w:rPr>
              <w:t>7、</w:t>
            </w:r>
            <w:r>
              <w:rPr>
                <w:rFonts w:hint="default" w:ascii="Times New Roman" w:hAnsi="Times New Roman" w:cs="Times New Roman"/>
                <w:b/>
                <w:bCs/>
                <w:color w:val="auto"/>
                <w:sz w:val="21"/>
                <w:szCs w:val="21"/>
                <w:highlight w:val="none"/>
                <w:lang w:val="en-US" w:eastAsia="zh-CN"/>
              </w:rPr>
              <w:t>与排污许可证衔接</w:t>
            </w:r>
          </w:p>
          <w:p w14:paraId="6211B57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63441A1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64F6812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0B2D763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556EE3B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71B19F9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6A39FC2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6AC9666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77DCBA2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4117674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633E58D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305B1B1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2E2C2C6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18B5FCD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4CFF71B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58EE1FB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6FE9DC7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069FB93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3EA9AA8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65B51C9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260AA32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18F7038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022F0DB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eastAsia"/>
                <w:b w:val="0"/>
                <w:bCs w:val="0"/>
                <w:color w:val="auto"/>
                <w:sz w:val="21"/>
                <w:szCs w:val="21"/>
                <w:highlight w:val="none"/>
                <w:lang w:val="en-US" w:eastAsia="zh-CN"/>
              </w:rPr>
            </w:pPr>
          </w:p>
          <w:p w14:paraId="5D0FE78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textAlignment w:val="auto"/>
              <w:rPr>
                <w:rFonts w:hint="default"/>
                <w:b w:val="0"/>
                <w:bCs w:val="0"/>
                <w:color w:val="auto"/>
                <w:sz w:val="21"/>
                <w:szCs w:val="21"/>
                <w:highlight w:val="none"/>
                <w:lang w:val="en-US" w:eastAsia="zh-CN"/>
              </w:rPr>
            </w:pPr>
          </w:p>
        </w:tc>
      </w:tr>
    </w:tbl>
    <w:p w14:paraId="1A357E5A">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6B41E353">
      <w:pPr>
        <w:pStyle w:val="29"/>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7" w:name="_Toc21713"/>
      <w:r>
        <w:rPr>
          <w:rFonts w:hint="default" w:ascii="Times New Roman" w:hAnsi="Times New Roman" w:eastAsia="黑体" w:cs="Times New Roman"/>
          <w:snapToGrid w:val="0"/>
          <w:color w:val="auto"/>
          <w:kern w:val="21"/>
          <w:sz w:val="30"/>
          <w:szCs w:val="30"/>
          <w:highlight w:val="none"/>
        </w:rPr>
        <w:t>五、</w:t>
      </w:r>
      <w:bookmarkStart w:id="8"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7"/>
      <w:bookmarkEnd w:id="8"/>
    </w:p>
    <w:tbl>
      <w:tblPr>
        <w:tblStyle w:val="35"/>
        <w:tblW w:w="503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498"/>
        <w:gridCol w:w="1459"/>
        <w:gridCol w:w="1677"/>
        <w:gridCol w:w="1891"/>
        <w:gridCol w:w="2546"/>
      </w:tblGrid>
      <w:tr w14:paraId="1AFD2FA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tcBorders>
              <w:tl2br w:val="single" w:color="auto" w:sz="4" w:space="0"/>
            </w:tcBorders>
            <w:vAlign w:val="center"/>
          </w:tcPr>
          <w:p w14:paraId="022804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内容</w:t>
            </w:r>
          </w:p>
          <w:p w14:paraId="40DF43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p>
          <w:p w14:paraId="06CDFF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要素</w:t>
            </w:r>
          </w:p>
        </w:tc>
        <w:tc>
          <w:tcPr>
            <w:tcW w:w="804" w:type="pct"/>
            <w:vAlign w:val="center"/>
          </w:tcPr>
          <w:p w14:paraId="14A4D1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排放口（编号、名称）/污染源</w:t>
            </w:r>
          </w:p>
        </w:tc>
        <w:tc>
          <w:tcPr>
            <w:tcW w:w="924" w:type="pct"/>
            <w:vAlign w:val="center"/>
          </w:tcPr>
          <w:p w14:paraId="674BCD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污染物项目</w:t>
            </w:r>
          </w:p>
        </w:tc>
        <w:tc>
          <w:tcPr>
            <w:tcW w:w="1042" w:type="pct"/>
            <w:vAlign w:val="center"/>
          </w:tcPr>
          <w:p w14:paraId="1F8E09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环境保护措施</w:t>
            </w:r>
          </w:p>
        </w:tc>
        <w:tc>
          <w:tcPr>
            <w:tcW w:w="1403" w:type="pct"/>
            <w:vAlign w:val="center"/>
          </w:tcPr>
          <w:p w14:paraId="355425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执行标准</w:t>
            </w:r>
          </w:p>
        </w:tc>
      </w:tr>
      <w:tr w14:paraId="50A5018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869" w:hRule="atLeast"/>
          <w:jc w:val="center"/>
        </w:trPr>
        <w:tc>
          <w:tcPr>
            <w:tcW w:w="825" w:type="pct"/>
            <w:vMerge w:val="restart"/>
            <w:vAlign w:val="center"/>
          </w:tcPr>
          <w:p w14:paraId="2C15EF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大气环境</w:t>
            </w:r>
          </w:p>
        </w:tc>
        <w:tc>
          <w:tcPr>
            <w:tcW w:w="804" w:type="pct"/>
            <w:vAlign w:val="center"/>
          </w:tcPr>
          <w:p w14:paraId="12A252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DA001</w:t>
            </w:r>
            <w:r>
              <w:rPr>
                <w:rFonts w:hint="eastAsia" w:ascii="Times New Roman" w:hAnsi="Times New Roman" w:cs="Times New Roman"/>
                <w:color w:val="auto"/>
                <w:sz w:val="18"/>
                <w:szCs w:val="18"/>
                <w:highlight w:val="none"/>
                <w:lang w:eastAsia="zh-CN"/>
              </w:rPr>
              <w:t>）</w:t>
            </w:r>
          </w:p>
        </w:tc>
        <w:tc>
          <w:tcPr>
            <w:tcW w:w="924" w:type="pct"/>
            <w:vMerge w:val="restart"/>
            <w:vAlign w:val="center"/>
          </w:tcPr>
          <w:p w14:paraId="1EA955D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r>
              <w:rPr>
                <w:rFonts w:hint="eastAsia" w:ascii="Times New Roman" w:hAnsi="Times New Roman" w:eastAsia="宋体" w:cs="Times New Roman"/>
                <w:color w:val="auto"/>
                <w:sz w:val="18"/>
                <w:szCs w:val="18"/>
                <w:highlight w:val="none"/>
                <w:lang w:eastAsia="zh-CN"/>
              </w:rPr>
              <w:t>、SO</w:t>
            </w:r>
            <w:r>
              <w:rPr>
                <w:rFonts w:hint="eastAsia" w:ascii="Times New Roman" w:hAnsi="Times New Roman" w:eastAsia="宋体" w:cs="Times New Roman"/>
                <w:color w:val="auto"/>
                <w:sz w:val="18"/>
                <w:szCs w:val="18"/>
                <w:highlight w:val="none"/>
                <w:vertAlign w:val="subscript"/>
                <w:lang w:eastAsia="zh-CN"/>
              </w:rPr>
              <w:t>2</w:t>
            </w:r>
            <w:r>
              <w:rPr>
                <w:rFonts w:hint="eastAsia" w:ascii="Times New Roman" w:hAnsi="Times New Roman" w:eastAsia="宋体" w:cs="Times New Roman"/>
                <w:color w:val="auto"/>
                <w:sz w:val="18"/>
                <w:szCs w:val="18"/>
                <w:highlight w:val="none"/>
                <w:lang w:eastAsia="zh-CN"/>
              </w:rPr>
              <w:t>、</w:t>
            </w:r>
            <w:r>
              <w:rPr>
                <w:rFonts w:hint="eastAsia" w:cs="Times New Roman"/>
                <w:color w:val="auto"/>
                <w:sz w:val="18"/>
                <w:szCs w:val="18"/>
                <w:highlight w:val="none"/>
                <w:lang w:val="en-US" w:eastAsia="zh-CN"/>
              </w:rPr>
              <w:t>氮氧化物、</w:t>
            </w:r>
            <w:r>
              <w:rPr>
                <w:rFonts w:hint="eastAsia" w:ascii="Times New Roman" w:hAnsi="Times New Roman" w:eastAsia="宋体" w:cs="Times New Roman"/>
                <w:color w:val="auto"/>
                <w:sz w:val="18"/>
                <w:szCs w:val="18"/>
                <w:highlight w:val="none"/>
                <w:lang w:eastAsia="zh-CN"/>
              </w:rPr>
              <w:t>烟气黑度</w:t>
            </w:r>
          </w:p>
        </w:tc>
        <w:tc>
          <w:tcPr>
            <w:tcW w:w="1042" w:type="pct"/>
            <w:vAlign w:val="center"/>
          </w:tcPr>
          <w:p w14:paraId="6A20CD0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c>
          <w:tcPr>
            <w:tcW w:w="1403" w:type="pct"/>
            <w:vMerge w:val="restart"/>
            <w:vAlign w:val="center"/>
          </w:tcPr>
          <w:p w14:paraId="5A5CA2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《工业炉窑大气污染物排放标准》（GB9078-1996）表2和表4中标准要求</w:t>
            </w:r>
          </w:p>
        </w:tc>
      </w:tr>
      <w:tr w14:paraId="45E47AF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6B4C9A8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65FA859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sz w:val="18"/>
                <w:szCs w:val="18"/>
                <w:highlight w:val="none"/>
                <w:lang w:eastAsia="zh-CN"/>
              </w:rPr>
              <w:t>装卸粉尘</w:t>
            </w:r>
          </w:p>
        </w:tc>
        <w:tc>
          <w:tcPr>
            <w:tcW w:w="924" w:type="pct"/>
            <w:vMerge w:val="restart"/>
            <w:vAlign w:val="center"/>
          </w:tcPr>
          <w:p w14:paraId="7A5DD72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kern w:val="0"/>
                <w:sz w:val="18"/>
                <w:szCs w:val="18"/>
                <w:highlight w:val="none"/>
                <w:lang w:eastAsia="zh-CN"/>
              </w:rPr>
              <w:t>颗粒物</w:t>
            </w:r>
          </w:p>
        </w:tc>
        <w:tc>
          <w:tcPr>
            <w:tcW w:w="1042" w:type="pct"/>
            <w:vAlign w:val="center"/>
          </w:tcPr>
          <w:p w14:paraId="0B2275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pacing w:val="0"/>
                <w:kern w:val="0"/>
                <w:sz w:val="18"/>
                <w:szCs w:val="18"/>
                <w:highlight w:val="none"/>
                <w:lang w:val="en-US" w:eastAsia="zh-CN" w:bidi="ar"/>
              </w:rPr>
              <w:t>选用密闭性良好的设备，全封闭输送、原粮入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p>
        </w:tc>
        <w:tc>
          <w:tcPr>
            <w:tcW w:w="1403" w:type="pct"/>
            <w:vMerge w:val="restart"/>
            <w:vAlign w:val="center"/>
          </w:tcPr>
          <w:p w14:paraId="1AD91C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eastAsia="zh-CN"/>
              </w:rPr>
              <w:t>《</w:t>
            </w:r>
            <w:r>
              <w:rPr>
                <w:rFonts w:hint="eastAsia"/>
                <w:color w:val="auto"/>
                <w:sz w:val="18"/>
                <w:szCs w:val="18"/>
                <w:highlight w:val="none"/>
              </w:rPr>
              <w:t>大气污染物</w:t>
            </w:r>
            <w:r>
              <w:rPr>
                <w:rFonts w:hint="default"/>
                <w:color w:val="auto"/>
                <w:sz w:val="18"/>
                <w:szCs w:val="18"/>
                <w:highlight w:val="none"/>
              </w:rPr>
              <w:t>综合排放标准》</w:t>
            </w:r>
            <w:r>
              <w:rPr>
                <w:rFonts w:hint="eastAsia"/>
                <w:color w:val="auto"/>
                <w:sz w:val="18"/>
                <w:szCs w:val="18"/>
                <w:highlight w:val="none"/>
                <w:lang w:eastAsia="zh-CN"/>
              </w:rPr>
              <w:t>（</w:t>
            </w:r>
            <w:r>
              <w:rPr>
                <w:rFonts w:hint="default"/>
                <w:color w:val="auto"/>
                <w:sz w:val="18"/>
                <w:szCs w:val="18"/>
                <w:highlight w:val="none"/>
              </w:rPr>
              <w:t>GB</w:t>
            </w:r>
            <w:r>
              <w:rPr>
                <w:rFonts w:hint="eastAsia"/>
                <w:color w:val="auto"/>
                <w:sz w:val="18"/>
                <w:szCs w:val="18"/>
                <w:highlight w:val="none"/>
              </w:rPr>
              <w:t>16297</w:t>
            </w:r>
            <w:r>
              <w:rPr>
                <w:rFonts w:hint="eastAsia"/>
                <w:color w:val="auto"/>
                <w:sz w:val="18"/>
                <w:szCs w:val="18"/>
                <w:highlight w:val="none"/>
                <w:lang w:val="en-US" w:eastAsia="zh-CN"/>
              </w:rPr>
              <w:t>-</w:t>
            </w:r>
            <w:r>
              <w:rPr>
                <w:rFonts w:hint="default"/>
                <w:color w:val="auto"/>
                <w:sz w:val="18"/>
                <w:szCs w:val="18"/>
                <w:highlight w:val="none"/>
              </w:rPr>
              <w:t>1996</w:t>
            </w:r>
            <w:r>
              <w:rPr>
                <w:rFonts w:hint="eastAsia"/>
                <w:color w:val="auto"/>
                <w:sz w:val="18"/>
                <w:szCs w:val="18"/>
                <w:highlight w:val="none"/>
                <w:lang w:eastAsia="zh-CN"/>
              </w:rPr>
              <w:t>）</w:t>
            </w:r>
            <w:r>
              <w:rPr>
                <w:rFonts w:hint="default" w:ascii="Times New Roman" w:hAnsi="Times New Roman" w:cs="Times New Roman"/>
                <w:color w:val="auto"/>
                <w:sz w:val="18"/>
                <w:szCs w:val="18"/>
                <w:highlight w:val="none"/>
              </w:rPr>
              <w:t>中</w:t>
            </w:r>
            <w:r>
              <w:rPr>
                <w:rFonts w:hint="eastAsia" w:ascii="Times New Roman" w:hAnsi="Times New Roman" w:cs="Times New Roman"/>
                <w:color w:val="auto"/>
                <w:sz w:val="18"/>
                <w:szCs w:val="18"/>
                <w:highlight w:val="none"/>
                <w:lang w:eastAsia="zh-CN"/>
              </w:rPr>
              <w:t>无组织</w:t>
            </w:r>
            <w:r>
              <w:rPr>
                <w:rFonts w:hint="default" w:ascii="Times New Roman" w:hAnsi="Times New Roman" w:cs="Times New Roman"/>
                <w:color w:val="auto"/>
                <w:sz w:val="18"/>
                <w:szCs w:val="18"/>
                <w:highlight w:val="none"/>
              </w:rPr>
              <w:t>排放标准</w:t>
            </w:r>
          </w:p>
        </w:tc>
      </w:tr>
      <w:tr w14:paraId="6FDA5C7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489019C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11D9EE5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筛分粉尘</w:t>
            </w:r>
          </w:p>
        </w:tc>
        <w:tc>
          <w:tcPr>
            <w:tcW w:w="924" w:type="pct"/>
            <w:vMerge w:val="continue"/>
            <w:vAlign w:val="center"/>
          </w:tcPr>
          <w:p w14:paraId="182EFB0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Times New Roman" w:hAnsi="Times New Roman" w:cs="Times New Roman"/>
                <w:color w:val="auto"/>
                <w:kern w:val="0"/>
                <w:sz w:val="18"/>
                <w:szCs w:val="18"/>
                <w:highlight w:val="none"/>
                <w:lang w:eastAsia="zh-CN"/>
              </w:rPr>
            </w:pPr>
          </w:p>
        </w:tc>
        <w:tc>
          <w:tcPr>
            <w:tcW w:w="1042" w:type="pct"/>
            <w:vAlign w:val="center"/>
          </w:tcPr>
          <w:p w14:paraId="3CC69C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z w:val="18"/>
                <w:szCs w:val="18"/>
                <w:highlight w:val="none"/>
                <w:lang w:eastAsia="zh-CN"/>
              </w:rPr>
              <w:t>清粮采用全密闭</w:t>
            </w:r>
            <w:r>
              <w:rPr>
                <w:rFonts w:hint="eastAsia" w:ascii="Times New Roman" w:hAnsi="Times New Roman" w:cs="Times New Roman"/>
                <w:color w:val="auto"/>
                <w:sz w:val="18"/>
                <w:szCs w:val="18"/>
                <w:highlight w:val="none"/>
                <w:lang w:val="en-US" w:eastAsia="zh-CN"/>
              </w:rPr>
              <w:t>清选</w:t>
            </w:r>
            <w:r>
              <w:rPr>
                <w:rFonts w:hint="eastAsia" w:ascii="Times New Roman" w:hAnsi="Times New Roman" w:cs="Times New Roman"/>
                <w:color w:val="auto"/>
                <w:sz w:val="18"/>
                <w:szCs w:val="18"/>
                <w:highlight w:val="none"/>
                <w:lang w:eastAsia="zh-CN"/>
              </w:rPr>
              <w:t>筛，产生的粉尘经设备自带</w:t>
            </w:r>
            <w:r>
              <w:rPr>
                <w:rFonts w:hint="eastAsia" w:ascii="Times New Roman" w:hAnsi="Times New Roman" w:cs="Times New Roman"/>
                <w:color w:val="auto"/>
                <w:sz w:val="18"/>
                <w:szCs w:val="18"/>
                <w:highlight w:val="none"/>
                <w:lang w:val="en-US" w:eastAsia="zh-CN"/>
              </w:rPr>
              <w:t>袋式除尘器</w:t>
            </w:r>
            <w:r>
              <w:rPr>
                <w:rFonts w:hint="eastAsia" w:ascii="Times New Roman" w:hAnsi="Times New Roman" w:cs="Times New Roman"/>
                <w:color w:val="auto"/>
                <w:sz w:val="18"/>
                <w:szCs w:val="18"/>
                <w:highlight w:val="none"/>
                <w:lang w:eastAsia="zh-CN"/>
              </w:rPr>
              <w:t>处理后排放</w:t>
            </w:r>
          </w:p>
        </w:tc>
        <w:tc>
          <w:tcPr>
            <w:tcW w:w="1403" w:type="pct"/>
            <w:vMerge w:val="continue"/>
            <w:vAlign w:val="center"/>
          </w:tcPr>
          <w:p w14:paraId="211ED1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olor w:val="auto"/>
                <w:sz w:val="18"/>
                <w:szCs w:val="18"/>
                <w:highlight w:val="none"/>
                <w:lang w:eastAsia="zh-CN"/>
              </w:rPr>
            </w:pPr>
          </w:p>
        </w:tc>
      </w:tr>
      <w:tr w14:paraId="183BF2F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0F4CF8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3D933C2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eastAsia="zh-CN"/>
              </w:rPr>
              <w:t>烘干粉尘</w:t>
            </w:r>
          </w:p>
        </w:tc>
        <w:tc>
          <w:tcPr>
            <w:tcW w:w="924" w:type="pct"/>
            <w:vMerge w:val="continue"/>
            <w:vAlign w:val="center"/>
          </w:tcPr>
          <w:p w14:paraId="380DDEB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p>
        </w:tc>
        <w:tc>
          <w:tcPr>
            <w:tcW w:w="1042" w:type="pct"/>
            <w:vAlign w:val="center"/>
          </w:tcPr>
          <w:p w14:paraId="102C90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烘干塔内部自带重力沉降室，烘干塔底部四周设置防尘挡板，粉尘受挡板</w:t>
            </w:r>
            <w:r>
              <w:rPr>
                <w:rFonts w:hint="eastAsia" w:cs="Times New Roman"/>
                <w:b w:val="0"/>
                <w:bCs w:val="0"/>
                <w:color w:val="auto"/>
                <w:sz w:val="18"/>
                <w:szCs w:val="18"/>
                <w:highlight w:val="none"/>
                <w:lang w:val="en-US" w:eastAsia="zh-CN"/>
              </w:rPr>
              <w:t>隔</w:t>
            </w:r>
            <w:r>
              <w:rPr>
                <w:rFonts w:hint="eastAsia" w:ascii="Times New Roman" w:hAnsi="Times New Roman" w:eastAsia="宋体" w:cs="Times New Roman"/>
                <w:b w:val="0"/>
                <w:bCs w:val="0"/>
                <w:color w:val="auto"/>
                <w:sz w:val="18"/>
                <w:szCs w:val="18"/>
                <w:highlight w:val="none"/>
                <w:lang w:val="en-US" w:eastAsia="zh-CN"/>
              </w:rPr>
              <w:t>挡后受重力作用回落到烘干塔底部收尘设施中</w:t>
            </w:r>
          </w:p>
        </w:tc>
        <w:tc>
          <w:tcPr>
            <w:tcW w:w="1403" w:type="pct"/>
            <w:vMerge w:val="continue"/>
            <w:vAlign w:val="center"/>
          </w:tcPr>
          <w:p w14:paraId="7A0823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4E50E11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5BED59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0FC1BC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成品输送装卸</w:t>
            </w:r>
          </w:p>
        </w:tc>
        <w:tc>
          <w:tcPr>
            <w:tcW w:w="924" w:type="pct"/>
            <w:vMerge w:val="continue"/>
            <w:vAlign w:val="center"/>
          </w:tcPr>
          <w:p w14:paraId="135672E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rPr>
            </w:pPr>
          </w:p>
        </w:tc>
        <w:tc>
          <w:tcPr>
            <w:tcW w:w="1042" w:type="pct"/>
            <w:vAlign w:val="center"/>
          </w:tcPr>
          <w:p w14:paraId="55EFD4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color w:val="auto"/>
                <w:spacing w:val="0"/>
                <w:kern w:val="0"/>
                <w:sz w:val="18"/>
                <w:szCs w:val="18"/>
                <w:lang w:val="en-US" w:eastAsia="zh-CN" w:bidi="ar"/>
              </w:rPr>
              <w:t>用密闭性良好的设备，全封闭输送、</w:t>
            </w:r>
            <w:r>
              <w:rPr>
                <w:rFonts w:hint="eastAsia" w:ascii="Times New Roman" w:hAnsi="Times New Roman" w:eastAsia="宋体" w:cs="Times New Roman"/>
                <w:color w:val="auto"/>
                <w:spacing w:val="0"/>
                <w:kern w:val="0"/>
                <w:sz w:val="18"/>
                <w:szCs w:val="18"/>
                <w:lang w:val="en-US" w:eastAsia="zh-CN" w:bidi="ar"/>
              </w:rPr>
              <w:t>成品入库</w:t>
            </w:r>
            <w:r>
              <w:rPr>
                <w:rFonts w:hint="default" w:ascii="Times New Roman" w:hAnsi="Times New Roman" w:eastAsia="宋体" w:cs="Times New Roman"/>
                <w:color w:val="auto"/>
                <w:spacing w:val="0"/>
                <w:kern w:val="0"/>
                <w:sz w:val="18"/>
                <w:szCs w:val="18"/>
                <w:lang w:val="en-US" w:eastAsia="zh-CN" w:bidi="ar"/>
              </w:rPr>
              <w:t>采取封闭和减小装卸高度</w:t>
            </w:r>
          </w:p>
        </w:tc>
        <w:tc>
          <w:tcPr>
            <w:tcW w:w="1403" w:type="pct"/>
            <w:vMerge w:val="continue"/>
            <w:vAlign w:val="center"/>
          </w:tcPr>
          <w:p w14:paraId="1D8FA8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1BD4F0F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06D94D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00F1A7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厂界</w:t>
            </w:r>
          </w:p>
        </w:tc>
        <w:tc>
          <w:tcPr>
            <w:tcW w:w="924" w:type="pct"/>
            <w:vAlign w:val="center"/>
          </w:tcPr>
          <w:p w14:paraId="58EBCD4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42" w:type="pct"/>
            <w:vAlign w:val="center"/>
          </w:tcPr>
          <w:p w14:paraId="76129E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403" w:type="pct"/>
            <w:vMerge w:val="continue"/>
            <w:vAlign w:val="center"/>
          </w:tcPr>
          <w:p w14:paraId="5D0042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6422F665">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Merge w:val="continue"/>
            <w:vAlign w:val="center"/>
          </w:tcPr>
          <w:p w14:paraId="2E45F61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3B63BC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ascii="宋体" w:hAnsi="宋体" w:eastAsia="宋体" w:cs="宋体"/>
                <w:bCs/>
                <w:color w:val="auto"/>
                <w:kern w:val="0"/>
                <w:sz w:val="18"/>
                <w:szCs w:val="18"/>
                <w:highlight w:val="none"/>
                <w:lang w:val="en-US" w:eastAsia="zh-CN"/>
              </w:rPr>
              <w:t>热风炉房</w:t>
            </w:r>
          </w:p>
        </w:tc>
        <w:tc>
          <w:tcPr>
            <w:tcW w:w="924" w:type="pct"/>
            <w:vAlign w:val="center"/>
          </w:tcPr>
          <w:p w14:paraId="4C58AAC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42" w:type="pct"/>
            <w:vAlign w:val="center"/>
          </w:tcPr>
          <w:p w14:paraId="2D499E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洒水降尘</w:t>
            </w:r>
          </w:p>
        </w:tc>
        <w:tc>
          <w:tcPr>
            <w:tcW w:w="1403" w:type="pct"/>
            <w:vAlign w:val="center"/>
          </w:tcPr>
          <w:p w14:paraId="4CD960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rPr>
              <w:t>《工业炉窑大气污染物排放标准》（GB9078-1996）中的表</w:t>
            </w:r>
            <w:r>
              <w:rPr>
                <w:rFonts w:hint="eastAsia" w:ascii="Times New Roman" w:hAnsi="Times New Roman" w:eastAsia="宋体" w:cs="Times New Roman"/>
                <w:color w:val="auto"/>
                <w:kern w:val="0"/>
                <w:sz w:val="18"/>
                <w:szCs w:val="18"/>
                <w:highlight w:val="none"/>
                <w:lang w:val="en-US" w:eastAsia="zh-CN"/>
              </w:rPr>
              <w:t>3中标准要求</w:t>
            </w:r>
          </w:p>
        </w:tc>
      </w:tr>
      <w:tr w14:paraId="0900AF0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09EB59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地表水环境</w:t>
            </w:r>
          </w:p>
        </w:tc>
        <w:tc>
          <w:tcPr>
            <w:tcW w:w="804" w:type="pct"/>
            <w:vAlign w:val="center"/>
          </w:tcPr>
          <w:p w14:paraId="095F08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生活污水</w:t>
            </w:r>
          </w:p>
        </w:tc>
        <w:tc>
          <w:tcPr>
            <w:tcW w:w="924" w:type="pct"/>
            <w:vAlign w:val="center"/>
          </w:tcPr>
          <w:p w14:paraId="24D62834">
            <w:pPr>
              <w:pStyle w:val="108"/>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COD、</w:t>
            </w:r>
            <w:r>
              <w:rPr>
                <w:rFonts w:hint="default" w:ascii="Times New Roman" w:hAnsi="Times New Roman" w:cs="Times New Roman"/>
                <w:color w:val="auto"/>
                <w:position w:val="2"/>
                <w:sz w:val="18"/>
                <w:szCs w:val="18"/>
                <w:highlight w:val="none"/>
              </w:rPr>
              <w:t>BOD</w:t>
            </w:r>
            <w:r>
              <w:rPr>
                <w:rFonts w:hint="default" w:ascii="Times New Roman" w:hAnsi="Times New Roman" w:cs="Times New Roman"/>
                <w:color w:val="auto"/>
                <w:position w:val="2"/>
                <w:sz w:val="18"/>
                <w:szCs w:val="18"/>
                <w:highlight w:val="none"/>
                <w:vertAlign w:val="subscript"/>
              </w:rPr>
              <w:t>5</w:t>
            </w:r>
            <w:r>
              <w:rPr>
                <w:rFonts w:hint="default" w:ascii="Times New Roman" w:hAnsi="Times New Roman" w:cs="Times New Roman"/>
                <w:color w:val="auto"/>
                <w:position w:val="2"/>
                <w:sz w:val="18"/>
                <w:szCs w:val="18"/>
                <w:highlight w:val="none"/>
              </w:rPr>
              <w:t>、</w:t>
            </w:r>
            <w:r>
              <w:rPr>
                <w:rFonts w:hint="default" w:ascii="Times New Roman" w:hAnsi="Times New Roman" w:cs="Times New Roman"/>
                <w:color w:val="auto"/>
                <w:sz w:val="18"/>
                <w:szCs w:val="18"/>
                <w:highlight w:val="none"/>
              </w:rPr>
              <w:t>SS、氨氮</w:t>
            </w:r>
          </w:p>
        </w:tc>
        <w:tc>
          <w:tcPr>
            <w:tcW w:w="1042" w:type="pct"/>
            <w:vAlign w:val="center"/>
          </w:tcPr>
          <w:p w14:paraId="4AFF8105">
            <w:pPr>
              <w:pStyle w:val="108"/>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排入</w:t>
            </w:r>
            <w:r>
              <w:rPr>
                <w:rFonts w:hint="eastAsia" w:cs="Times New Roman"/>
                <w:color w:val="auto"/>
                <w:kern w:val="0"/>
                <w:sz w:val="18"/>
                <w:szCs w:val="18"/>
                <w:highlight w:val="none"/>
                <w:lang w:val="en-US" w:eastAsia="zh-CN"/>
              </w:rPr>
              <w:t>防渗旱厕</w:t>
            </w:r>
            <w:r>
              <w:rPr>
                <w:rFonts w:hint="eastAsia"/>
                <w:color w:val="auto"/>
                <w:sz w:val="18"/>
                <w:szCs w:val="18"/>
                <w:highlight w:val="none"/>
                <w:lang w:val="en-US" w:eastAsia="zh-CN"/>
              </w:rPr>
              <w:t>，定期清掏，外运堆肥，不外排。</w:t>
            </w:r>
          </w:p>
        </w:tc>
        <w:tc>
          <w:tcPr>
            <w:tcW w:w="1403" w:type="pct"/>
            <w:vAlign w:val="center"/>
          </w:tcPr>
          <w:p w14:paraId="7EAE05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3C6F5B8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5E4769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地下水及土壤环境</w:t>
            </w:r>
          </w:p>
        </w:tc>
        <w:tc>
          <w:tcPr>
            <w:tcW w:w="804" w:type="pct"/>
            <w:vAlign w:val="center"/>
          </w:tcPr>
          <w:p w14:paraId="05102A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924" w:type="pct"/>
            <w:vAlign w:val="center"/>
          </w:tcPr>
          <w:p w14:paraId="7DE838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042" w:type="pct"/>
            <w:vAlign w:val="center"/>
          </w:tcPr>
          <w:p w14:paraId="36928D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403" w:type="pct"/>
            <w:vAlign w:val="center"/>
          </w:tcPr>
          <w:p w14:paraId="4701FC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r>
      <w:tr w14:paraId="3F5962F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444AC92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声环境</w:t>
            </w:r>
          </w:p>
        </w:tc>
        <w:tc>
          <w:tcPr>
            <w:tcW w:w="804" w:type="pct"/>
            <w:vAlign w:val="center"/>
          </w:tcPr>
          <w:p w14:paraId="3E6C03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设备运行</w:t>
            </w:r>
          </w:p>
        </w:tc>
        <w:tc>
          <w:tcPr>
            <w:tcW w:w="924" w:type="pct"/>
            <w:vAlign w:val="center"/>
          </w:tcPr>
          <w:p w14:paraId="35051D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kern w:val="21"/>
                <w:sz w:val="18"/>
                <w:szCs w:val="18"/>
                <w:highlight w:val="none"/>
                <w:lang w:val="en-US" w:eastAsia="zh-CN"/>
              </w:rPr>
              <w:t>噪声</w:t>
            </w:r>
          </w:p>
        </w:tc>
        <w:tc>
          <w:tcPr>
            <w:tcW w:w="1042" w:type="pct"/>
            <w:vAlign w:val="center"/>
          </w:tcPr>
          <w:p w14:paraId="5551B8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rPr>
              <w:t>选取低噪声设备，采取减振、隔声</w:t>
            </w:r>
            <w:r>
              <w:rPr>
                <w:rFonts w:hint="eastAsia" w:cs="Times New Roman"/>
                <w:color w:val="auto"/>
                <w:sz w:val="18"/>
                <w:szCs w:val="18"/>
                <w:highlight w:val="none"/>
                <w:lang w:val="en-US" w:eastAsia="zh-CN"/>
              </w:rPr>
              <w:t>等措施</w:t>
            </w:r>
          </w:p>
        </w:tc>
        <w:tc>
          <w:tcPr>
            <w:tcW w:w="1403" w:type="pct"/>
            <w:vAlign w:val="center"/>
          </w:tcPr>
          <w:p w14:paraId="64633A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cs="Times New Roman"/>
                <w:color w:val="auto"/>
                <w:sz w:val="18"/>
                <w:szCs w:val="18"/>
                <w:highlight w:val="none"/>
              </w:rPr>
              <w:t>《工业企业厂界环境噪声排放标准》(GB12348-2008)表1中</w:t>
            </w:r>
            <w:r>
              <w:rPr>
                <w:rFonts w:hint="default"/>
                <w:color w:val="auto"/>
                <w:sz w:val="18"/>
                <w:szCs w:val="18"/>
                <w:highlight w:val="none"/>
              </w:rPr>
              <w:t>2</w:t>
            </w:r>
            <w:r>
              <w:rPr>
                <w:rFonts w:hint="eastAsia"/>
                <w:color w:val="auto"/>
                <w:sz w:val="18"/>
                <w:szCs w:val="18"/>
                <w:highlight w:val="none"/>
                <w:lang w:val="en-US" w:eastAsia="zh-CN"/>
              </w:rPr>
              <w:t>类标准</w:t>
            </w:r>
          </w:p>
        </w:tc>
      </w:tr>
      <w:tr w14:paraId="13F261E5">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698FE9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电磁辐射</w:t>
            </w:r>
          </w:p>
        </w:tc>
        <w:tc>
          <w:tcPr>
            <w:tcW w:w="804" w:type="pct"/>
            <w:vAlign w:val="center"/>
          </w:tcPr>
          <w:p w14:paraId="75DAAB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924" w:type="pct"/>
            <w:vAlign w:val="center"/>
          </w:tcPr>
          <w:p w14:paraId="629A62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vAlign w:val="center"/>
          </w:tcPr>
          <w:p w14:paraId="4097B6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3" w:type="pct"/>
            <w:vAlign w:val="center"/>
          </w:tcPr>
          <w:p w14:paraId="5AC8A15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4F3973E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34CE79A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固体废物</w:t>
            </w:r>
          </w:p>
        </w:tc>
        <w:tc>
          <w:tcPr>
            <w:tcW w:w="4174" w:type="pct"/>
            <w:gridSpan w:val="4"/>
            <w:vAlign w:val="center"/>
          </w:tcPr>
          <w:p w14:paraId="3E9FD5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21"/>
                <w:sz w:val="18"/>
                <w:szCs w:val="18"/>
                <w:highlight w:val="none"/>
                <w:lang w:val="en-US" w:eastAsia="zh-CN"/>
              </w:rPr>
            </w:pPr>
            <w:r>
              <w:rPr>
                <w:rFonts w:hint="default"/>
                <w:color w:val="auto"/>
                <w:sz w:val="18"/>
                <w:szCs w:val="18"/>
                <w:highlight w:val="none"/>
              </w:rPr>
              <w:t>本项目</w:t>
            </w:r>
            <w:r>
              <w:rPr>
                <w:rFonts w:hint="eastAsia"/>
                <w:color w:val="auto"/>
                <w:sz w:val="18"/>
                <w:szCs w:val="18"/>
                <w:highlight w:val="none"/>
                <w:lang w:val="en-US" w:eastAsia="zh-CN"/>
              </w:rPr>
              <w:t>生活垃圾由市政环卫部门统一清运；热风炉灰渣及除尘器收尘灰</w:t>
            </w: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存储于灰渣间，每10天清运1次，不在厂区长期储存，外售综合利用</w:t>
            </w:r>
            <w:r>
              <w:rPr>
                <w:rFonts w:hint="eastAsia" w:cs="Times New Roman"/>
                <w:color w:val="auto"/>
                <w:kern w:val="21"/>
                <w:sz w:val="18"/>
                <w:szCs w:val="18"/>
                <w:highlight w:val="none"/>
                <w:lang w:val="en-US" w:eastAsia="zh-CN"/>
              </w:rPr>
              <w:t>；</w:t>
            </w:r>
            <w:r>
              <w:rPr>
                <w:rFonts w:hint="eastAsia" w:ascii="宋体" w:hAnsi="宋体" w:cs="宋体"/>
                <w:color w:val="auto"/>
                <w:sz w:val="18"/>
                <w:szCs w:val="18"/>
                <w:lang w:val="en-US" w:eastAsia="zh-CN"/>
              </w:rPr>
              <w:t>废布袋，</w:t>
            </w:r>
            <w:r>
              <w:rPr>
                <w:rFonts w:hint="eastAsia" w:ascii="宋体" w:hAnsi="宋体" w:cs="宋体"/>
                <w:color w:val="auto"/>
                <w:sz w:val="18"/>
                <w:szCs w:val="18"/>
              </w:rPr>
              <w:t>由除尘器厂家更换后直接带走</w:t>
            </w:r>
            <w:r>
              <w:rPr>
                <w:rFonts w:hint="eastAsia" w:ascii="宋体" w:hAnsi="宋体" w:cs="宋体"/>
                <w:color w:val="auto"/>
                <w:sz w:val="18"/>
                <w:szCs w:val="18"/>
                <w:lang w:eastAsia="zh-CN"/>
              </w:rPr>
              <w:t>；</w:t>
            </w: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default" w:ascii="Times New Roman" w:hAnsi="Times New Roman" w:cs="Times New Roman"/>
                <w:color w:val="auto"/>
                <w:sz w:val="18"/>
                <w:szCs w:val="18"/>
                <w:highlight w:val="none"/>
              </w:rPr>
              <w:t>粉尘</w:t>
            </w:r>
            <w:r>
              <w:rPr>
                <w:rFonts w:hint="eastAsia" w:cs="Times New Roman"/>
                <w:color w:val="auto"/>
                <w:kern w:val="21"/>
                <w:sz w:val="18"/>
                <w:szCs w:val="18"/>
                <w:highlight w:val="none"/>
                <w:lang w:val="en-US" w:eastAsia="zh-CN"/>
              </w:rPr>
              <w:t>，</w:t>
            </w:r>
            <w:r>
              <w:rPr>
                <w:rFonts w:hint="eastAsia"/>
                <w:color w:val="auto"/>
                <w:sz w:val="18"/>
                <w:szCs w:val="18"/>
                <w:highlight w:val="none"/>
                <w:lang w:val="en-US" w:eastAsia="zh-CN"/>
              </w:rPr>
              <w:t>由市政环卫部门统一清运</w:t>
            </w:r>
            <w:r>
              <w:rPr>
                <w:rFonts w:hint="eastAsia"/>
                <w:color w:val="auto"/>
                <w:sz w:val="18"/>
                <w:szCs w:val="18"/>
                <w:highlight w:val="none"/>
                <w:lang w:eastAsia="zh-CN"/>
              </w:rPr>
              <w:t>，</w:t>
            </w:r>
            <w:r>
              <w:rPr>
                <w:rFonts w:hint="eastAsia" w:cs="Times New Roman"/>
                <w:color w:val="auto"/>
                <w:sz w:val="18"/>
                <w:szCs w:val="18"/>
                <w:highlight w:val="none"/>
                <w:lang w:eastAsia="zh-CN"/>
              </w:rPr>
              <w:t>废机油、废弃含油抹布手套暂存危险废物贮存点，委托有资质单位处理。</w:t>
            </w:r>
          </w:p>
        </w:tc>
      </w:tr>
      <w:tr w14:paraId="3121F5C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0F6004E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土壤及地下水污染防治措施</w:t>
            </w:r>
          </w:p>
        </w:tc>
        <w:tc>
          <w:tcPr>
            <w:tcW w:w="4174" w:type="pct"/>
            <w:gridSpan w:val="4"/>
            <w:vAlign w:val="center"/>
          </w:tcPr>
          <w:p w14:paraId="586D6FB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18"/>
                <w:szCs w:val="18"/>
                <w:highlight w:val="none"/>
                <w:lang w:eastAsia="zh-CN"/>
              </w:rPr>
            </w:pPr>
            <w:r>
              <w:rPr>
                <w:rFonts w:hint="eastAsia" w:cs="Times New Roman"/>
                <w:color w:val="auto"/>
                <w:sz w:val="18"/>
                <w:szCs w:val="18"/>
                <w:highlight w:val="none"/>
                <w:lang w:val="en-US" w:eastAsia="zh-CN"/>
              </w:rPr>
              <w:t>无</w:t>
            </w:r>
          </w:p>
        </w:tc>
      </w:tr>
      <w:tr w14:paraId="413D6B0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4C0510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生态保护措施</w:t>
            </w:r>
          </w:p>
        </w:tc>
        <w:tc>
          <w:tcPr>
            <w:tcW w:w="4174" w:type="pct"/>
            <w:gridSpan w:val="4"/>
            <w:vAlign w:val="center"/>
          </w:tcPr>
          <w:p w14:paraId="7A1C8A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sz w:val="18"/>
                <w:szCs w:val="18"/>
                <w:highlight w:val="none"/>
                <w:lang w:val="en-US" w:eastAsia="zh-CN"/>
              </w:rPr>
              <w:t>无</w:t>
            </w:r>
          </w:p>
        </w:tc>
      </w:tr>
      <w:tr w14:paraId="24C6E1E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567" w:hRule="atLeast"/>
          <w:jc w:val="center"/>
        </w:trPr>
        <w:tc>
          <w:tcPr>
            <w:tcW w:w="825" w:type="pct"/>
            <w:vAlign w:val="center"/>
          </w:tcPr>
          <w:p w14:paraId="1913F4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环境风险防范措施</w:t>
            </w:r>
          </w:p>
        </w:tc>
        <w:tc>
          <w:tcPr>
            <w:tcW w:w="4174" w:type="pct"/>
            <w:gridSpan w:val="4"/>
            <w:vAlign w:val="center"/>
          </w:tcPr>
          <w:p w14:paraId="20D18C2D">
            <w:pPr>
              <w:keepNext w:val="0"/>
              <w:keepLines w:val="0"/>
              <w:suppressLineNumbers w:val="0"/>
              <w:adjustRightInd w:val="0"/>
              <w:snapToGrid w:val="0"/>
              <w:spacing w:before="0" w:beforeAutospacing="0" w:after="0" w:afterAutospacing="0"/>
              <w:ind w:left="0" w:right="0"/>
              <w:jc w:val="both"/>
              <w:rPr>
                <w:rFonts w:hint="eastAsia"/>
                <w:color w:val="auto"/>
                <w:sz w:val="18"/>
                <w:szCs w:val="18"/>
                <w:highlight w:val="none"/>
              </w:rPr>
            </w:pPr>
            <w:r>
              <w:rPr>
                <w:rFonts w:hint="eastAsia"/>
                <w:color w:val="auto"/>
                <w:sz w:val="18"/>
                <w:szCs w:val="18"/>
                <w:highlight w:val="none"/>
              </w:rPr>
              <w:t>本项目不涉及环境风险物质，本次评价仅考虑生物质燃料易燃可能产生的火灾事故风险。</w:t>
            </w:r>
          </w:p>
          <w:p w14:paraId="0C2FE8D8">
            <w:pPr>
              <w:pStyle w:val="3"/>
              <w:keepNext w:val="0"/>
              <w:keepLines w:val="0"/>
              <w:suppressLineNumbers w:val="0"/>
              <w:spacing w:before="0" w:beforeAutospacing="0" w:after="0" w:afterAutospacing="0"/>
              <w:ind w:left="0" w:right="0"/>
              <w:jc w:val="both"/>
              <w:rPr>
                <w:rFonts w:hint="eastAsia" w:eastAsia="宋体"/>
                <w:color w:val="auto"/>
                <w:sz w:val="18"/>
                <w:szCs w:val="18"/>
                <w:highlight w:val="none"/>
                <w:lang w:val="en-US" w:eastAsia="zh-CN"/>
              </w:rPr>
            </w:pPr>
            <w:r>
              <w:rPr>
                <w:rFonts w:hint="eastAsia"/>
                <w:color w:val="auto"/>
                <w:sz w:val="18"/>
                <w:szCs w:val="18"/>
                <w:highlight w:val="none"/>
              </w:rPr>
              <w:t>火灾爆炸风险防范措施：在</w:t>
            </w:r>
            <w:r>
              <w:rPr>
                <w:rFonts w:hint="eastAsia" w:ascii="宋体" w:hAnsi="宋体" w:eastAsia="宋体" w:cs="宋体"/>
                <w:bCs/>
                <w:color w:val="auto"/>
                <w:kern w:val="0"/>
                <w:sz w:val="18"/>
                <w:szCs w:val="18"/>
                <w:highlight w:val="none"/>
                <w:lang w:val="en-US" w:eastAsia="zh-CN"/>
              </w:rPr>
              <w:t>热风炉房</w:t>
            </w:r>
            <w:r>
              <w:rPr>
                <w:rFonts w:hint="eastAsia"/>
                <w:color w:val="auto"/>
                <w:sz w:val="18"/>
                <w:szCs w:val="18"/>
                <w:highlight w:val="none"/>
              </w:rPr>
              <w:t>内设置灭火器。每日对燃料贮存间进行查看，并做好防尘、防雨、防渗、防腐“四防”措施，避免火灾的引发。</w:t>
            </w:r>
          </w:p>
        </w:tc>
      </w:tr>
      <w:tr w14:paraId="5EC29D9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7226" w:hRule="atLeast"/>
          <w:jc w:val="center"/>
        </w:trPr>
        <w:tc>
          <w:tcPr>
            <w:tcW w:w="825" w:type="pct"/>
            <w:vAlign w:val="center"/>
          </w:tcPr>
          <w:p w14:paraId="1FE5EE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其他环境管理要求</w:t>
            </w:r>
          </w:p>
        </w:tc>
        <w:tc>
          <w:tcPr>
            <w:tcW w:w="4174" w:type="pct"/>
            <w:gridSpan w:val="4"/>
            <w:vAlign w:val="top"/>
          </w:tcPr>
          <w:p w14:paraId="277AFD6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360" w:firstLineChars="200"/>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1、排污许可</w:t>
            </w:r>
          </w:p>
          <w:p w14:paraId="61D9028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360" w:firstLineChars="200"/>
              <w:jc w:val="both"/>
              <w:textAlignment w:val="auto"/>
              <w:rPr>
                <w:rFonts w:hint="eastAsia"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本项目投产运行前，应按照《固定污染源排污许可分类管理名录（2019年版）》填报排污许可证。工作区内需指定专门的人员</w:t>
            </w:r>
            <w:r>
              <w:rPr>
                <w:rFonts w:hint="eastAsia" w:cs="Times New Roman"/>
                <w:color w:val="auto"/>
                <w:sz w:val="18"/>
                <w:szCs w:val="18"/>
                <w:highlight w:val="none"/>
                <w:lang w:eastAsia="zh-CN"/>
              </w:rPr>
              <w:t>，</w:t>
            </w:r>
            <w:r>
              <w:rPr>
                <w:rFonts w:hint="eastAsia" w:ascii="宋体" w:hAnsi="宋体" w:eastAsia="宋体" w:cs="宋体"/>
                <w:color w:val="auto"/>
                <w:sz w:val="18"/>
                <w:szCs w:val="18"/>
                <w:highlight w:val="none"/>
              </w:rPr>
              <w:t>保证项目运营时三废均能得到有效处理后达标排放。在日常生产中，应加强环保管理，大力推行清洁生产，并加强职工对污染要“以防为主，防治结合”的认识。另外，应加强对设备运行状况的检查，特别是环保设</w:t>
            </w:r>
            <w:r>
              <w:rPr>
                <w:rFonts w:hint="default" w:ascii="Times New Roman" w:hAnsi="Times New Roman" w:eastAsia="宋体" w:cs="Times New Roman"/>
                <w:color w:val="auto"/>
                <w:sz w:val="18"/>
                <w:szCs w:val="18"/>
                <w:highlight w:val="none"/>
              </w:rPr>
              <w:t>施要做到定期检查，制定检查方案与实施计划，严防出故障，对三废处理装置要定期检修，以确保污染物达标排放。按照相关要求，对排污口进行规范化管理，在正确的排放点位设置标识，以便进行规范化管理</w:t>
            </w:r>
            <w:r>
              <w:rPr>
                <w:rFonts w:hint="eastAsia" w:cs="Times New Roman"/>
                <w:color w:val="auto"/>
                <w:sz w:val="18"/>
                <w:szCs w:val="18"/>
                <w:highlight w:val="none"/>
                <w:lang w:eastAsia="zh-CN"/>
              </w:rPr>
              <w:t>。</w:t>
            </w:r>
          </w:p>
          <w:p w14:paraId="79879CDC">
            <w:pPr>
              <w:pStyle w:val="6"/>
              <w:keepNext/>
              <w:keepLines/>
              <w:pageBreakBefore w:val="0"/>
              <w:widowControl/>
              <w:suppressLineNumbers w:val="0"/>
              <w:tabs>
                <w:tab w:val="left" w:pos="3600"/>
              </w:tabs>
              <w:kinsoku/>
              <w:wordWrap/>
              <w:overflowPunct/>
              <w:topLinePunct w:val="0"/>
              <w:autoSpaceDE/>
              <w:autoSpaceDN/>
              <w:bidi w:val="0"/>
              <w:adjustRightInd/>
              <w:snapToGrid/>
              <w:spacing w:before="0" w:beforeAutospacing="0" w:after="0" w:afterAutospacing="0" w:line="360" w:lineRule="auto"/>
              <w:ind w:left="0" w:right="0" w:firstLine="360" w:firstLineChars="200"/>
              <w:jc w:val="both"/>
              <w:textAlignment w:val="auto"/>
              <w:rPr>
                <w:rFonts w:hint="default" w:ascii="宋体" w:hAnsi="宋体" w:eastAsia="宋体" w:cs="宋体"/>
                <w:b w:val="0"/>
                <w:bCs w:val="0"/>
                <w:color w:val="auto"/>
                <w:kern w:val="2"/>
                <w:sz w:val="18"/>
                <w:szCs w:val="18"/>
                <w:highlight w:val="none"/>
                <w:lang w:val="en-US" w:eastAsia="zh-CN" w:bidi="ar-SA"/>
              </w:rPr>
            </w:pPr>
            <w:r>
              <w:rPr>
                <w:rFonts w:hint="default" w:ascii="宋体" w:hAnsi="宋体" w:eastAsia="宋体" w:cs="宋体"/>
                <w:b w:val="0"/>
                <w:bCs w:val="0"/>
                <w:color w:val="auto"/>
                <w:kern w:val="2"/>
                <w:sz w:val="18"/>
                <w:szCs w:val="18"/>
                <w:highlight w:val="none"/>
                <w:lang w:val="en-US" w:eastAsia="zh-CN" w:bidi="ar-SA"/>
              </w:rPr>
              <w:t>2、环境保护</w:t>
            </w:r>
            <w:r>
              <w:rPr>
                <w:rFonts w:hint="eastAsia" w:ascii="宋体" w:hAnsi="宋体" w:eastAsia="宋体" w:cs="宋体"/>
                <w:b w:val="0"/>
                <w:bCs w:val="0"/>
                <w:color w:val="auto"/>
                <w:kern w:val="2"/>
                <w:sz w:val="18"/>
                <w:szCs w:val="18"/>
                <w:highlight w:val="none"/>
                <w:lang w:val="en-US" w:eastAsia="zh-CN" w:bidi="ar-SA"/>
              </w:rPr>
              <w:t>“三同时”</w:t>
            </w:r>
            <w:r>
              <w:rPr>
                <w:rFonts w:hint="default" w:ascii="宋体" w:hAnsi="宋体" w:eastAsia="宋体" w:cs="宋体"/>
                <w:b w:val="0"/>
                <w:bCs w:val="0"/>
                <w:color w:val="auto"/>
                <w:kern w:val="2"/>
                <w:sz w:val="18"/>
                <w:szCs w:val="18"/>
                <w:highlight w:val="none"/>
                <w:lang w:val="en-US" w:eastAsia="zh-CN" w:bidi="ar-SA"/>
              </w:rPr>
              <w:t>竣工验收内容</w:t>
            </w:r>
          </w:p>
          <w:p w14:paraId="59BB5378">
            <w:pPr>
              <w:keepNext w:val="0"/>
              <w:keepLines w:val="0"/>
              <w:numPr>
                <w:ilvl w:val="0"/>
                <w:numId w:val="0"/>
              </w:numPr>
              <w:suppressLineNumbers w:val="0"/>
              <w:spacing w:before="0" w:beforeAutospacing="0" w:after="0" w:afterAutospacing="0" w:line="240" w:lineRule="auto"/>
              <w:ind w:left="0" w:right="0" w:firstLine="360" w:firstLineChars="20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根据《建设项目环境保护管理条例》（国务院第682号令）要求：建设项目需要配套建设的环境保护设施，必须与主体工程同时设计、同时施工、同时投产使用。建设单位应当按照国务院环境保护行政主管部门规定的标准和程序，对配套建设的环境保护设施进行验收，编制验收报告，项目环境保护竣工验收一览表见表 5-1。</w:t>
            </w:r>
          </w:p>
          <w:p w14:paraId="353A760D">
            <w:pPr>
              <w:keepNext w:val="0"/>
              <w:keepLines w:val="0"/>
              <w:numPr>
                <w:ilvl w:val="0"/>
                <w:numId w:val="0"/>
              </w:numPr>
              <w:suppressLineNumbers w:val="0"/>
              <w:spacing w:before="0" w:beforeAutospacing="0" w:after="0" w:afterAutospacing="0"/>
              <w:ind w:left="0" w:right="0" w:firstLine="361" w:firstLineChars="200"/>
              <w:jc w:val="center"/>
              <w:rPr>
                <w:rFonts w:hint="default" w:ascii="Times New Roman" w:hAnsi="Times New Roman" w:cs="Times New Roman"/>
                <w:b/>
                <w:bCs/>
                <w:color w:val="auto"/>
                <w:sz w:val="18"/>
                <w:szCs w:val="18"/>
                <w:lang w:val="en-US" w:eastAsia="zh-CN"/>
              </w:rPr>
            </w:pPr>
            <w:r>
              <w:rPr>
                <w:rFonts w:hint="eastAsia" w:ascii="Times New Roman" w:hAnsi="Times New Roman" w:cs="Times New Roman"/>
                <w:b/>
                <w:bCs/>
                <w:color w:val="auto"/>
                <w:sz w:val="18"/>
                <w:szCs w:val="18"/>
                <w:lang w:val="en-US" w:eastAsia="zh-CN"/>
              </w:rPr>
              <w:t>表5-1</w:t>
            </w:r>
            <w:r>
              <w:rPr>
                <w:rFonts w:hint="default" w:ascii="Times New Roman" w:hAnsi="Times New Roman" w:cs="Times New Roman"/>
                <w:b/>
                <w:bCs/>
                <w:color w:val="auto"/>
                <w:sz w:val="18"/>
                <w:szCs w:val="18"/>
                <w:lang w:val="en-US" w:eastAsia="zh-CN"/>
              </w:rPr>
              <w:t>环境保护竣工验收一览表</w:t>
            </w:r>
          </w:p>
          <w:tbl>
            <w:tblPr>
              <w:tblStyle w:val="36"/>
              <w:tblW w:w="735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174"/>
              <w:gridCol w:w="1141"/>
              <w:gridCol w:w="2164"/>
              <w:gridCol w:w="2030"/>
            </w:tblGrid>
            <w:tr w14:paraId="182AFA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6E9F976F">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vertAlign w:val="baseline"/>
                      <w:lang w:val="en-US" w:eastAsia="zh-CN"/>
                    </w:rPr>
                    <w:t>环境</w:t>
                  </w:r>
                </w:p>
                <w:p w14:paraId="5FF647B2">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vertAlign w:val="baseline"/>
                      <w:lang w:val="en-US" w:eastAsia="zh-CN"/>
                    </w:rPr>
                    <w:t>要素</w:t>
                  </w:r>
                </w:p>
              </w:tc>
              <w:tc>
                <w:tcPr>
                  <w:tcW w:w="2315" w:type="dxa"/>
                  <w:gridSpan w:val="2"/>
                  <w:vAlign w:val="center"/>
                </w:tcPr>
                <w:p w14:paraId="715BD653">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7"/>
                      <w:sz w:val="18"/>
                      <w:szCs w:val="18"/>
                    </w:rPr>
                    <w:t>验收项目</w:t>
                  </w:r>
                </w:p>
              </w:tc>
              <w:tc>
                <w:tcPr>
                  <w:tcW w:w="2164" w:type="dxa"/>
                  <w:vAlign w:val="center"/>
                </w:tcPr>
                <w:p w14:paraId="3E84C3F4">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8"/>
                      <w:sz w:val="18"/>
                      <w:szCs w:val="18"/>
                    </w:rPr>
                    <w:t>竣工验收内容</w:t>
                  </w:r>
                </w:p>
              </w:tc>
              <w:tc>
                <w:tcPr>
                  <w:tcW w:w="2030" w:type="dxa"/>
                  <w:vAlign w:val="center"/>
                </w:tcPr>
                <w:p w14:paraId="3A80F764">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8"/>
                      <w:sz w:val="18"/>
                      <w:szCs w:val="18"/>
                    </w:rPr>
                    <w:t>竣工验收要求</w:t>
                  </w:r>
                </w:p>
              </w:tc>
            </w:tr>
            <w:tr w14:paraId="1614D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restart"/>
                  <w:vAlign w:val="center"/>
                </w:tcPr>
                <w:p w14:paraId="4E52A31B">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pacing w:val="3"/>
                      <w:sz w:val="18"/>
                      <w:szCs w:val="18"/>
                    </w:rPr>
                    <w:t>大气</w:t>
                  </w:r>
                </w:p>
                <w:p w14:paraId="6327179E">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4"/>
                      <w:sz w:val="18"/>
                      <w:szCs w:val="18"/>
                    </w:rPr>
                    <w:t>环境</w:t>
                  </w:r>
                </w:p>
              </w:tc>
              <w:tc>
                <w:tcPr>
                  <w:tcW w:w="1174" w:type="dxa"/>
                  <w:vMerge w:val="restart"/>
                  <w:vAlign w:val="center"/>
                </w:tcPr>
                <w:p w14:paraId="40BFB4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eastAsia="zh-CN"/>
                    </w:rPr>
                    <w:t>热风炉烟囱（</w:t>
                  </w:r>
                  <w:r>
                    <w:rPr>
                      <w:rFonts w:hint="default" w:ascii="Times New Roman" w:hAnsi="Times New Roman" w:eastAsia="宋体" w:cs="Times New Roman"/>
                      <w:color w:val="auto"/>
                      <w:sz w:val="18"/>
                      <w:szCs w:val="18"/>
                      <w:highlight w:val="none"/>
                      <w:lang w:val="en-US" w:eastAsia="zh-CN"/>
                    </w:rPr>
                    <w:t>DA001</w:t>
                  </w:r>
                  <w:r>
                    <w:rPr>
                      <w:rFonts w:hint="default" w:ascii="Times New Roman" w:hAnsi="Times New Roman" w:eastAsia="宋体" w:cs="Times New Roman"/>
                      <w:color w:val="auto"/>
                      <w:sz w:val="18"/>
                      <w:szCs w:val="18"/>
                      <w:highlight w:val="none"/>
                      <w:lang w:eastAsia="zh-CN"/>
                    </w:rPr>
                    <w:t>）</w:t>
                  </w:r>
                </w:p>
              </w:tc>
              <w:tc>
                <w:tcPr>
                  <w:tcW w:w="1141" w:type="dxa"/>
                  <w:vAlign w:val="center"/>
                </w:tcPr>
                <w:p w14:paraId="43EDD13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eastAsia" w:cs="Times New Roman"/>
                      <w:color w:val="auto"/>
                      <w:sz w:val="18"/>
                      <w:szCs w:val="18"/>
                      <w:highlight w:val="none"/>
                      <w:lang w:val="en-US" w:eastAsia="zh-CN"/>
                    </w:rPr>
                    <w:t>颗粒物</w:t>
                  </w:r>
                  <w:r>
                    <w:rPr>
                      <w:rFonts w:hint="default" w:ascii="Times New Roman" w:hAnsi="Times New Roman" w:eastAsia="宋体" w:cs="Times New Roman"/>
                      <w:color w:val="auto"/>
                      <w:sz w:val="18"/>
                      <w:szCs w:val="18"/>
                      <w:highlight w:val="none"/>
                      <w:lang w:eastAsia="zh-CN"/>
                    </w:rPr>
                    <w:t>、SO</w:t>
                  </w:r>
                  <w:r>
                    <w:rPr>
                      <w:rFonts w:hint="default" w:ascii="Times New Roman" w:hAnsi="Times New Roman" w:eastAsia="宋体" w:cs="Times New Roman"/>
                      <w:color w:val="auto"/>
                      <w:sz w:val="18"/>
                      <w:szCs w:val="18"/>
                      <w:highlight w:val="none"/>
                      <w:vertAlign w:val="subscript"/>
                      <w:lang w:eastAsia="zh-CN"/>
                    </w:rPr>
                    <w:t>2</w:t>
                  </w:r>
                  <w:r>
                    <w:rPr>
                      <w:rFonts w:hint="default" w:ascii="Times New Roman" w:hAnsi="Times New Roman" w:eastAsia="宋体" w:cs="Times New Roman"/>
                      <w:color w:val="auto"/>
                      <w:sz w:val="18"/>
                      <w:szCs w:val="18"/>
                      <w:highlight w:val="none"/>
                      <w:lang w:eastAsia="zh-CN"/>
                    </w:rPr>
                    <w:t>、烟气黑度</w:t>
                  </w:r>
                </w:p>
              </w:tc>
              <w:tc>
                <w:tcPr>
                  <w:tcW w:w="2164" w:type="dxa"/>
                  <w:vMerge w:val="restart"/>
                  <w:vAlign w:val="center"/>
                </w:tcPr>
                <w:p w14:paraId="3BC24F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default" w:ascii="Times New Roman" w:hAnsi="Times New Roman" w:eastAsia="宋体"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c>
                <w:tcPr>
                  <w:tcW w:w="2030" w:type="dxa"/>
                  <w:vAlign w:val="center"/>
                </w:tcPr>
                <w:p w14:paraId="668010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《工业炉窑大气污染物排放标准》（GB9078-1996）表2和表4中标准要求</w:t>
                  </w:r>
                </w:p>
              </w:tc>
            </w:tr>
            <w:tr w14:paraId="7014FA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07CC850C">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Merge w:val="continue"/>
                  <w:vAlign w:val="center"/>
                </w:tcPr>
                <w:p w14:paraId="30CB33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41" w:type="dxa"/>
                  <w:vAlign w:val="center"/>
                </w:tcPr>
                <w:p w14:paraId="2703854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氮氧化物</w:t>
                  </w:r>
                </w:p>
              </w:tc>
              <w:tc>
                <w:tcPr>
                  <w:tcW w:w="2164" w:type="dxa"/>
                  <w:vMerge w:val="continue"/>
                  <w:vAlign w:val="center"/>
                </w:tcPr>
                <w:p w14:paraId="625B2E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030" w:type="dxa"/>
                  <w:vAlign w:val="center"/>
                </w:tcPr>
                <w:p w14:paraId="3B8C13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《大气污染物综合排放标准》（GB16297-1996）中二级标准</w:t>
                  </w:r>
                </w:p>
              </w:tc>
            </w:tr>
            <w:tr w14:paraId="335554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58AF12AF">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Align w:val="center"/>
                </w:tcPr>
                <w:p w14:paraId="52A43A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eastAsia="zh-CN"/>
                    </w:rPr>
                    <w:t>装卸粉尘</w:t>
                  </w:r>
                </w:p>
              </w:tc>
              <w:tc>
                <w:tcPr>
                  <w:tcW w:w="1141" w:type="dxa"/>
                  <w:vMerge w:val="restart"/>
                  <w:vAlign w:val="center"/>
                </w:tcPr>
                <w:p w14:paraId="7AE79F7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0"/>
                      <w:sz w:val="18"/>
                      <w:szCs w:val="18"/>
                      <w:highlight w:val="none"/>
                      <w:lang w:eastAsia="zh-CN"/>
                    </w:rPr>
                    <w:t>颗粒物</w:t>
                  </w:r>
                </w:p>
              </w:tc>
              <w:tc>
                <w:tcPr>
                  <w:tcW w:w="2164" w:type="dxa"/>
                  <w:vAlign w:val="center"/>
                </w:tcPr>
                <w:p w14:paraId="68A513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pacing w:val="0"/>
                      <w:kern w:val="0"/>
                      <w:sz w:val="18"/>
                      <w:szCs w:val="18"/>
                      <w:highlight w:val="none"/>
                      <w:lang w:val="en-US" w:eastAsia="zh-CN" w:bidi="ar"/>
                    </w:rPr>
                    <w:t>选用密闭性良好的设备，全封闭输送、原粮入仓采取封闭和减小装卸高度</w:t>
                  </w:r>
                </w:p>
              </w:tc>
              <w:tc>
                <w:tcPr>
                  <w:tcW w:w="2030" w:type="dxa"/>
                  <w:vMerge w:val="restart"/>
                  <w:vAlign w:val="center"/>
                </w:tcPr>
                <w:p w14:paraId="5A62E138">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vertAlign w:val="baseline"/>
                      <w:lang w:val="en-US" w:eastAsia="zh-CN"/>
                    </w:rPr>
                    <w:t>《大气污染物综合排放标准》（GB16297-1996）中无组织排放标准</w:t>
                  </w:r>
                </w:p>
              </w:tc>
            </w:tr>
            <w:tr w14:paraId="783D7B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167B828E">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18"/>
                      <w:szCs w:val="18"/>
                    </w:rPr>
                  </w:pPr>
                </w:p>
              </w:tc>
              <w:tc>
                <w:tcPr>
                  <w:tcW w:w="1174" w:type="dxa"/>
                  <w:vAlign w:val="center"/>
                </w:tcPr>
                <w:p w14:paraId="0A624A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筛分粉尘</w:t>
                  </w:r>
                </w:p>
              </w:tc>
              <w:tc>
                <w:tcPr>
                  <w:tcW w:w="1141" w:type="dxa"/>
                  <w:vMerge w:val="continue"/>
                  <w:vAlign w:val="center"/>
                </w:tcPr>
                <w:p w14:paraId="5B4A8AC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164" w:type="dxa"/>
                  <w:vAlign w:val="center"/>
                </w:tcPr>
                <w:p w14:paraId="72B37C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eastAsia="zh-CN"/>
                    </w:rPr>
                    <w:t>清粮采用全密闭</w:t>
                  </w:r>
                  <w:r>
                    <w:rPr>
                      <w:rFonts w:hint="default" w:ascii="Times New Roman" w:hAnsi="Times New Roman" w:eastAsia="宋体" w:cs="Times New Roman"/>
                      <w:color w:val="auto"/>
                      <w:sz w:val="18"/>
                      <w:szCs w:val="18"/>
                      <w:highlight w:val="none"/>
                      <w:lang w:val="en-US" w:eastAsia="zh-CN"/>
                    </w:rPr>
                    <w:t>清选</w:t>
                  </w:r>
                  <w:r>
                    <w:rPr>
                      <w:rFonts w:hint="default" w:ascii="Times New Roman" w:hAnsi="Times New Roman" w:eastAsia="宋体" w:cs="Times New Roman"/>
                      <w:color w:val="auto"/>
                      <w:sz w:val="18"/>
                      <w:szCs w:val="18"/>
                      <w:highlight w:val="none"/>
                      <w:lang w:eastAsia="zh-CN"/>
                    </w:rPr>
                    <w:t>筛，产生的粉尘经设备自带</w:t>
                  </w:r>
                  <w:r>
                    <w:rPr>
                      <w:rFonts w:hint="default" w:ascii="Times New Roman" w:hAnsi="Times New Roman" w:eastAsia="宋体" w:cs="Times New Roman"/>
                      <w:color w:val="auto"/>
                      <w:sz w:val="18"/>
                      <w:szCs w:val="18"/>
                      <w:highlight w:val="none"/>
                      <w:lang w:val="en-US" w:eastAsia="zh-CN"/>
                    </w:rPr>
                    <w:t>袋式除尘器</w:t>
                  </w:r>
                  <w:r>
                    <w:rPr>
                      <w:rFonts w:hint="default" w:ascii="Times New Roman" w:hAnsi="Times New Roman" w:eastAsia="宋体" w:cs="Times New Roman"/>
                      <w:color w:val="auto"/>
                      <w:sz w:val="18"/>
                      <w:szCs w:val="18"/>
                      <w:highlight w:val="none"/>
                      <w:lang w:eastAsia="zh-CN"/>
                    </w:rPr>
                    <w:t>处理后排放</w:t>
                  </w:r>
                </w:p>
              </w:tc>
              <w:tc>
                <w:tcPr>
                  <w:tcW w:w="2030" w:type="dxa"/>
                  <w:vMerge w:val="continue"/>
                  <w:vAlign w:val="center"/>
                </w:tcPr>
                <w:p w14:paraId="50002BA1">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r>
            <w:tr w14:paraId="4F7A2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5F5412B4">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Align w:val="center"/>
                </w:tcPr>
                <w:p w14:paraId="4E468E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eastAsia="zh-CN"/>
                    </w:rPr>
                    <w:t>烘干粉尘</w:t>
                  </w:r>
                </w:p>
              </w:tc>
              <w:tc>
                <w:tcPr>
                  <w:tcW w:w="1141" w:type="dxa"/>
                  <w:vMerge w:val="continue"/>
                  <w:vAlign w:val="center"/>
                </w:tcPr>
                <w:p w14:paraId="107183E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164" w:type="dxa"/>
                  <w:vAlign w:val="center"/>
                </w:tcPr>
                <w:p w14:paraId="51B4B7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highlight w:val="none"/>
                      <w:lang w:val="en-US" w:eastAsia="zh-CN"/>
                    </w:rPr>
                    <w:t>烘干塔内部自带重力沉降室，烘干塔底部四周设置防尘挡板，粉尘受挡板</w:t>
                  </w:r>
                  <w:r>
                    <w:rPr>
                      <w:rFonts w:hint="eastAsia" w:cs="Times New Roman"/>
                      <w:b w:val="0"/>
                      <w:bCs w:val="0"/>
                      <w:color w:val="auto"/>
                      <w:sz w:val="18"/>
                      <w:szCs w:val="18"/>
                      <w:highlight w:val="none"/>
                      <w:lang w:val="en-US" w:eastAsia="zh-CN"/>
                    </w:rPr>
                    <w:t>隔</w:t>
                  </w:r>
                  <w:r>
                    <w:rPr>
                      <w:rFonts w:hint="default" w:ascii="Times New Roman" w:hAnsi="Times New Roman" w:eastAsia="宋体" w:cs="Times New Roman"/>
                      <w:b w:val="0"/>
                      <w:bCs w:val="0"/>
                      <w:color w:val="auto"/>
                      <w:sz w:val="18"/>
                      <w:szCs w:val="18"/>
                      <w:highlight w:val="none"/>
                      <w:lang w:val="en-US" w:eastAsia="zh-CN"/>
                    </w:rPr>
                    <w:t>挡后受重力作用回落到烘干塔底部收尘设施中</w:t>
                  </w:r>
                </w:p>
              </w:tc>
              <w:tc>
                <w:tcPr>
                  <w:tcW w:w="2030" w:type="dxa"/>
                  <w:vMerge w:val="continue"/>
                  <w:vAlign w:val="center"/>
                </w:tcPr>
                <w:p w14:paraId="7A1BD4D1">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r>
            <w:tr w14:paraId="3CB97D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73DE8F09">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Align w:val="center"/>
                </w:tcPr>
                <w:p w14:paraId="62BD0823">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highlight w:val="none"/>
                      <w:lang w:val="en-US" w:eastAsia="zh-CN"/>
                    </w:rPr>
                    <w:t>成品输送装卸</w:t>
                  </w:r>
                </w:p>
              </w:tc>
              <w:tc>
                <w:tcPr>
                  <w:tcW w:w="1141" w:type="dxa"/>
                  <w:vMerge w:val="continue"/>
                  <w:vAlign w:val="center"/>
                </w:tcPr>
                <w:p w14:paraId="3AFEA972">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164" w:type="dxa"/>
                  <w:vAlign w:val="center"/>
                </w:tcPr>
                <w:p w14:paraId="79520E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pacing w:val="0"/>
                      <w:kern w:val="0"/>
                      <w:sz w:val="18"/>
                      <w:szCs w:val="18"/>
                      <w:lang w:val="en-US" w:eastAsia="zh-CN" w:bidi="ar"/>
                    </w:rPr>
                    <w:t>用密闭性良好的设备，全封闭输送、成品入库采取封闭和减小装卸高度</w:t>
                  </w:r>
                </w:p>
              </w:tc>
              <w:tc>
                <w:tcPr>
                  <w:tcW w:w="2030" w:type="dxa"/>
                  <w:vMerge w:val="continue"/>
                  <w:vAlign w:val="center"/>
                </w:tcPr>
                <w:p w14:paraId="0E2E5213">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r>
            <w:tr w14:paraId="742796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4B9F1252">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Align w:val="center"/>
                </w:tcPr>
                <w:p w14:paraId="75C375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厂界</w:t>
                  </w:r>
                </w:p>
              </w:tc>
              <w:tc>
                <w:tcPr>
                  <w:tcW w:w="1141" w:type="dxa"/>
                  <w:vMerge w:val="continue"/>
                  <w:vAlign w:val="center"/>
                </w:tcPr>
                <w:p w14:paraId="1E34E76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164" w:type="dxa"/>
                  <w:vAlign w:val="center"/>
                </w:tcPr>
                <w:p w14:paraId="3D0BA6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w:t>
                  </w:r>
                </w:p>
              </w:tc>
              <w:tc>
                <w:tcPr>
                  <w:tcW w:w="2030" w:type="dxa"/>
                  <w:vMerge w:val="continue"/>
                  <w:vAlign w:val="center"/>
                </w:tcPr>
                <w:p w14:paraId="2F54343E">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r>
            <w:tr w14:paraId="006074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2983BA1D">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1174" w:type="dxa"/>
                  <w:vAlign w:val="center"/>
                </w:tcPr>
                <w:p w14:paraId="7B7BA1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Cs/>
                      <w:color w:val="auto"/>
                      <w:kern w:val="0"/>
                      <w:sz w:val="18"/>
                      <w:szCs w:val="18"/>
                      <w:highlight w:val="none"/>
                      <w:lang w:val="en-US" w:eastAsia="zh-CN"/>
                    </w:rPr>
                    <w:t>热风炉房</w:t>
                  </w:r>
                </w:p>
              </w:tc>
              <w:tc>
                <w:tcPr>
                  <w:tcW w:w="1141" w:type="dxa"/>
                  <w:vAlign w:val="center"/>
                </w:tcPr>
                <w:p w14:paraId="4C84FDA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颗粒物</w:t>
                  </w:r>
                </w:p>
              </w:tc>
              <w:tc>
                <w:tcPr>
                  <w:tcW w:w="2164" w:type="dxa"/>
                  <w:vAlign w:val="center"/>
                </w:tcPr>
                <w:p w14:paraId="0689E4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洒水降尘</w:t>
                  </w:r>
                </w:p>
              </w:tc>
              <w:tc>
                <w:tcPr>
                  <w:tcW w:w="2030" w:type="dxa"/>
                  <w:vAlign w:val="center"/>
                </w:tcPr>
                <w:p w14:paraId="03F548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0"/>
                      <w:sz w:val="18"/>
                      <w:szCs w:val="18"/>
                      <w:highlight w:val="none"/>
                    </w:rPr>
                    <w:t>《工业炉窑大气污染物排放标准》（GB9078-1996）中的表</w:t>
                  </w:r>
                  <w:r>
                    <w:rPr>
                      <w:rFonts w:hint="default" w:ascii="Times New Roman" w:hAnsi="Times New Roman" w:eastAsia="宋体" w:cs="Times New Roman"/>
                      <w:color w:val="auto"/>
                      <w:kern w:val="0"/>
                      <w:sz w:val="18"/>
                      <w:szCs w:val="18"/>
                      <w:highlight w:val="none"/>
                      <w:lang w:val="en-US" w:eastAsia="zh-CN"/>
                    </w:rPr>
                    <w:t>3中标准要求</w:t>
                  </w:r>
                </w:p>
              </w:tc>
            </w:tr>
            <w:tr w14:paraId="4796A3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7EEA62E5">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pacing w:val="3"/>
                      <w:sz w:val="18"/>
                      <w:szCs w:val="18"/>
                    </w:rPr>
                  </w:pPr>
                  <w:r>
                    <w:rPr>
                      <w:rFonts w:hint="default" w:ascii="Times New Roman" w:hAnsi="Times New Roman" w:eastAsia="宋体" w:cs="Times New Roman"/>
                      <w:b w:val="0"/>
                      <w:bCs w:val="0"/>
                      <w:color w:val="auto"/>
                      <w:spacing w:val="4"/>
                      <w:sz w:val="18"/>
                      <w:szCs w:val="18"/>
                    </w:rPr>
                    <w:t>地表</w:t>
                  </w:r>
                  <w:r>
                    <w:rPr>
                      <w:rFonts w:hint="default" w:ascii="Times New Roman" w:hAnsi="Times New Roman" w:eastAsia="宋体" w:cs="Times New Roman"/>
                      <w:b w:val="0"/>
                      <w:bCs w:val="0"/>
                      <w:color w:val="auto"/>
                      <w:spacing w:val="3"/>
                      <w:sz w:val="18"/>
                      <w:szCs w:val="18"/>
                    </w:rPr>
                    <w:t>水</w:t>
                  </w:r>
                </w:p>
                <w:p w14:paraId="6CE9E9F3">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3"/>
                      <w:sz w:val="18"/>
                      <w:szCs w:val="18"/>
                    </w:rPr>
                    <w:t>环</w:t>
                  </w:r>
                  <w:r>
                    <w:rPr>
                      <w:rFonts w:hint="default" w:ascii="Times New Roman" w:hAnsi="Times New Roman" w:eastAsia="宋体" w:cs="Times New Roman"/>
                      <w:b w:val="0"/>
                      <w:bCs w:val="0"/>
                      <w:color w:val="auto"/>
                      <w:sz w:val="18"/>
                      <w:szCs w:val="18"/>
                    </w:rPr>
                    <w:t>境</w:t>
                  </w:r>
                </w:p>
              </w:tc>
              <w:tc>
                <w:tcPr>
                  <w:tcW w:w="1174" w:type="dxa"/>
                  <w:vAlign w:val="center"/>
                </w:tcPr>
                <w:p w14:paraId="2E2D86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生活污水</w:t>
                  </w:r>
                </w:p>
              </w:tc>
              <w:tc>
                <w:tcPr>
                  <w:tcW w:w="1141" w:type="dxa"/>
                  <w:vAlign w:val="center"/>
                </w:tcPr>
                <w:p w14:paraId="40A05E9E">
                  <w:pPr>
                    <w:pStyle w:val="108"/>
                    <w:keepNext w:val="0"/>
                    <w:keepLines w:val="0"/>
                    <w:pageBreakBefore w:val="0"/>
                    <w:widowControl w:val="0"/>
                    <w:suppressLineNumbers w:val="0"/>
                    <w:kinsoku/>
                    <w:wordWrap/>
                    <w:topLinePunct w:val="0"/>
                    <w:autoSpaceDE/>
                    <w:autoSpaceDN/>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COD、</w:t>
                  </w:r>
                  <w:r>
                    <w:rPr>
                      <w:rFonts w:hint="default" w:ascii="Times New Roman" w:hAnsi="Times New Roman" w:eastAsia="宋体" w:cs="Times New Roman"/>
                      <w:color w:val="auto"/>
                      <w:position w:val="2"/>
                      <w:sz w:val="18"/>
                      <w:szCs w:val="18"/>
                      <w:highlight w:val="none"/>
                    </w:rPr>
                    <w:t>BOD</w:t>
                  </w:r>
                  <w:r>
                    <w:rPr>
                      <w:rFonts w:hint="default" w:ascii="Times New Roman" w:hAnsi="Times New Roman" w:eastAsia="宋体" w:cs="Times New Roman"/>
                      <w:color w:val="auto"/>
                      <w:position w:val="2"/>
                      <w:sz w:val="18"/>
                      <w:szCs w:val="18"/>
                      <w:highlight w:val="none"/>
                      <w:vertAlign w:val="subscript"/>
                    </w:rPr>
                    <w:t>5</w:t>
                  </w:r>
                  <w:r>
                    <w:rPr>
                      <w:rFonts w:hint="default" w:ascii="Times New Roman" w:hAnsi="Times New Roman" w:eastAsia="宋体" w:cs="Times New Roman"/>
                      <w:color w:val="auto"/>
                      <w:position w:val="2"/>
                      <w:sz w:val="18"/>
                      <w:szCs w:val="18"/>
                      <w:highlight w:val="none"/>
                    </w:rPr>
                    <w:t>、</w:t>
                  </w:r>
                  <w:r>
                    <w:rPr>
                      <w:rFonts w:hint="default" w:ascii="Times New Roman" w:hAnsi="Times New Roman" w:eastAsia="宋体" w:cs="Times New Roman"/>
                      <w:color w:val="auto"/>
                      <w:sz w:val="18"/>
                      <w:szCs w:val="18"/>
                      <w:highlight w:val="none"/>
                    </w:rPr>
                    <w:t>SS、氨氮</w:t>
                  </w:r>
                </w:p>
              </w:tc>
              <w:tc>
                <w:tcPr>
                  <w:tcW w:w="2164" w:type="dxa"/>
                  <w:vAlign w:val="center"/>
                </w:tcPr>
                <w:p w14:paraId="44AD64D9">
                  <w:pPr>
                    <w:pStyle w:val="108"/>
                    <w:keepNext w:val="0"/>
                    <w:keepLines w:val="0"/>
                    <w:pageBreakBefore w:val="0"/>
                    <w:widowControl w:val="0"/>
                    <w:suppressLineNumbers w:val="0"/>
                    <w:kinsoku/>
                    <w:wordWrap/>
                    <w:topLinePunct w:val="0"/>
                    <w:autoSpaceDE/>
                    <w:autoSpaceDN/>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排入</w:t>
                  </w:r>
                  <w:r>
                    <w:rPr>
                      <w:rFonts w:hint="default" w:ascii="Times New Roman" w:hAnsi="Times New Roman" w:eastAsia="宋体" w:cs="Times New Roman"/>
                      <w:color w:val="auto"/>
                      <w:kern w:val="0"/>
                      <w:sz w:val="18"/>
                      <w:szCs w:val="18"/>
                      <w:highlight w:val="none"/>
                      <w:lang w:val="en-US" w:eastAsia="zh-CN"/>
                    </w:rPr>
                    <w:t>防渗旱厕</w:t>
                  </w:r>
                  <w:r>
                    <w:rPr>
                      <w:rFonts w:hint="default" w:ascii="Times New Roman" w:hAnsi="Times New Roman" w:eastAsia="宋体" w:cs="Times New Roman"/>
                      <w:color w:val="auto"/>
                      <w:sz w:val="18"/>
                      <w:szCs w:val="18"/>
                      <w:highlight w:val="none"/>
                      <w:lang w:val="en-US" w:eastAsia="zh-CN"/>
                    </w:rPr>
                    <w:t>，定期清掏，外运堆肥，不外排</w:t>
                  </w:r>
                </w:p>
              </w:tc>
              <w:tc>
                <w:tcPr>
                  <w:tcW w:w="2030" w:type="dxa"/>
                  <w:vAlign w:val="center"/>
                </w:tcPr>
                <w:p w14:paraId="42F912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w:t>
                  </w:r>
                </w:p>
              </w:tc>
            </w:tr>
            <w:tr w14:paraId="1619AB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59CB2578">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2"/>
                      <w:sz w:val="18"/>
                      <w:szCs w:val="18"/>
                    </w:rPr>
                    <w:t>声环</w:t>
                  </w:r>
                  <w:r>
                    <w:rPr>
                      <w:rFonts w:hint="default" w:ascii="Times New Roman" w:hAnsi="Times New Roman" w:eastAsia="宋体" w:cs="Times New Roman"/>
                      <w:b w:val="0"/>
                      <w:bCs w:val="0"/>
                      <w:color w:val="auto"/>
                      <w:sz w:val="18"/>
                      <w:szCs w:val="18"/>
                    </w:rPr>
                    <w:t>境</w:t>
                  </w:r>
                </w:p>
              </w:tc>
              <w:tc>
                <w:tcPr>
                  <w:tcW w:w="1174" w:type="dxa"/>
                  <w:vAlign w:val="center"/>
                </w:tcPr>
                <w:p w14:paraId="1D6069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21"/>
                      <w:sz w:val="18"/>
                      <w:szCs w:val="18"/>
                      <w:highlight w:val="none"/>
                    </w:rPr>
                    <w:t>设备运行</w:t>
                  </w:r>
                </w:p>
              </w:tc>
              <w:tc>
                <w:tcPr>
                  <w:tcW w:w="1141" w:type="dxa"/>
                  <w:vAlign w:val="center"/>
                </w:tcPr>
                <w:p w14:paraId="627777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kern w:val="21"/>
                      <w:sz w:val="18"/>
                      <w:szCs w:val="18"/>
                      <w:highlight w:val="none"/>
                      <w:lang w:val="en-US" w:eastAsia="zh-CN"/>
                    </w:rPr>
                    <w:t>噪声</w:t>
                  </w:r>
                </w:p>
              </w:tc>
              <w:tc>
                <w:tcPr>
                  <w:tcW w:w="2164" w:type="dxa"/>
                  <w:vAlign w:val="center"/>
                </w:tcPr>
                <w:p w14:paraId="3E8306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eastAsia="宋体" w:cs="Times New Roman"/>
                      <w:color w:val="auto"/>
                      <w:sz w:val="18"/>
                      <w:szCs w:val="18"/>
                      <w:highlight w:val="none"/>
                      <w:lang w:val="en-US" w:eastAsia="zh-CN"/>
                    </w:rPr>
                    <w:t>等措施</w:t>
                  </w:r>
                </w:p>
              </w:tc>
              <w:tc>
                <w:tcPr>
                  <w:tcW w:w="2030" w:type="dxa"/>
                  <w:vAlign w:val="center"/>
                </w:tcPr>
                <w:p w14:paraId="71664F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《工业企业厂界环境噪声排放标准》(GB12348-2008)表1中2</w:t>
                  </w:r>
                  <w:r>
                    <w:rPr>
                      <w:rFonts w:hint="default" w:ascii="Times New Roman" w:hAnsi="Times New Roman" w:eastAsia="宋体" w:cs="Times New Roman"/>
                      <w:color w:val="auto"/>
                      <w:sz w:val="18"/>
                      <w:szCs w:val="18"/>
                      <w:highlight w:val="none"/>
                      <w:lang w:val="en-US" w:eastAsia="zh-CN"/>
                    </w:rPr>
                    <w:t>类标准</w:t>
                  </w:r>
                </w:p>
              </w:tc>
            </w:tr>
            <w:tr w14:paraId="05AC9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restart"/>
                  <w:vAlign w:val="center"/>
                </w:tcPr>
                <w:p w14:paraId="1CDA12B5">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pacing w:val="-5"/>
                      <w:sz w:val="18"/>
                      <w:szCs w:val="18"/>
                    </w:rPr>
                  </w:pPr>
                  <w:r>
                    <w:rPr>
                      <w:rFonts w:hint="default" w:ascii="Times New Roman" w:hAnsi="Times New Roman" w:eastAsia="宋体" w:cs="Times New Roman"/>
                      <w:b w:val="0"/>
                      <w:bCs w:val="0"/>
                      <w:color w:val="auto"/>
                      <w:spacing w:val="-5"/>
                      <w:sz w:val="18"/>
                      <w:szCs w:val="18"/>
                    </w:rPr>
                    <w:t>固体</w:t>
                  </w:r>
                </w:p>
                <w:p w14:paraId="4586E5D8">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5"/>
                      <w:sz w:val="18"/>
                      <w:szCs w:val="18"/>
                    </w:rPr>
                    <w:t>废物</w:t>
                  </w:r>
                </w:p>
              </w:tc>
              <w:tc>
                <w:tcPr>
                  <w:tcW w:w="2315" w:type="dxa"/>
                  <w:gridSpan w:val="2"/>
                  <w:vAlign w:val="center"/>
                </w:tcPr>
                <w:p w14:paraId="6D4BB33A">
                  <w:pPr>
                    <w:pStyle w:val="131"/>
                    <w:keepNext w:val="0"/>
                    <w:keepLines w:val="0"/>
                    <w:pageBreakBefore w:val="0"/>
                    <w:suppressLineNumbers w:val="0"/>
                    <w:kinsoku/>
                    <w:wordWrap/>
                    <w:topLinePunct w:val="0"/>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pacing w:val="0"/>
                      <w:sz w:val="18"/>
                      <w:szCs w:val="18"/>
                      <w:highlight w:val="none"/>
                      <w:lang w:val="en-US" w:eastAsia="zh-CN"/>
                    </w:rPr>
                    <w:t>生活垃圾</w:t>
                  </w:r>
                </w:p>
              </w:tc>
              <w:tc>
                <w:tcPr>
                  <w:tcW w:w="2164" w:type="dxa"/>
                  <w:vMerge w:val="restart"/>
                  <w:vAlign w:val="center"/>
                </w:tcPr>
                <w:p w14:paraId="150C516A">
                  <w:pPr>
                    <w:pStyle w:val="2"/>
                    <w:keepNext w:val="0"/>
                    <w:keepLines w:val="0"/>
                    <w:pageBreakBefore w:val="0"/>
                    <w:suppressLineNumbers w:val="0"/>
                    <w:kinsoku/>
                    <w:wordWrap/>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6"/>
                      <w:position w:val="1"/>
                      <w:sz w:val="18"/>
                      <w:szCs w:val="18"/>
                    </w:rPr>
                    <w:t>由</w:t>
                  </w:r>
                  <w:r>
                    <w:rPr>
                      <w:rFonts w:hint="default" w:ascii="Times New Roman" w:hAnsi="Times New Roman" w:eastAsia="宋体" w:cs="Times New Roman"/>
                      <w:color w:val="auto"/>
                      <w:kern w:val="2"/>
                      <w:sz w:val="18"/>
                      <w:szCs w:val="18"/>
                      <w:highlight w:val="none"/>
                      <w:lang w:val="en-US" w:eastAsia="zh-CN" w:bidi="ar-SA"/>
                    </w:rPr>
                    <w:t>市政环卫部门统一</w:t>
                  </w:r>
                  <w:r>
                    <w:rPr>
                      <w:rFonts w:hint="default" w:ascii="Times New Roman" w:hAnsi="Times New Roman" w:eastAsia="宋体" w:cs="Times New Roman"/>
                      <w:snapToGrid w:val="0"/>
                      <w:color w:val="auto"/>
                      <w:sz w:val="18"/>
                      <w:szCs w:val="18"/>
                      <w:lang w:val="en-US" w:eastAsia="zh-CN"/>
                    </w:rPr>
                    <w:t>清运</w:t>
                  </w:r>
                </w:p>
              </w:tc>
              <w:tc>
                <w:tcPr>
                  <w:tcW w:w="2030" w:type="dxa"/>
                  <w:vMerge w:val="restart"/>
                  <w:vAlign w:val="center"/>
                </w:tcPr>
                <w:p w14:paraId="3EC6465E">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6"/>
                      <w:position w:val="1"/>
                      <w:sz w:val="18"/>
                      <w:szCs w:val="18"/>
                    </w:rPr>
                    <w:t>处置率100%</w:t>
                  </w:r>
                </w:p>
              </w:tc>
            </w:tr>
            <w:tr w14:paraId="4608B7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3208E258">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pacing w:val="5"/>
                      <w:sz w:val="18"/>
                      <w:szCs w:val="18"/>
                    </w:rPr>
                  </w:pPr>
                </w:p>
              </w:tc>
              <w:tc>
                <w:tcPr>
                  <w:tcW w:w="2315" w:type="dxa"/>
                  <w:gridSpan w:val="2"/>
                  <w:vAlign w:val="center"/>
                </w:tcPr>
                <w:p w14:paraId="1F77D1DB">
                  <w:pPr>
                    <w:pStyle w:val="131"/>
                    <w:keepNext w:val="0"/>
                    <w:keepLines w:val="0"/>
                    <w:pageBreakBefore w:val="0"/>
                    <w:suppressLineNumbers w:val="0"/>
                    <w:kinsoku/>
                    <w:wordWrap/>
                    <w:topLinePunct w:val="0"/>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eastAsia="zh-CN"/>
                    </w:rPr>
                    <w:t>初清杂质</w:t>
                  </w:r>
                  <w:r>
                    <w:rPr>
                      <w:rFonts w:hint="default" w:ascii="Times New Roman" w:hAnsi="Times New Roman" w:eastAsia="宋体" w:cs="Times New Roman"/>
                      <w:color w:val="auto"/>
                      <w:sz w:val="18"/>
                      <w:szCs w:val="18"/>
                      <w:highlight w:val="none"/>
                      <w:lang w:val="en-US" w:eastAsia="zh-CN"/>
                    </w:rPr>
                    <w:t>及输送装卸、筛分、烘干</w:t>
                  </w:r>
                  <w:r>
                    <w:rPr>
                      <w:rFonts w:hint="default" w:ascii="Times New Roman" w:hAnsi="Times New Roman" w:eastAsia="宋体" w:cs="Times New Roman"/>
                      <w:color w:val="auto"/>
                      <w:sz w:val="18"/>
                      <w:szCs w:val="18"/>
                      <w:highlight w:val="none"/>
                    </w:rPr>
                    <w:t>粉尘</w:t>
                  </w:r>
                </w:p>
              </w:tc>
              <w:tc>
                <w:tcPr>
                  <w:tcW w:w="2164" w:type="dxa"/>
                  <w:vMerge w:val="continue"/>
                  <w:vAlign w:val="center"/>
                </w:tcPr>
                <w:p w14:paraId="67168DCC">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z w:val="18"/>
                      <w:szCs w:val="18"/>
                      <w:vertAlign w:val="baseline"/>
                      <w:lang w:val="en-US" w:eastAsia="zh-CN"/>
                    </w:rPr>
                  </w:pPr>
                </w:p>
              </w:tc>
              <w:tc>
                <w:tcPr>
                  <w:tcW w:w="2030" w:type="dxa"/>
                  <w:vMerge w:val="continue"/>
                  <w:vAlign w:val="center"/>
                </w:tcPr>
                <w:p w14:paraId="6A80D426">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6"/>
                      <w:position w:val="1"/>
                      <w:sz w:val="18"/>
                      <w:szCs w:val="18"/>
                    </w:rPr>
                  </w:pPr>
                </w:p>
              </w:tc>
            </w:tr>
            <w:tr w14:paraId="00319F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243D58F4">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pacing w:val="5"/>
                      <w:sz w:val="18"/>
                      <w:szCs w:val="18"/>
                    </w:rPr>
                  </w:pPr>
                </w:p>
              </w:tc>
              <w:tc>
                <w:tcPr>
                  <w:tcW w:w="2315" w:type="dxa"/>
                  <w:gridSpan w:val="2"/>
                  <w:vAlign w:val="center"/>
                </w:tcPr>
                <w:p w14:paraId="0E45F710">
                  <w:pPr>
                    <w:pStyle w:val="131"/>
                    <w:keepNext w:val="0"/>
                    <w:keepLines w:val="0"/>
                    <w:pageBreakBefore w:val="0"/>
                    <w:suppressLineNumbers w:val="0"/>
                    <w:kinsoku/>
                    <w:wordWrap/>
                    <w:topLinePunct w:val="0"/>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rPr>
                    <w:t>热风炉</w:t>
                  </w:r>
                  <w:r>
                    <w:rPr>
                      <w:rFonts w:hint="eastAsia" w:cs="Times New Roman"/>
                      <w:color w:val="auto"/>
                      <w:sz w:val="18"/>
                      <w:szCs w:val="18"/>
                      <w:highlight w:val="none"/>
                      <w:lang w:val="en-US" w:eastAsia="zh-CN"/>
                    </w:rPr>
                    <w:t>灰</w:t>
                  </w:r>
                  <w:r>
                    <w:rPr>
                      <w:rFonts w:hint="default" w:ascii="Times New Roman" w:hAnsi="Times New Roman" w:eastAsia="宋体" w:cs="Times New Roman"/>
                      <w:color w:val="auto"/>
                      <w:sz w:val="18"/>
                      <w:szCs w:val="18"/>
                      <w:highlight w:val="none"/>
                    </w:rPr>
                    <w:t>渣</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除尘器收尘灰</w:t>
                  </w:r>
                </w:p>
              </w:tc>
              <w:tc>
                <w:tcPr>
                  <w:tcW w:w="2164" w:type="dxa"/>
                  <w:vAlign w:val="center"/>
                </w:tcPr>
                <w:p w14:paraId="01C9B6DF">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z w:val="18"/>
                      <w:szCs w:val="18"/>
                      <w:vertAlign w:val="baseline"/>
                      <w:lang w:val="en-US" w:eastAsia="zh-CN"/>
                    </w:rPr>
                    <w:t>外售综合利用</w:t>
                  </w:r>
                </w:p>
              </w:tc>
              <w:tc>
                <w:tcPr>
                  <w:tcW w:w="2030" w:type="dxa"/>
                  <w:vMerge w:val="continue"/>
                  <w:vAlign w:val="center"/>
                </w:tcPr>
                <w:p w14:paraId="77AE80A7">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6"/>
                      <w:position w:val="1"/>
                      <w:sz w:val="18"/>
                      <w:szCs w:val="18"/>
                    </w:rPr>
                  </w:pPr>
                </w:p>
              </w:tc>
            </w:tr>
            <w:tr w14:paraId="2076B4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Merge w:val="continue"/>
                  <w:vAlign w:val="center"/>
                </w:tcPr>
                <w:p w14:paraId="659F006B">
                  <w:pPr>
                    <w:pStyle w:val="147"/>
                    <w:keepNext w:val="0"/>
                    <w:keepLines w:val="0"/>
                    <w:pageBreakBefore w:val="0"/>
                    <w:widowControl w:val="0"/>
                    <w:suppressLineNumbers w:val="0"/>
                    <w:kinsoku/>
                    <w:wordWrap/>
                    <w:topLinePunct w:val="0"/>
                    <w:autoSpaceDE/>
                    <w:autoSpaceDN/>
                    <w:bidi w:val="0"/>
                    <w:adjustRightInd/>
                    <w:spacing w:before="0" w:beforeAutospacing="0" w:after="0" w:afterAutospacing="0" w:line="240" w:lineRule="auto"/>
                    <w:ind w:left="0" w:right="0" w:firstLine="0"/>
                    <w:jc w:val="center"/>
                    <w:textAlignment w:val="auto"/>
                    <w:outlineLvl w:val="1"/>
                    <w:rPr>
                      <w:rFonts w:hint="default" w:ascii="Times New Roman" w:hAnsi="Times New Roman" w:eastAsia="宋体" w:cs="Times New Roman"/>
                      <w:b w:val="0"/>
                      <w:bCs w:val="0"/>
                      <w:color w:val="auto"/>
                      <w:spacing w:val="5"/>
                      <w:sz w:val="18"/>
                      <w:szCs w:val="18"/>
                    </w:rPr>
                  </w:pPr>
                </w:p>
              </w:tc>
              <w:tc>
                <w:tcPr>
                  <w:tcW w:w="2315" w:type="dxa"/>
                  <w:gridSpan w:val="2"/>
                  <w:vAlign w:val="center"/>
                </w:tcPr>
                <w:p w14:paraId="18879330">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废布袋</w:t>
                  </w:r>
                </w:p>
              </w:tc>
              <w:tc>
                <w:tcPr>
                  <w:tcW w:w="2164" w:type="dxa"/>
                  <w:vAlign w:val="center"/>
                </w:tcPr>
                <w:p w14:paraId="3FE669E2">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eastAsia="宋体" w:cs="Times New Roman"/>
                      <w:b w:val="0"/>
                      <w:bCs w:val="0"/>
                      <w:color w:val="auto"/>
                      <w:spacing w:val="6"/>
                      <w:position w:val="1"/>
                      <w:sz w:val="18"/>
                      <w:szCs w:val="18"/>
                    </w:rPr>
                    <w:t>由除尘器厂家更换后直接带走</w:t>
                  </w:r>
                </w:p>
              </w:tc>
              <w:tc>
                <w:tcPr>
                  <w:tcW w:w="2030" w:type="dxa"/>
                  <w:vMerge w:val="continue"/>
                  <w:vAlign w:val="center"/>
                </w:tcPr>
                <w:p w14:paraId="4C20E1FB">
                  <w:pPr>
                    <w:pStyle w:val="5"/>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6"/>
                      <w:position w:val="1"/>
                      <w:sz w:val="18"/>
                      <w:szCs w:val="18"/>
                    </w:rPr>
                  </w:pPr>
                </w:p>
              </w:tc>
            </w:tr>
            <w:tr w14:paraId="54CE03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4D12DD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5"/>
                      <w:sz w:val="18"/>
                      <w:szCs w:val="18"/>
                    </w:rPr>
                  </w:pPr>
                  <w:r>
                    <w:rPr>
                      <w:rFonts w:hint="eastAsia" w:cs="Times New Roman"/>
                      <w:color w:val="auto"/>
                      <w:sz w:val="18"/>
                      <w:szCs w:val="18"/>
                      <w:highlight w:val="none"/>
                      <w:lang w:eastAsia="zh-CN"/>
                    </w:rPr>
                    <w:t>危废</w:t>
                  </w:r>
                </w:p>
              </w:tc>
              <w:tc>
                <w:tcPr>
                  <w:tcW w:w="2315" w:type="dxa"/>
                  <w:gridSpan w:val="2"/>
                  <w:vAlign w:val="center"/>
                </w:tcPr>
                <w:p w14:paraId="51E44F4E">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废机油、废弃含油抹布手套</w:t>
                  </w:r>
                </w:p>
              </w:tc>
              <w:tc>
                <w:tcPr>
                  <w:tcW w:w="2164" w:type="dxa"/>
                  <w:vAlign w:val="center"/>
                </w:tcPr>
                <w:p w14:paraId="52AF6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6"/>
                      <w:position w:val="1"/>
                      <w:sz w:val="18"/>
                      <w:szCs w:val="18"/>
                    </w:rPr>
                  </w:pPr>
                  <w:r>
                    <w:rPr>
                      <w:rFonts w:hint="eastAsia" w:cs="Times New Roman"/>
                      <w:bCs/>
                      <w:color w:val="auto"/>
                      <w:sz w:val="18"/>
                      <w:szCs w:val="18"/>
                      <w:highlight w:val="none"/>
                      <w:lang w:val="en-US" w:eastAsia="zh-CN"/>
                    </w:rPr>
                    <w:t>委托有资质单位处理</w:t>
                  </w:r>
                </w:p>
              </w:tc>
              <w:tc>
                <w:tcPr>
                  <w:tcW w:w="2030" w:type="dxa"/>
                  <w:vMerge w:val="continue"/>
                  <w:vAlign w:val="center"/>
                </w:tcPr>
                <w:p w14:paraId="04F3C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6"/>
                      <w:position w:val="1"/>
                      <w:sz w:val="18"/>
                      <w:szCs w:val="18"/>
                    </w:rPr>
                  </w:pPr>
                </w:p>
              </w:tc>
            </w:tr>
            <w:tr w14:paraId="09913A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5DDE8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5"/>
                      <w:sz w:val="18"/>
                      <w:szCs w:val="18"/>
                    </w:rPr>
                  </w:pPr>
                  <w:r>
                    <w:rPr>
                      <w:rFonts w:hint="default" w:ascii="Times New Roman" w:hAnsi="Times New Roman" w:cs="Times New Roman"/>
                      <w:color w:val="auto"/>
                      <w:sz w:val="18"/>
                      <w:szCs w:val="18"/>
                      <w:highlight w:val="none"/>
                    </w:rPr>
                    <w:t>地下水</w:t>
                  </w:r>
                </w:p>
              </w:tc>
              <w:tc>
                <w:tcPr>
                  <w:tcW w:w="6509" w:type="dxa"/>
                  <w:gridSpan w:val="4"/>
                  <w:vAlign w:val="center"/>
                </w:tcPr>
                <w:p w14:paraId="33932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6"/>
                      <w:position w:val="1"/>
                      <w:sz w:val="18"/>
                      <w:szCs w:val="18"/>
                    </w:rPr>
                  </w:pPr>
                  <w:r>
                    <w:rPr>
                      <w:rFonts w:hint="default" w:ascii="Times New Roman" w:hAnsi="Times New Roman" w:cs="Times New Roman"/>
                      <w:b w:val="0"/>
                      <w:bCs/>
                      <w:color w:val="auto"/>
                      <w:sz w:val="18"/>
                      <w:szCs w:val="18"/>
                      <w:highlight w:val="none"/>
                      <w:lang w:val="en-US" w:eastAsia="zh-CN"/>
                    </w:rPr>
                    <w:t>本项目不存在土壤、地下水环境污染途径</w:t>
                  </w:r>
                  <w:r>
                    <w:rPr>
                      <w:rFonts w:hint="eastAsia" w:ascii="Times New Roman" w:hAnsi="Times New Roman" w:cs="Times New Roman"/>
                      <w:b w:val="0"/>
                      <w:bCs/>
                      <w:color w:val="auto"/>
                      <w:sz w:val="18"/>
                      <w:szCs w:val="18"/>
                      <w:highlight w:val="none"/>
                      <w:lang w:val="en-US" w:eastAsia="zh-CN"/>
                    </w:rPr>
                    <w:t>。</w:t>
                  </w:r>
                </w:p>
              </w:tc>
            </w:tr>
            <w:tr w14:paraId="4E5A2A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48" w:type="dxa"/>
                  <w:vAlign w:val="center"/>
                </w:tcPr>
                <w:p w14:paraId="7C092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5"/>
                      <w:sz w:val="18"/>
                      <w:szCs w:val="18"/>
                    </w:rPr>
                  </w:pPr>
                  <w:r>
                    <w:rPr>
                      <w:rFonts w:hint="eastAsia" w:cs="Times New Roman"/>
                      <w:color w:val="auto"/>
                      <w:sz w:val="18"/>
                      <w:szCs w:val="18"/>
                      <w:highlight w:val="none"/>
                      <w:lang w:val="en-US" w:eastAsia="zh-CN"/>
                    </w:rPr>
                    <w:t>其他验收内容</w:t>
                  </w:r>
                </w:p>
              </w:tc>
              <w:tc>
                <w:tcPr>
                  <w:tcW w:w="6509" w:type="dxa"/>
                  <w:gridSpan w:val="4"/>
                  <w:vAlign w:val="center"/>
                </w:tcPr>
                <w:p w14:paraId="0DA7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pacing w:val="6"/>
                      <w:position w:val="1"/>
                      <w:sz w:val="18"/>
                      <w:szCs w:val="18"/>
                      <w:lang w:eastAsia="zh-CN"/>
                    </w:rPr>
                  </w:pPr>
                  <w:r>
                    <w:rPr>
                      <w:rFonts w:hint="eastAsia" w:cs="Times New Roman"/>
                      <w:b w:val="0"/>
                      <w:bCs w:val="0"/>
                      <w:color w:val="auto"/>
                      <w:spacing w:val="6"/>
                      <w:position w:val="1"/>
                      <w:sz w:val="18"/>
                      <w:szCs w:val="18"/>
                      <w:lang w:eastAsia="zh-CN"/>
                    </w:rPr>
                    <w:t>本次工程投产前应申请排污许可证。</w:t>
                  </w:r>
                </w:p>
              </w:tc>
            </w:tr>
          </w:tbl>
          <w:p w14:paraId="43674025">
            <w:pPr>
              <w:pStyle w:val="5"/>
              <w:keepLines w:val="0"/>
              <w:suppressLineNumbers w:val="0"/>
              <w:spacing w:beforeAutospacing="0" w:afterAutospacing="0"/>
              <w:ind w:right="0"/>
              <w:rPr>
                <w:rFonts w:hint="default"/>
                <w:color w:val="auto"/>
                <w:sz w:val="18"/>
                <w:szCs w:val="18"/>
                <w:lang w:val="en-US" w:eastAsia="zh-CN"/>
              </w:rPr>
            </w:pPr>
          </w:p>
          <w:p w14:paraId="4F01FF60">
            <w:pPr>
              <w:keepNext w:val="0"/>
              <w:keepLines w:val="0"/>
              <w:suppressLineNumbers w:val="0"/>
              <w:spacing w:before="0" w:beforeAutospacing="0" w:after="0" w:afterAutospacing="0"/>
              <w:ind w:left="0" w:right="0"/>
              <w:rPr>
                <w:rFonts w:hint="default"/>
                <w:color w:val="auto"/>
                <w:sz w:val="18"/>
                <w:szCs w:val="18"/>
                <w:lang w:val="en-US" w:eastAsia="zh-CN"/>
              </w:rPr>
            </w:pPr>
          </w:p>
          <w:p w14:paraId="6F28A360">
            <w:pPr>
              <w:pStyle w:val="30"/>
              <w:keepNext w:val="0"/>
              <w:keepLines w:val="0"/>
              <w:suppressLineNumbers w:val="0"/>
              <w:spacing w:beforeAutospacing="0" w:afterAutospacing="0"/>
              <w:ind w:left="0" w:right="0"/>
              <w:rPr>
                <w:rFonts w:hint="default"/>
                <w:color w:val="auto"/>
                <w:sz w:val="18"/>
                <w:szCs w:val="18"/>
                <w:lang w:val="en-US" w:eastAsia="zh-CN"/>
              </w:rPr>
            </w:pPr>
          </w:p>
          <w:p w14:paraId="08A8168E">
            <w:pPr>
              <w:keepNext w:val="0"/>
              <w:keepLines w:val="0"/>
              <w:suppressLineNumbers w:val="0"/>
              <w:spacing w:before="0" w:beforeAutospacing="0" w:after="0" w:afterAutospacing="0"/>
              <w:ind w:left="0" w:right="0"/>
              <w:rPr>
                <w:rFonts w:hint="default"/>
                <w:color w:val="auto"/>
                <w:sz w:val="18"/>
                <w:szCs w:val="18"/>
                <w:lang w:val="en-US" w:eastAsia="zh-CN"/>
              </w:rPr>
            </w:pPr>
          </w:p>
          <w:p w14:paraId="4DD38A46">
            <w:pPr>
              <w:pStyle w:val="30"/>
              <w:keepNext w:val="0"/>
              <w:keepLines w:val="0"/>
              <w:suppressLineNumbers w:val="0"/>
              <w:spacing w:beforeAutospacing="0" w:afterAutospacing="0"/>
              <w:ind w:left="0" w:right="0"/>
              <w:rPr>
                <w:rFonts w:hint="default"/>
                <w:color w:val="auto"/>
                <w:sz w:val="18"/>
                <w:szCs w:val="18"/>
                <w:lang w:val="en-US" w:eastAsia="zh-CN"/>
              </w:rPr>
            </w:pPr>
          </w:p>
          <w:p w14:paraId="3DFE3D86">
            <w:pPr>
              <w:keepNext w:val="0"/>
              <w:keepLines w:val="0"/>
              <w:suppressLineNumbers w:val="0"/>
              <w:spacing w:before="0" w:beforeAutospacing="0" w:after="0" w:afterAutospacing="0"/>
              <w:ind w:left="0" w:right="0"/>
              <w:rPr>
                <w:rFonts w:hint="default"/>
                <w:color w:val="auto"/>
                <w:sz w:val="18"/>
                <w:szCs w:val="18"/>
                <w:lang w:val="en-US" w:eastAsia="zh-CN"/>
              </w:rPr>
            </w:pPr>
          </w:p>
          <w:p w14:paraId="16E380B6">
            <w:pPr>
              <w:keepNext w:val="0"/>
              <w:keepLines w:val="0"/>
              <w:suppressLineNumbers w:val="0"/>
              <w:spacing w:before="0" w:beforeAutospacing="0" w:after="0" w:afterAutospacing="0"/>
              <w:ind w:left="0" w:right="0"/>
              <w:rPr>
                <w:rFonts w:hint="default"/>
                <w:color w:val="auto"/>
                <w:sz w:val="18"/>
                <w:szCs w:val="18"/>
                <w:lang w:val="en-US" w:eastAsia="zh-CN"/>
              </w:rPr>
            </w:pPr>
          </w:p>
          <w:p w14:paraId="5BD2388E">
            <w:pPr>
              <w:pStyle w:val="30"/>
              <w:keepNext w:val="0"/>
              <w:keepLines w:val="0"/>
              <w:suppressLineNumbers w:val="0"/>
              <w:spacing w:beforeAutospacing="0" w:afterAutospacing="0"/>
              <w:ind w:left="0" w:right="0"/>
              <w:rPr>
                <w:rFonts w:hint="default"/>
                <w:color w:val="auto"/>
                <w:sz w:val="18"/>
                <w:szCs w:val="18"/>
                <w:lang w:val="en-US" w:eastAsia="zh-CN"/>
              </w:rPr>
            </w:pPr>
          </w:p>
          <w:p w14:paraId="36C20B78">
            <w:pPr>
              <w:keepNext w:val="0"/>
              <w:keepLines w:val="0"/>
              <w:suppressLineNumbers w:val="0"/>
              <w:spacing w:before="0" w:beforeAutospacing="0" w:after="0" w:afterAutospacing="0"/>
              <w:ind w:left="0" w:right="0"/>
              <w:rPr>
                <w:rFonts w:hint="default"/>
                <w:color w:val="auto"/>
                <w:sz w:val="18"/>
                <w:szCs w:val="18"/>
                <w:lang w:val="en-US" w:eastAsia="zh-CN"/>
              </w:rPr>
            </w:pPr>
          </w:p>
          <w:p w14:paraId="12E98D29">
            <w:pPr>
              <w:pStyle w:val="30"/>
              <w:keepNext w:val="0"/>
              <w:keepLines w:val="0"/>
              <w:suppressLineNumbers w:val="0"/>
              <w:spacing w:beforeAutospacing="0" w:afterAutospacing="0"/>
              <w:ind w:left="0" w:right="0"/>
              <w:rPr>
                <w:rFonts w:hint="default"/>
                <w:color w:val="auto"/>
                <w:sz w:val="18"/>
                <w:szCs w:val="18"/>
                <w:lang w:val="en-US" w:eastAsia="zh-CN"/>
              </w:rPr>
            </w:pPr>
          </w:p>
        </w:tc>
      </w:tr>
    </w:tbl>
    <w:p w14:paraId="36335E42">
      <w:pPr>
        <w:pStyle w:val="29"/>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9" w:name="_Toc19724"/>
      <w:r>
        <w:rPr>
          <w:rFonts w:hint="default" w:ascii="Times New Roman" w:hAnsi="Times New Roman" w:eastAsia="黑体" w:cs="Times New Roman"/>
          <w:snapToGrid w:val="0"/>
          <w:color w:val="auto"/>
          <w:kern w:val="21"/>
          <w:sz w:val="30"/>
          <w:szCs w:val="30"/>
          <w:highlight w:val="none"/>
        </w:rPr>
        <w:t>六、结论</w:t>
      </w:r>
      <w:bookmarkEnd w:id="9"/>
    </w:p>
    <w:tbl>
      <w:tblPr>
        <w:tblStyle w:val="35"/>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12811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8" w:hRule="atLeast"/>
          <w:jc w:val="center"/>
        </w:trPr>
        <w:tc>
          <w:tcPr>
            <w:tcW w:w="5000" w:type="pct"/>
            <w:vAlign w:val="center"/>
          </w:tcPr>
          <w:p w14:paraId="494671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12DE0CC4">
      <w:pPr>
        <w:pStyle w:val="29"/>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6E9D9935">
      <w:pPr>
        <w:pStyle w:val="29"/>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0" w:name="_Toc17733"/>
      <w:r>
        <w:rPr>
          <w:rFonts w:hint="default" w:ascii="Times New Roman" w:hAnsi="Times New Roman" w:eastAsia="黑体" w:cs="Times New Roman"/>
          <w:snapToGrid w:val="0"/>
          <w:color w:val="auto"/>
          <w:kern w:val="21"/>
          <w:sz w:val="30"/>
          <w:szCs w:val="30"/>
          <w:highlight w:val="none"/>
        </w:rPr>
        <w:t>附表</w:t>
      </w:r>
      <w:bookmarkEnd w:id="10"/>
    </w:p>
    <w:p w14:paraId="16B6C538">
      <w:pPr>
        <w:pStyle w:val="29"/>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5"/>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471"/>
        <w:gridCol w:w="1364"/>
        <w:gridCol w:w="1296"/>
        <w:gridCol w:w="1409"/>
        <w:gridCol w:w="1559"/>
        <w:gridCol w:w="1535"/>
        <w:gridCol w:w="1786"/>
        <w:gridCol w:w="1225"/>
      </w:tblGrid>
      <w:tr w14:paraId="17557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tcBorders>
              <w:tl2br w:val="single" w:color="auto" w:sz="4" w:space="0"/>
            </w:tcBorders>
            <w:tcMar>
              <w:left w:w="28" w:type="dxa"/>
              <w:right w:w="28" w:type="dxa"/>
            </w:tcMar>
            <w:vAlign w:val="center"/>
          </w:tcPr>
          <w:p w14:paraId="4C74F6F4">
            <w:pPr>
              <w:pStyle w:val="66"/>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61E1A891">
            <w:pPr>
              <w:pStyle w:val="66"/>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471" w:type="dxa"/>
            <w:tcMar>
              <w:left w:w="28" w:type="dxa"/>
              <w:right w:w="28" w:type="dxa"/>
            </w:tcMar>
            <w:vAlign w:val="center"/>
          </w:tcPr>
          <w:p w14:paraId="33DAB7E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6FA4289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45BAC8B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3CE80296">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3A592492">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70FFC219">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1B286D1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35F85246">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6CF8FD9D">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64204CA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35EA6C5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515D4AAD">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75BABD4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492BCF0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5B3E1CB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0A77126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39986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561DA7B0">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471" w:type="dxa"/>
            <w:vAlign w:val="center"/>
          </w:tcPr>
          <w:p w14:paraId="58418FC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14:paraId="6794015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14:paraId="2385A42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14:paraId="5E1A8EA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14:paraId="651200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2.048</w:t>
            </w:r>
            <w:r>
              <w:rPr>
                <w:rFonts w:hint="default" w:ascii="Times New Roman" w:hAnsi="Times New Roman" w:cs="Times New Roman"/>
                <w:color w:val="auto"/>
                <w:sz w:val="21"/>
                <w:szCs w:val="21"/>
                <w:highlight w:val="none"/>
                <w:lang w:val="en-US" w:eastAsia="zh-CN"/>
              </w:rPr>
              <w:t>t/a</w:t>
            </w:r>
          </w:p>
        </w:tc>
        <w:tc>
          <w:tcPr>
            <w:tcW w:w="1535" w:type="dxa"/>
            <w:vAlign w:val="center"/>
          </w:tcPr>
          <w:p w14:paraId="5B3A714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14:paraId="5AA804F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2.048</w:t>
            </w:r>
            <w:r>
              <w:rPr>
                <w:rFonts w:hint="default" w:ascii="Times New Roman" w:hAnsi="Times New Roman" w:cs="Times New Roman"/>
                <w:color w:val="auto"/>
                <w:sz w:val="21"/>
                <w:szCs w:val="21"/>
                <w:highlight w:val="none"/>
                <w:lang w:val="en-US" w:eastAsia="zh-CN"/>
              </w:rPr>
              <w:t>t/a</w:t>
            </w:r>
          </w:p>
        </w:tc>
        <w:tc>
          <w:tcPr>
            <w:tcW w:w="1225" w:type="dxa"/>
            <w:vAlign w:val="center"/>
          </w:tcPr>
          <w:p w14:paraId="22D1E0A8">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+2.048</w:t>
            </w:r>
            <w:r>
              <w:rPr>
                <w:rFonts w:hint="default" w:ascii="Times New Roman" w:hAnsi="Times New Roman" w:cs="Times New Roman"/>
                <w:color w:val="auto"/>
                <w:sz w:val="21"/>
                <w:szCs w:val="21"/>
                <w:highlight w:val="none"/>
                <w:lang w:val="en-US" w:eastAsia="zh-CN"/>
              </w:rPr>
              <w:t>t/a</w:t>
            </w:r>
          </w:p>
        </w:tc>
      </w:tr>
      <w:tr w14:paraId="2383B9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2C1C9B4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2987AB7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SO2</w:t>
            </w:r>
          </w:p>
        </w:tc>
        <w:tc>
          <w:tcPr>
            <w:tcW w:w="1364" w:type="dxa"/>
            <w:vAlign w:val="center"/>
          </w:tcPr>
          <w:p w14:paraId="1A81F26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14:paraId="19AD997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14:paraId="3BEEDF1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14:paraId="2E25E49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2.504</w:t>
            </w:r>
            <w:r>
              <w:rPr>
                <w:rFonts w:hint="default" w:ascii="Times New Roman" w:hAnsi="Times New Roman" w:cs="Times New Roman"/>
                <w:color w:val="auto"/>
                <w:sz w:val="21"/>
                <w:szCs w:val="21"/>
                <w:highlight w:val="none"/>
                <w:lang w:val="en-US" w:eastAsia="zh-CN"/>
              </w:rPr>
              <w:t>t/a</w:t>
            </w:r>
          </w:p>
        </w:tc>
        <w:tc>
          <w:tcPr>
            <w:tcW w:w="1535" w:type="dxa"/>
            <w:vAlign w:val="center"/>
          </w:tcPr>
          <w:p w14:paraId="261FB3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14:paraId="0727972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2.504</w:t>
            </w:r>
            <w:r>
              <w:rPr>
                <w:rFonts w:hint="default" w:ascii="Times New Roman" w:hAnsi="Times New Roman" w:cs="Times New Roman"/>
                <w:color w:val="auto"/>
                <w:sz w:val="21"/>
                <w:szCs w:val="21"/>
                <w:highlight w:val="none"/>
                <w:lang w:val="en-US" w:eastAsia="zh-CN"/>
              </w:rPr>
              <w:t>t/a</w:t>
            </w:r>
          </w:p>
        </w:tc>
        <w:tc>
          <w:tcPr>
            <w:tcW w:w="1225" w:type="dxa"/>
            <w:vAlign w:val="center"/>
          </w:tcPr>
          <w:p w14:paraId="3161C3D8">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+2.504</w:t>
            </w:r>
            <w:r>
              <w:rPr>
                <w:rFonts w:hint="default" w:ascii="Times New Roman" w:hAnsi="Times New Roman" w:cs="Times New Roman"/>
                <w:color w:val="auto"/>
                <w:sz w:val="21"/>
                <w:szCs w:val="21"/>
                <w:highlight w:val="none"/>
                <w:lang w:val="en-US" w:eastAsia="zh-CN"/>
              </w:rPr>
              <w:t>t/a</w:t>
            </w:r>
          </w:p>
        </w:tc>
      </w:tr>
      <w:tr w14:paraId="1C614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69E0B685">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2136AC2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NOx</w:t>
            </w:r>
          </w:p>
        </w:tc>
        <w:tc>
          <w:tcPr>
            <w:tcW w:w="1364" w:type="dxa"/>
            <w:vAlign w:val="center"/>
          </w:tcPr>
          <w:p w14:paraId="33FD3FF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14:paraId="35F88D9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14:paraId="0A488C3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14:paraId="7B96D08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10.771</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/a</w:t>
            </w:r>
          </w:p>
        </w:tc>
        <w:tc>
          <w:tcPr>
            <w:tcW w:w="1535" w:type="dxa"/>
            <w:vAlign w:val="center"/>
          </w:tcPr>
          <w:p w14:paraId="4E2DFA4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14:paraId="7F664A2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10.771</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/a</w:t>
            </w:r>
          </w:p>
        </w:tc>
        <w:tc>
          <w:tcPr>
            <w:tcW w:w="1225" w:type="dxa"/>
            <w:vAlign w:val="center"/>
          </w:tcPr>
          <w:p w14:paraId="22B0DF72">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+10.771</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/a</w:t>
            </w:r>
          </w:p>
        </w:tc>
      </w:tr>
      <w:tr w14:paraId="71EBB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33A0AD4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519C1039">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工业粉尘</w:t>
            </w:r>
          </w:p>
        </w:tc>
        <w:tc>
          <w:tcPr>
            <w:tcW w:w="1364" w:type="dxa"/>
            <w:shd w:val="clear" w:color="auto" w:fill="auto"/>
            <w:vAlign w:val="center"/>
          </w:tcPr>
          <w:p w14:paraId="67B226D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296" w:type="dxa"/>
            <w:shd w:val="clear" w:color="auto" w:fill="auto"/>
            <w:vAlign w:val="center"/>
          </w:tcPr>
          <w:p w14:paraId="7EC51FC3">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409" w:type="dxa"/>
            <w:shd w:val="clear" w:color="auto" w:fill="auto"/>
            <w:vAlign w:val="center"/>
          </w:tcPr>
          <w:p w14:paraId="6A3062B6">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559" w:type="dxa"/>
            <w:vAlign w:val="center"/>
          </w:tcPr>
          <w:p w14:paraId="3C9ABF88">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highlight w:val="none"/>
                <w:lang w:val="en-US" w:eastAsia="zh-CN"/>
              </w:rPr>
            </w:pPr>
          </w:p>
        </w:tc>
        <w:tc>
          <w:tcPr>
            <w:tcW w:w="1535" w:type="dxa"/>
            <w:vAlign w:val="center"/>
          </w:tcPr>
          <w:p w14:paraId="1F3BAC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786" w:type="dxa"/>
            <w:vAlign w:val="center"/>
          </w:tcPr>
          <w:p w14:paraId="719210D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highlight w:val="none"/>
                <w:lang w:val="en-US" w:eastAsia="zh-CN"/>
              </w:rPr>
            </w:pPr>
          </w:p>
        </w:tc>
        <w:tc>
          <w:tcPr>
            <w:tcW w:w="1225" w:type="dxa"/>
            <w:vAlign w:val="center"/>
          </w:tcPr>
          <w:p w14:paraId="0F9B157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highlight w:val="none"/>
                <w:lang w:val="en-US" w:eastAsia="zh-CN"/>
              </w:rPr>
            </w:pPr>
          </w:p>
        </w:tc>
      </w:tr>
      <w:tr w14:paraId="07383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156CD9CA">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471" w:type="dxa"/>
            <w:vAlign w:val="center"/>
          </w:tcPr>
          <w:p w14:paraId="56FDD5E9">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生活垃圾</w:t>
            </w:r>
          </w:p>
        </w:tc>
        <w:tc>
          <w:tcPr>
            <w:tcW w:w="1364" w:type="dxa"/>
            <w:vAlign w:val="center"/>
          </w:tcPr>
          <w:p w14:paraId="5C80641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296" w:type="dxa"/>
            <w:vAlign w:val="center"/>
          </w:tcPr>
          <w:p w14:paraId="73E14CF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409" w:type="dxa"/>
            <w:vAlign w:val="center"/>
          </w:tcPr>
          <w:p w14:paraId="7541BF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59" w:type="dxa"/>
            <w:vAlign w:val="center"/>
          </w:tcPr>
          <w:p w14:paraId="0A130E9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3.775t/a</w:t>
            </w:r>
          </w:p>
        </w:tc>
        <w:tc>
          <w:tcPr>
            <w:tcW w:w="1535" w:type="dxa"/>
            <w:vAlign w:val="center"/>
          </w:tcPr>
          <w:p w14:paraId="1A0074E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786" w:type="dxa"/>
            <w:vAlign w:val="center"/>
          </w:tcPr>
          <w:p w14:paraId="63460CA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3.775</w:t>
            </w:r>
            <w:r>
              <w:rPr>
                <w:rFonts w:hint="default" w:ascii="Times New Roman" w:hAnsi="Times New Roman" w:eastAsia="宋体" w:cs="Times New Roman"/>
                <w:color w:val="auto"/>
                <w:kern w:val="2"/>
                <w:sz w:val="21"/>
                <w:szCs w:val="21"/>
                <w:highlight w:val="none"/>
                <w:lang w:val="en-US" w:eastAsia="zh-CN" w:bidi="ar-SA"/>
              </w:rPr>
              <w:t>t/a</w:t>
            </w:r>
          </w:p>
        </w:tc>
        <w:tc>
          <w:tcPr>
            <w:tcW w:w="1225" w:type="dxa"/>
            <w:vAlign w:val="center"/>
          </w:tcPr>
          <w:p w14:paraId="6290080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+3.775</w:t>
            </w:r>
            <w:r>
              <w:rPr>
                <w:rFonts w:hint="default" w:ascii="Times New Roman" w:hAnsi="Times New Roman" w:eastAsia="宋体" w:cs="Times New Roman"/>
                <w:color w:val="auto"/>
                <w:kern w:val="2"/>
                <w:sz w:val="21"/>
                <w:szCs w:val="21"/>
                <w:highlight w:val="none"/>
                <w:lang w:val="en-US" w:eastAsia="zh-CN" w:bidi="ar-SA"/>
              </w:rPr>
              <w:t>t/a</w:t>
            </w:r>
          </w:p>
        </w:tc>
      </w:tr>
      <w:tr w14:paraId="19CF74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0AAAEB2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3BD18928">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热风炉</w:t>
            </w:r>
            <w:r>
              <w:rPr>
                <w:rFonts w:hint="eastAsia" w:ascii="Times New Roman" w:hAnsi="Times New Roman" w:eastAsia="宋体" w:cs="Times New Roman"/>
                <w:color w:val="auto"/>
                <w:kern w:val="2"/>
                <w:sz w:val="21"/>
                <w:szCs w:val="21"/>
                <w:highlight w:val="none"/>
                <w:lang w:val="en-US" w:eastAsia="zh-CN" w:bidi="ar-SA"/>
              </w:rPr>
              <w:t>灰渣</w:t>
            </w:r>
            <w:r>
              <w:rPr>
                <w:rFonts w:hint="eastAsia" w:cs="Times New Roman"/>
                <w:color w:val="auto"/>
                <w:kern w:val="2"/>
                <w:sz w:val="21"/>
                <w:szCs w:val="21"/>
                <w:highlight w:val="none"/>
                <w:lang w:val="en-US" w:eastAsia="zh-CN" w:bidi="ar-SA"/>
              </w:rPr>
              <w:t>及除尘器收尘灰</w:t>
            </w:r>
          </w:p>
        </w:tc>
        <w:tc>
          <w:tcPr>
            <w:tcW w:w="1364" w:type="dxa"/>
            <w:vAlign w:val="center"/>
          </w:tcPr>
          <w:p w14:paraId="1C91BF5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96" w:type="dxa"/>
            <w:vAlign w:val="center"/>
          </w:tcPr>
          <w:p w14:paraId="5FD7BCF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409" w:type="dxa"/>
            <w:vAlign w:val="center"/>
          </w:tcPr>
          <w:p w14:paraId="1A77E97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59" w:type="dxa"/>
            <w:vAlign w:val="center"/>
          </w:tcPr>
          <w:p w14:paraId="1BA2F06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823.66</w:t>
            </w:r>
            <w:r>
              <w:rPr>
                <w:rFonts w:hint="eastAsia" w:ascii="Times New Roman" w:hAnsi="Times New Roman" w:eastAsia="宋体" w:cs="Times New Roman"/>
                <w:color w:val="auto"/>
                <w:kern w:val="2"/>
                <w:sz w:val="21"/>
                <w:szCs w:val="21"/>
                <w:highlight w:val="none"/>
                <w:lang w:val="en-US" w:eastAsia="zh-CN" w:bidi="ar-SA"/>
              </w:rPr>
              <w:t>t/a</w:t>
            </w:r>
          </w:p>
        </w:tc>
        <w:tc>
          <w:tcPr>
            <w:tcW w:w="1535" w:type="dxa"/>
            <w:vAlign w:val="center"/>
          </w:tcPr>
          <w:p w14:paraId="012B533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786" w:type="dxa"/>
            <w:vAlign w:val="center"/>
          </w:tcPr>
          <w:p w14:paraId="5A0B522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823.66</w:t>
            </w:r>
            <w:r>
              <w:rPr>
                <w:rFonts w:hint="eastAsia" w:ascii="Times New Roman" w:hAnsi="Times New Roman" w:eastAsia="宋体" w:cs="Times New Roman"/>
                <w:color w:val="auto"/>
                <w:kern w:val="2"/>
                <w:sz w:val="21"/>
                <w:szCs w:val="21"/>
                <w:highlight w:val="none"/>
                <w:lang w:val="en-US" w:eastAsia="zh-CN" w:bidi="ar-SA"/>
              </w:rPr>
              <w:t>t/a</w:t>
            </w:r>
          </w:p>
        </w:tc>
        <w:tc>
          <w:tcPr>
            <w:tcW w:w="1225" w:type="dxa"/>
            <w:vAlign w:val="center"/>
          </w:tcPr>
          <w:p w14:paraId="1132F4D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+823.66</w:t>
            </w:r>
            <w:r>
              <w:rPr>
                <w:rFonts w:hint="eastAsia" w:ascii="Times New Roman" w:hAnsi="Times New Roman" w:eastAsia="宋体" w:cs="Times New Roman"/>
                <w:color w:val="auto"/>
                <w:kern w:val="2"/>
                <w:sz w:val="21"/>
                <w:szCs w:val="21"/>
                <w:highlight w:val="none"/>
                <w:lang w:val="en-US" w:eastAsia="zh-CN" w:bidi="ar-SA"/>
              </w:rPr>
              <w:t>t/a</w:t>
            </w:r>
          </w:p>
        </w:tc>
      </w:tr>
      <w:tr w14:paraId="36A5CD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3500245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78E10CE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废布袋</w:t>
            </w:r>
          </w:p>
        </w:tc>
        <w:tc>
          <w:tcPr>
            <w:tcW w:w="1364" w:type="dxa"/>
            <w:vAlign w:val="center"/>
          </w:tcPr>
          <w:p w14:paraId="4E300D3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96" w:type="dxa"/>
            <w:vAlign w:val="center"/>
          </w:tcPr>
          <w:p w14:paraId="70DE5BF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409" w:type="dxa"/>
            <w:vAlign w:val="center"/>
          </w:tcPr>
          <w:p w14:paraId="6447849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59" w:type="dxa"/>
            <w:vAlign w:val="center"/>
          </w:tcPr>
          <w:p w14:paraId="796DCD2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0.05</w:t>
            </w:r>
            <w:r>
              <w:rPr>
                <w:rFonts w:hint="default" w:ascii="Times New Roman" w:hAnsi="Times New Roman" w:eastAsia="宋体" w:cs="Times New Roman"/>
                <w:color w:val="auto"/>
                <w:kern w:val="2"/>
                <w:sz w:val="21"/>
                <w:szCs w:val="21"/>
                <w:highlight w:val="none"/>
                <w:lang w:val="en-US" w:eastAsia="zh-CN" w:bidi="ar-SA"/>
              </w:rPr>
              <w:t>t/a</w:t>
            </w:r>
          </w:p>
        </w:tc>
        <w:tc>
          <w:tcPr>
            <w:tcW w:w="1535" w:type="dxa"/>
            <w:vAlign w:val="center"/>
          </w:tcPr>
          <w:p w14:paraId="213F9FF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786" w:type="dxa"/>
            <w:vAlign w:val="center"/>
          </w:tcPr>
          <w:p w14:paraId="4B2F4AA9">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0.05</w:t>
            </w:r>
            <w:r>
              <w:rPr>
                <w:rFonts w:hint="default" w:ascii="Times New Roman" w:hAnsi="Times New Roman" w:eastAsia="宋体" w:cs="Times New Roman"/>
                <w:color w:val="auto"/>
                <w:kern w:val="2"/>
                <w:sz w:val="21"/>
                <w:szCs w:val="21"/>
                <w:highlight w:val="none"/>
                <w:lang w:val="en-US" w:eastAsia="zh-CN" w:bidi="ar-SA"/>
              </w:rPr>
              <w:t>t/a</w:t>
            </w:r>
          </w:p>
        </w:tc>
        <w:tc>
          <w:tcPr>
            <w:tcW w:w="1225" w:type="dxa"/>
            <w:vAlign w:val="center"/>
          </w:tcPr>
          <w:p w14:paraId="5371F01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0.05</w:t>
            </w:r>
            <w:r>
              <w:rPr>
                <w:rFonts w:hint="default" w:ascii="Times New Roman" w:hAnsi="Times New Roman" w:eastAsia="宋体" w:cs="Times New Roman"/>
                <w:color w:val="auto"/>
                <w:kern w:val="2"/>
                <w:sz w:val="21"/>
                <w:szCs w:val="21"/>
                <w:highlight w:val="none"/>
                <w:lang w:val="en-US" w:eastAsia="zh-CN" w:bidi="ar-SA"/>
              </w:rPr>
              <w:t>t/a</w:t>
            </w:r>
          </w:p>
        </w:tc>
      </w:tr>
      <w:tr w14:paraId="53FF2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694F714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6297F588">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初清杂质及输送装卸、筛分、烘干粉尘</w:t>
            </w:r>
          </w:p>
        </w:tc>
        <w:tc>
          <w:tcPr>
            <w:tcW w:w="1364" w:type="dxa"/>
            <w:vAlign w:val="center"/>
          </w:tcPr>
          <w:p w14:paraId="6F21984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96" w:type="dxa"/>
            <w:vAlign w:val="center"/>
          </w:tcPr>
          <w:p w14:paraId="3E9446A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409" w:type="dxa"/>
            <w:vAlign w:val="center"/>
          </w:tcPr>
          <w:p w14:paraId="14B5594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59" w:type="dxa"/>
            <w:vAlign w:val="center"/>
          </w:tcPr>
          <w:p w14:paraId="2A5C302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149.85</w:t>
            </w:r>
            <w:r>
              <w:rPr>
                <w:rFonts w:hint="default" w:ascii="Times New Roman" w:hAnsi="Times New Roman" w:eastAsia="宋体" w:cs="Times New Roman"/>
                <w:color w:val="auto"/>
                <w:kern w:val="2"/>
                <w:sz w:val="21"/>
                <w:szCs w:val="21"/>
                <w:highlight w:val="none"/>
                <w:lang w:val="en-US" w:eastAsia="zh-CN" w:bidi="ar-SA"/>
              </w:rPr>
              <w:t>t/a</w:t>
            </w:r>
          </w:p>
        </w:tc>
        <w:tc>
          <w:tcPr>
            <w:tcW w:w="1535" w:type="dxa"/>
            <w:vAlign w:val="center"/>
          </w:tcPr>
          <w:p w14:paraId="6315942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786" w:type="dxa"/>
            <w:vAlign w:val="center"/>
          </w:tcPr>
          <w:p w14:paraId="3004F6B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149.85</w:t>
            </w:r>
            <w:r>
              <w:rPr>
                <w:rFonts w:hint="default" w:ascii="Times New Roman" w:hAnsi="Times New Roman" w:eastAsia="宋体" w:cs="Times New Roman"/>
                <w:color w:val="auto"/>
                <w:kern w:val="2"/>
                <w:sz w:val="21"/>
                <w:szCs w:val="21"/>
                <w:highlight w:val="none"/>
                <w:lang w:val="en-US" w:eastAsia="zh-CN" w:bidi="ar-SA"/>
              </w:rPr>
              <w:t>t/a</w:t>
            </w:r>
          </w:p>
        </w:tc>
        <w:tc>
          <w:tcPr>
            <w:tcW w:w="1225" w:type="dxa"/>
            <w:vAlign w:val="center"/>
          </w:tcPr>
          <w:p w14:paraId="6593C91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149.85</w:t>
            </w:r>
            <w:r>
              <w:rPr>
                <w:rFonts w:hint="default" w:ascii="Times New Roman" w:hAnsi="Times New Roman" w:eastAsia="宋体" w:cs="Times New Roman"/>
                <w:color w:val="auto"/>
                <w:kern w:val="2"/>
                <w:sz w:val="21"/>
                <w:szCs w:val="21"/>
                <w:highlight w:val="none"/>
                <w:lang w:val="en-US" w:eastAsia="zh-CN" w:bidi="ar-SA"/>
              </w:rPr>
              <w:t>t/a</w:t>
            </w:r>
          </w:p>
        </w:tc>
      </w:tr>
      <w:tr w14:paraId="1FD3D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shd w:val="clear" w:color="auto" w:fill="auto"/>
            <w:vAlign w:val="center"/>
          </w:tcPr>
          <w:p w14:paraId="2004F16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危险废物</w:t>
            </w:r>
          </w:p>
        </w:tc>
        <w:tc>
          <w:tcPr>
            <w:tcW w:w="2471" w:type="dxa"/>
            <w:shd w:val="clear" w:color="auto" w:fill="auto"/>
            <w:vAlign w:val="center"/>
          </w:tcPr>
          <w:p w14:paraId="155B82FB">
            <w:pPr>
              <w:pStyle w:val="131"/>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废机油、废弃含油抹布手套</w:t>
            </w:r>
          </w:p>
        </w:tc>
        <w:tc>
          <w:tcPr>
            <w:tcW w:w="1364" w:type="dxa"/>
            <w:shd w:val="clear" w:color="auto" w:fill="auto"/>
            <w:vAlign w:val="center"/>
          </w:tcPr>
          <w:p w14:paraId="1A8B44B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96" w:type="dxa"/>
            <w:shd w:val="clear" w:color="auto" w:fill="auto"/>
            <w:vAlign w:val="center"/>
          </w:tcPr>
          <w:p w14:paraId="7E8C725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409" w:type="dxa"/>
            <w:shd w:val="clear" w:color="auto" w:fill="auto"/>
            <w:vAlign w:val="center"/>
          </w:tcPr>
          <w:p w14:paraId="42C7AE7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59" w:type="dxa"/>
            <w:shd w:val="clear" w:color="auto" w:fill="auto"/>
            <w:vAlign w:val="center"/>
          </w:tcPr>
          <w:p w14:paraId="5C8401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0.03t/a</w:t>
            </w:r>
          </w:p>
        </w:tc>
        <w:tc>
          <w:tcPr>
            <w:tcW w:w="1535" w:type="dxa"/>
            <w:shd w:val="clear" w:color="auto" w:fill="auto"/>
            <w:vAlign w:val="center"/>
          </w:tcPr>
          <w:p w14:paraId="25DD376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786" w:type="dxa"/>
            <w:shd w:val="clear" w:color="auto" w:fill="auto"/>
            <w:vAlign w:val="center"/>
          </w:tcPr>
          <w:p w14:paraId="6309D6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0.03t/a</w:t>
            </w:r>
          </w:p>
        </w:tc>
        <w:tc>
          <w:tcPr>
            <w:tcW w:w="1225" w:type="dxa"/>
            <w:shd w:val="clear" w:color="auto" w:fill="auto"/>
            <w:vAlign w:val="center"/>
          </w:tcPr>
          <w:p w14:paraId="31527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+0.03t/a</w:t>
            </w:r>
          </w:p>
        </w:tc>
      </w:tr>
    </w:tbl>
    <w:p w14:paraId="4C6DA622">
      <w:pPr>
        <w:pStyle w:val="66"/>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14:paraId="1CE0BDAB">
      <w:pPr>
        <w:pStyle w:val="29"/>
        <w:spacing w:before="0" w:beforeAutospacing="0" w:after="0" w:afterAutospacing="0"/>
        <w:rPr>
          <w:rFonts w:hint="default" w:ascii="Times New Roman" w:hAnsi="Times New Roman" w:cs="Times New Roman"/>
          <w:snapToGrid w:val="0"/>
          <w:color w:val="auto"/>
          <w:kern w:val="21"/>
          <w:sz w:val="21"/>
          <w:szCs w:val="32"/>
          <w:highlight w:val="none"/>
        </w:rPr>
      </w:pPr>
    </w:p>
    <w:p w14:paraId="75EE6CDA">
      <w:pPr>
        <w:pStyle w:val="5"/>
        <w:spacing w:line="360" w:lineRule="auto"/>
        <w:ind w:left="0" w:leftChars="0" w:firstLine="0" w:firstLineChars="0"/>
        <w:rPr>
          <w:rFonts w:hint="default" w:ascii="Times New Roman" w:hAnsi="Times New Roman" w:eastAsia="宋体" w:cs="Times New Roman"/>
          <w:color w:val="auto"/>
          <w:sz w:val="21"/>
          <w:szCs w:val="21"/>
          <w:highlight w:val="none"/>
        </w:rPr>
      </w:pPr>
      <w:bookmarkStart w:id="11" w:name="_Toc24197"/>
      <w:bookmarkStart w:id="12" w:name="_Toc11995"/>
      <w:bookmarkStart w:id="13" w:name="_Toc20292"/>
    </w:p>
    <w:p w14:paraId="72126AB5">
      <w:pPr>
        <w:pStyle w:val="3"/>
        <w:rPr>
          <w:rFonts w:hint="default"/>
          <w:color w:val="auto"/>
        </w:rPr>
      </w:pPr>
    </w:p>
    <w:p w14:paraId="404260C1">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0" w:leftChars="0" w:firstLine="0" w:firstLineChars="0"/>
        <w:textAlignment w:val="auto"/>
        <w:rPr>
          <w:rFonts w:hint="eastAsia" w:ascii="Times New Roman" w:hAnsi="Times New Roman" w:eastAsia="Arial Unicode MS" w:cs="Times New Roman"/>
          <w:color w:val="auto"/>
          <w:highlight w:val="none"/>
          <w:lang w:eastAsia="zh-CN"/>
        </w:rPr>
      </w:pPr>
      <w:r>
        <w:rPr>
          <w:rFonts w:hint="default" w:ascii="Times New Roman" w:hAnsi="Times New Roman" w:eastAsia="宋体" w:cs="Times New Roman"/>
          <w:color w:val="auto"/>
          <w:sz w:val="21"/>
          <w:szCs w:val="21"/>
          <w:highlight w:val="none"/>
        </w:rPr>
        <w:t>附件1</w:t>
      </w:r>
      <w:bookmarkEnd w:id="11"/>
      <w:bookmarkEnd w:id="12"/>
      <w:bookmarkEnd w:id="13"/>
      <w:r>
        <w:rPr>
          <w:rFonts w:hint="eastAsia" w:eastAsia="宋体" w:cs="Times New Roman"/>
          <w:color w:val="auto"/>
          <w:sz w:val="21"/>
          <w:szCs w:val="21"/>
          <w:highlight w:val="none"/>
          <w:lang w:val="en-US" w:eastAsia="zh-CN"/>
        </w:rPr>
        <w:t>营业执照</w:t>
      </w:r>
    </w:p>
    <w:p w14:paraId="200E8CCC">
      <w:pPr>
        <w:pStyle w:val="32"/>
        <w:ind w:left="0" w:leftChars="0" w:firstLine="0" w:firstLineChars="0"/>
        <w:jc w:val="center"/>
        <w:rPr>
          <w:rFonts w:hint="eastAsia"/>
          <w:color w:val="auto"/>
          <w:highlight w:val="none"/>
          <w:lang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auto"/>
        </w:rPr>
        <w:drawing>
          <wp:inline distT="0" distB="0" distL="114300" distR="114300">
            <wp:extent cx="8068310" cy="4862195"/>
            <wp:effectExtent l="0" t="0" r="8890" b="14605"/>
            <wp:docPr id="12" name="图片 5"/>
            <wp:cNvGraphicFramePr/>
            <a:graphic xmlns:a="http://schemas.openxmlformats.org/drawingml/2006/main">
              <a:graphicData uri="http://schemas.openxmlformats.org/drawingml/2006/picture">
                <pic:pic xmlns:pic="http://schemas.openxmlformats.org/drawingml/2006/picture">
                  <pic:nvPicPr>
                    <pic:cNvPr id="12" name="图片 5"/>
                    <pic:cNvPicPr/>
                  </pic:nvPicPr>
                  <pic:blipFill>
                    <a:blip r:embed="rId27"/>
                    <a:stretch>
                      <a:fillRect/>
                    </a:stretch>
                  </pic:blipFill>
                  <pic:spPr>
                    <a:xfrm>
                      <a:off x="0" y="0"/>
                      <a:ext cx="8068310" cy="4862195"/>
                    </a:xfrm>
                    <a:prstGeom prst="rect">
                      <a:avLst/>
                    </a:prstGeom>
                    <a:noFill/>
                    <a:ln>
                      <a:noFill/>
                    </a:ln>
                  </pic:spPr>
                </pic:pic>
              </a:graphicData>
            </a:graphic>
          </wp:inline>
        </w:drawing>
      </w:r>
    </w:p>
    <w:p w14:paraId="090A60EC">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431" w:hanging="431"/>
        <w:textAlignment w:val="auto"/>
        <w:rPr>
          <w:rFonts w:hint="eastAsia" w:eastAsia="宋体" w:cs="Times New Roman"/>
          <w:color w:val="auto"/>
          <w:sz w:val="21"/>
          <w:szCs w:val="21"/>
          <w:highlight w:val="none"/>
          <w:lang w:val="en-US" w:eastAsia="zh-CN"/>
        </w:rPr>
      </w:pPr>
      <w:bookmarkStart w:id="14" w:name="_Toc37157991"/>
      <w:r>
        <w:rPr>
          <w:rFonts w:hint="default" w:ascii="Times New Roman" w:hAnsi="Times New Roman" w:eastAsia="宋体" w:cs="Times New Roman"/>
          <w:color w:val="auto"/>
          <w:sz w:val="21"/>
          <w:szCs w:val="21"/>
          <w:highlight w:val="none"/>
        </w:rPr>
        <w:t>附件</w:t>
      </w:r>
      <w:bookmarkEnd w:id="14"/>
      <w:r>
        <w:rPr>
          <w:rFonts w:hint="eastAsia" w:eastAsia="宋体" w:cs="Times New Roman"/>
          <w:color w:val="auto"/>
          <w:sz w:val="21"/>
          <w:szCs w:val="21"/>
          <w:highlight w:val="none"/>
          <w:lang w:val="en-US" w:eastAsia="zh-CN"/>
        </w:rPr>
        <w:t>2土地证</w:t>
      </w:r>
    </w:p>
    <w:p w14:paraId="0C2AA8D5">
      <w:pPr>
        <w:jc w:val="center"/>
        <w:rPr>
          <w:rFonts w:hint="default"/>
          <w:color w:val="auto"/>
          <w:lang w:val="en-US" w:eastAsia="zh-CN"/>
        </w:rPr>
      </w:pPr>
      <w:r>
        <w:rPr>
          <w:color w:val="auto"/>
        </w:rPr>
        <w:drawing>
          <wp:inline distT="0" distB="0" distL="114300" distR="114300">
            <wp:extent cx="7891145" cy="5245100"/>
            <wp:effectExtent l="0" t="0" r="14605" b="1270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28"/>
                    <a:stretch>
                      <a:fillRect/>
                    </a:stretch>
                  </pic:blipFill>
                  <pic:spPr>
                    <a:xfrm>
                      <a:off x="0" y="0"/>
                      <a:ext cx="7891145" cy="5245100"/>
                    </a:xfrm>
                    <a:prstGeom prst="rect">
                      <a:avLst/>
                    </a:prstGeom>
                    <a:noFill/>
                    <a:ln>
                      <a:noFill/>
                    </a:ln>
                  </pic:spPr>
                </pic:pic>
              </a:graphicData>
            </a:graphic>
          </wp:inline>
        </w:drawing>
      </w:r>
    </w:p>
    <w:p w14:paraId="12A82FD6">
      <w:pPr>
        <w:bidi w:val="0"/>
        <w:jc w:val="center"/>
        <w:rPr>
          <w:rFonts w:hint="eastAsia" w:eastAsia="宋体" w:cs="Times New Roman"/>
          <w:color w:val="auto"/>
          <w:sz w:val="21"/>
          <w:szCs w:val="21"/>
          <w:highlight w:val="none"/>
          <w:lang w:val="en-US" w:eastAsia="zh-CN"/>
        </w:rPr>
      </w:pPr>
    </w:p>
    <w:p w14:paraId="72FBECA0">
      <w:pPr>
        <w:jc w:val="both"/>
        <w:rPr>
          <w:rFonts w:hint="eastAsia" w:cs="Times New Roman"/>
          <w:b/>
          <w:bCs/>
          <w:color w:val="auto"/>
          <w:sz w:val="21"/>
          <w:szCs w:val="21"/>
          <w:highlight w:val="none"/>
          <w:lang w:val="en-US" w:eastAsia="zh-CN"/>
        </w:rPr>
      </w:pPr>
    </w:p>
    <w:p w14:paraId="2F80EF9C">
      <w:pPr>
        <w:jc w:val="both"/>
        <w:rPr>
          <w:rFonts w:hint="eastAsia" w:cs="Times New Roman"/>
          <w:b/>
          <w:bCs/>
          <w:color w:val="auto"/>
          <w:sz w:val="21"/>
          <w:szCs w:val="21"/>
          <w:highlight w:val="none"/>
          <w:lang w:val="en-US" w:eastAsia="zh-CN"/>
        </w:rPr>
      </w:pPr>
      <w:r>
        <w:rPr>
          <w:color w:val="auto"/>
        </w:rPr>
        <w:drawing>
          <wp:inline distT="0" distB="0" distL="114300" distR="114300">
            <wp:extent cx="7715250" cy="5219700"/>
            <wp:effectExtent l="0" t="0" r="0" b="0"/>
            <wp:docPr id="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pic:cNvPicPr>
                      <a:picLocks noChangeAspect="1"/>
                    </pic:cNvPicPr>
                  </pic:nvPicPr>
                  <pic:blipFill>
                    <a:blip r:embed="rId29"/>
                    <a:stretch>
                      <a:fillRect/>
                    </a:stretch>
                  </pic:blipFill>
                  <pic:spPr>
                    <a:xfrm>
                      <a:off x="0" y="0"/>
                      <a:ext cx="7715250" cy="5219700"/>
                    </a:xfrm>
                    <a:prstGeom prst="rect">
                      <a:avLst/>
                    </a:prstGeom>
                    <a:noFill/>
                    <a:ln>
                      <a:noFill/>
                    </a:ln>
                  </pic:spPr>
                </pic:pic>
              </a:graphicData>
            </a:graphic>
          </wp:inline>
        </w:drawing>
      </w:r>
    </w:p>
    <w:p w14:paraId="1B56418A">
      <w:pPr>
        <w:jc w:val="both"/>
        <w:rPr>
          <w:rFonts w:hint="eastAsia" w:cs="Times New Roman"/>
          <w:b/>
          <w:bCs/>
          <w:color w:val="auto"/>
          <w:sz w:val="21"/>
          <w:szCs w:val="21"/>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2F51741">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0" w:leftChars="0" w:firstLine="0" w:firstLineChars="0"/>
        <w:textAlignment w:val="auto"/>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3建设项目环境影响登记表</w:t>
      </w:r>
    </w:p>
    <w:p w14:paraId="20B9EE21">
      <w:pPr>
        <w:rPr>
          <w:color w:val="auto"/>
        </w:rPr>
      </w:pPr>
      <w:r>
        <w:rPr>
          <w:color w:val="auto"/>
        </w:rPr>
        <w:drawing>
          <wp:inline distT="0" distB="0" distL="114300" distR="114300">
            <wp:extent cx="5581015" cy="7771765"/>
            <wp:effectExtent l="0" t="0" r="635" b="635"/>
            <wp:docPr id="9" name="图片 4"/>
            <wp:cNvGraphicFramePr/>
            <a:graphic xmlns:a="http://schemas.openxmlformats.org/drawingml/2006/main">
              <a:graphicData uri="http://schemas.openxmlformats.org/drawingml/2006/picture">
                <pic:pic xmlns:pic="http://schemas.openxmlformats.org/drawingml/2006/picture">
                  <pic:nvPicPr>
                    <pic:cNvPr id="9" name="图片 4"/>
                    <pic:cNvPicPr/>
                  </pic:nvPicPr>
                  <pic:blipFill>
                    <a:blip r:embed="rId30"/>
                    <a:stretch>
                      <a:fillRect/>
                    </a:stretch>
                  </pic:blipFill>
                  <pic:spPr>
                    <a:xfrm>
                      <a:off x="0" y="0"/>
                      <a:ext cx="5581015" cy="7771765"/>
                    </a:xfrm>
                    <a:prstGeom prst="rect">
                      <a:avLst/>
                    </a:prstGeom>
                    <a:noFill/>
                    <a:ln>
                      <a:noFill/>
                    </a:ln>
                  </pic:spPr>
                </pic:pic>
              </a:graphicData>
            </a:graphic>
          </wp:inline>
        </w:drawing>
      </w:r>
      <w:r>
        <w:rPr>
          <w:color w:val="auto"/>
        </w:rPr>
        <w:drawing>
          <wp:inline distT="0" distB="0" distL="114300" distR="114300">
            <wp:extent cx="5438140" cy="8009890"/>
            <wp:effectExtent l="0" t="0" r="10160" b="10160"/>
            <wp:docPr id="76" name="图片 6"/>
            <wp:cNvGraphicFramePr/>
            <a:graphic xmlns:a="http://schemas.openxmlformats.org/drawingml/2006/main">
              <a:graphicData uri="http://schemas.openxmlformats.org/drawingml/2006/picture">
                <pic:pic xmlns:pic="http://schemas.openxmlformats.org/drawingml/2006/picture">
                  <pic:nvPicPr>
                    <pic:cNvPr id="76" name="图片 6"/>
                    <pic:cNvPicPr/>
                  </pic:nvPicPr>
                  <pic:blipFill>
                    <a:blip r:embed="rId31"/>
                    <a:stretch>
                      <a:fillRect/>
                    </a:stretch>
                  </pic:blipFill>
                  <pic:spPr>
                    <a:xfrm>
                      <a:off x="0" y="0"/>
                      <a:ext cx="5438140" cy="8009890"/>
                    </a:xfrm>
                    <a:prstGeom prst="rect">
                      <a:avLst/>
                    </a:prstGeom>
                    <a:noFill/>
                    <a:ln>
                      <a:noFill/>
                    </a:ln>
                  </pic:spPr>
                </pic:pic>
              </a:graphicData>
            </a:graphic>
          </wp:inline>
        </w:drawing>
      </w:r>
      <w:r>
        <w:rPr>
          <w:color w:val="auto"/>
        </w:rPr>
        <w:drawing>
          <wp:inline distT="0" distB="0" distL="114300" distR="114300">
            <wp:extent cx="5480050" cy="7167880"/>
            <wp:effectExtent l="0" t="0" r="6350" b="13970"/>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32"/>
                    <a:stretch>
                      <a:fillRect/>
                    </a:stretch>
                  </pic:blipFill>
                  <pic:spPr>
                    <a:xfrm>
                      <a:off x="0" y="0"/>
                      <a:ext cx="5480050" cy="7167880"/>
                    </a:xfrm>
                    <a:prstGeom prst="rect">
                      <a:avLst/>
                    </a:prstGeom>
                    <a:noFill/>
                    <a:ln>
                      <a:noFill/>
                    </a:ln>
                  </pic:spPr>
                </pic:pic>
              </a:graphicData>
            </a:graphic>
          </wp:inline>
        </w:drawing>
      </w:r>
    </w:p>
    <w:p w14:paraId="277B13D4">
      <w:pPr>
        <w:pStyle w:val="2"/>
        <w:rPr>
          <w:rFonts w:hint="eastAsia"/>
          <w:color w:val="auto"/>
          <w:lang w:eastAsia="zh-CN"/>
        </w:rPr>
      </w:pPr>
      <w:r>
        <w:rPr>
          <w:color w:val="auto"/>
        </w:rPr>
        <w:drawing>
          <wp:inline distT="0" distB="0" distL="114300" distR="114300">
            <wp:extent cx="5495925" cy="8019415"/>
            <wp:effectExtent l="0" t="0" r="9525" b="635"/>
            <wp:docPr id="79" name="图片 9"/>
            <wp:cNvGraphicFramePr/>
            <a:graphic xmlns:a="http://schemas.openxmlformats.org/drawingml/2006/main">
              <a:graphicData uri="http://schemas.openxmlformats.org/drawingml/2006/picture">
                <pic:pic xmlns:pic="http://schemas.openxmlformats.org/drawingml/2006/picture">
                  <pic:nvPicPr>
                    <pic:cNvPr id="79" name="图片 9"/>
                    <pic:cNvPicPr/>
                  </pic:nvPicPr>
                  <pic:blipFill>
                    <a:blip r:embed="rId33"/>
                    <a:stretch>
                      <a:fillRect/>
                    </a:stretch>
                  </pic:blipFill>
                  <pic:spPr>
                    <a:xfrm>
                      <a:off x="0" y="0"/>
                      <a:ext cx="5495925" cy="8019415"/>
                    </a:xfrm>
                    <a:prstGeom prst="rect">
                      <a:avLst/>
                    </a:prstGeom>
                    <a:noFill/>
                    <a:ln>
                      <a:noFill/>
                    </a:ln>
                  </pic:spPr>
                </pic:pic>
              </a:graphicData>
            </a:graphic>
          </wp:inline>
        </w:drawing>
      </w:r>
    </w:p>
    <w:p w14:paraId="5BDD12CA">
      <w:pPr>
        <w:jc w:val="both"/>
        <w:rPr>
          <w:rFonts w:hint="eastAsia" w:cs="Times New Roman"/>
          <w:b/>
          <w:bCs/>
          <w:color w:val="auto"/>
          <w:sz w:val="21"/>
          <w:szCs w:val="21"/>
          <w:highlight w:val="none"/>
          <w:lang w:val="en-US" w:eastAsia="zh-CN"/>
        </w:rPr>
      </w:pPr>
    </w:p>
    <w:p w14:paraId="336B1D6C">
      <w:pPr>
        <w:jc w:val="both"/>
        <w:rPr>
          <w:rFonts w:hint="eastAsia" w:cs="Times New Roman"/>
          <w:b/>
          <w:bCs/>
          <w:color w:val="auto"/>
          <w:sz w:val="21"/>
          <w:szCs w:val="21"/>
          <w:highlight w:val="none"/>
          <w:lang w:val="en-US" w:eastAsia="zh-CN"/>
        </w:rPr>
      </w:pPr>
    </w:p>
    <w:p w14:paraId="53B8A295">
      <w:pPr>
        <w:jc w:val="both"/>
        <w:rPr>
          <w:rFonts w:hint="eastAsia" w:cs="Times New Roman"/>
          <w:b/>
          <w:bCs/>
          <w:color w:val="auto"/>
          <w:sz w:val="21"/>
          <w:szCs w:val="21"/>
          <w:highlight w:val="none"/>
          <w:lang w:val="en-US" w:eastAsia="zh-CN"/>
        </w:rPr>
      </w:pPr>
    </w:p>
    <w:p w14:paraId="5DC956B5">
      <w:pPr>
        <w:jc w:val="both"/>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附件4本项目检测报告</w:t>
      </w:r>
    </w:p>
    <w:p w14:paraId="172A1411">
      <w:pPr>
        <w:rPr>
          <w:rFonts w:hint="eastAsia" w:eastAsia="宋体" w:cs="Times New Roman"/>
          <w:color w:val="auto"/>
          <w:sz w:val="21"/>
          <w:szCs w:val="21"/>
          <w:highlight w:val="none"/>
          <w:lang w:val="en-US" w:eastAsia="zh-CN"/>
        </w:rPr>
      </w:pPr>
      <w:r>
        <w:rPr>
          <w:color w:val="auto"/>
        </w:rPr>
        <w:drawing>
          <wp:inline distT="0" distB="0" distL="114300" distR="114300">
            <wp:extent cx="5524500" cy="7658100"/>
            <wp:effectExtent l="0" t="0" r="0" b="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4"/>
                    <a:stretch>
                      <a:fillRect/>
                    </a:stretch>
                  </pic:blipFill>
                  <pic:spPr>
                    <a:xfrm>
                      <a:off x="0" y="0"/>
                      <a:ext cx="5524500" cy="7658100"/>
                    </a:xfrm>
                    <a:prstGeom prst="rect">
                      <a:avLst/>
                    </a:prstGeom>
                    <a:noFill/>
                    <a:ln>
                      <a:noFill/>
                    </a:ln>
                  </pic:spPr>
                </pic:pic>
              </a:graphicData>
            </a:graphic>
          </wp:inline>
        </w:drawing>
      </w:r>
      <w:r>
        <w:rPr>
          <w:color w:val="auto"/>
        </w:rPr>
        <w:drawing>
          <wp:inline distT="0" distB="0" distL="114300" distR="114300">
            <wp:extent cx="5552440" cy="7943215"/>
            <wp:effectExtent l="0" t="0" r="10160" b="63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5"/>
                    <a:stretch>
                      <a:fillRect/>
                    </a:stretch>
                  </pic:blipFill>
                  <pic:spPr>
                    <a:xfrm>
                      <a:off x="0" y="0"/>
                      <a:ext cx="5552440" cy="7943215"/>
                    </a:xfrm>
                    <a:prstGeom prst="rect">
                      <a:avLst/>
                    </a:prstGeom>
                    <a:noFill/>
                    <a:ln>
                      <a:noFill/>
                    </a:ln>
                  </pic:spPr>
                </pic:pic>
              </a:graphicData>
            </a:graphic>
          </wp:inline>
        </w:drawing>
      </w:r>
      <w:r>
        <w:rPr>
          <w:color w:val="auto"/>
        </w:rPr>
        <w:drawing>
          <wp:inline distT="0" distB="0" distL="114300" distR="114300">
            <wp:extent cx="5410200" cy="7581900"/>
            <wp:effectExtent l="0" t="0" r="0" b="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6"/>
                    <a:stretch>
                      <a:fillRect/>
                    </a:stretch>
                  </pic:blipFill>
                  <pic:spPr>
                    <a:xfrm>
                      <a:off x="0" y="0"/>
                      <a:ext cx="5410200" cy="7581900"/>
                    </a:xfrm>
                    <a:prstGeom prst="rect">
                      <a:avLst/>
                    </a:prstGeom>
                    <a:noFill/>
                    <a:ln>
                      <a:noFill/>
                    </a:ln>
                  </pic:spPr>
                </pic:pic>
              </a:graphicData>
            </a:graphic>
          </wp:inline>
        </w:drawing>
      </w:r>
      <w:r>
        <w:rPr>
          <w:color w:val="auto"/>
        </w:rPr>
        <w:drawing>
          <wp:inline distT="0" distB="0" distL="114300" distR="114300">
            <wp:extent cx="5471160" cy="7619365"/>
            <wp:effectExtent l="0" t="0" r="15240" b="63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37"/>
                    <a:stretch>
                      <a:fillRect/>
                    </a:stretch>
                  </pic:blipFill>
                  <pic:spPr>
                    <a:xfrm>
                      <a:off x="0" y="0"/>
                      <a:ext cx="5471160" cy="7619365"/>
                    </a:xfrm>
                    <a:prstGeom prst="rect">
                      <a:avLst/>
                    </a:prstGeom>
                    <a:noFill/>
                    <a:ln>
                      <a:noFill/>
                    </a:ln>
                  </pic:spPr>
                </pic:pic>
              </a:graphicData>
            </a:graphic>
          </wp:inline>
        </w:drawing>
      </w:r>
      <w:r>
        <w:rPr>
          <w:color w:val="auto"/>
        </w:rPr>
        <w:drawing>
          <wp:inline distT="0" distB="0" distL="114300" distR="114300">
            <wp:extent cx="5572125" cy="7846060"/>
            <wp:effectExtent l="0" t="0" r="9525" b="254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38"/>
                    <a:stretch>
                      <a:fillRect/>
                    </a:stretch>
                  </pic:blipFill>
                  <pic:spPr>
                    <a:xfrm>
                      <a:off x="0" y="0"/>
                      <a:ext cx="5572125" cy="7846060"/>
                    </a:xfrm>
                    <a:prstGeom prst="rect">
                      <a:avLst/>
                    </a:prstGeom>
                    <a:noFill/>
                    <a:ln>
                      <a:noFill/>
                    </a:ln>
                  </pic:spPr>
                </pic:pic>
              </a:graphicData>
            </a:graphic>
          </wp:inline>
        </w:drawing>
      </w:r>
    </w:p>
    <w:p w14:paraId="1B5C8C36">
      <w:pPr>
        <w:rPr>
          <w:rFonts w:hint="eastAsia" w:eastAsia="宋体" w:cs="Times New Roman"/>
          <w:color w:val="auto"/>
          <w:sz w:val="21"/>
          <w:szCs w:val="21"/>
          <w:highlight w:val="none"/>
          <w:lang w:val="en-US" w:eastAsia="zh-CN"/>
        </w:rPr>
      </w:pPr>
    </w:p>
    <w:p w14:paraId="5EC54710">
      <w:pPr>
        <w:rPr>
          <w:rFonts w:hint="eastAsia" w:eastAsia="宋体" w:cs="Times New Roman"/>
          <w:color w:val="auto"/>
          <w:sz w:val="21"/>
          <w:szCs w:val="21"/>
          <w:highlight w:val="none"/>
          <w:lang w:val="en-US" w:eastAsia="zh-CN"/>
        </w:rPr>
      </w:pPr>
    </w:p>
    <w:p w14:paraId="128A433B">
      <w:pPr>
        <w:pStyle w:val="2"/>
        <w:rPr>
          <w:rFonts w:hint="default"/>
          <w:color w:val="auto"/>
          <w:highlight w:val="none"/>
          <w:lang w:val="en-US" w:eastAsia="zh-CN"/>
        </w:rPr>
      </w:pPr>
    </w:p>
    <w:p w14:paraId="701FB00B">
      <w:pPr>
        <w:pStyle w:val="5"/>
        <w:ind w:left="0" w:leftChars="0"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附件5</w:t>
      </w:r>
      <w:r>
        <w:rPr>
          <w:rFonts w:hint="eastAsia" w:ascii="宋体" w:hAnsi="宋体" w:eastAsia="宋体" w:cs="宋体"/>
          <w:color w:val="auto"/>
          <w:sz w:val="21"/>
          <w:szCs w:val="21"/>
          <w:highlight w:val="none"/>
        </w:rPr>
        <w:t>生物质成型</w:t>
      </w:r>
      <w:r>
        <w:rPr>
          <w:rFonts w:hint="eastAsia" w:ascii="宋体" w:hAnsi="宋体" w:eastAsia="宋体" w:cs="宋体"/>
          <w:color w:val="auto"/>
          <w:sz w:val="21"/>
          <w:szCs w:val="21"/>
          <w:highlight w:val="none"/>
          <w:lang w:eastAsia="zh-CN"/>
        </w:rPr>
        <w:t>压块</w:t>
      </w:r>
      <w:r>
        <w:rPr>
          <w:rFonts w:hint="eastAsia" w:ascii="宋体" w:hAnsi="宋体" w:eastAsia="宋体" w:cs="宋体"/>
          <w:color w:val="auto"/>
          <w:sz w:val="21"/>
          <w:szCs w:val="21"/>
          <w:highlight w:val="none"/>
        </w:rPr>
        <w:t>分析报告</w:t>
      </w:r>
    </w:p>
    <w:p w14:paraId="709EEA44">
      <w:pPr>
        <w:bidi w:val="0"/>
        <w:rPr>
          <w:rFonts w:hint="eastAsia"/>
          <w:color w:val="auto"/>
          <w:highlight w:val="none"/>
        </w:rPr>
      </w:pPr>
      <w:r>
        <w:rPr>
          <w:rFonts w:ascii="等线" w:hAnsi="等线" w:eastAsia="等线" w:cs="等线"/>
          <w:color w:val="auto"/>
          <w:kern w:val="0"/>
          <w:sz w:val="24"/>
          <w:szCs w:val="18"/>
        </w:rPr>
        <w:drawing>
          <wp:inline distT="0" distB="0" distL="114300" distR="114300">
            <wp:extent cx="5892165" cy="7951470"/>
            <wp:effectExtent l="0" t="0" r="13335" b="11430"/>
            <wp:docPr id="4" name="图片 4" descr="微信截图_2023082809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截图_20230828092234"/>
                    <pic:cNvPicPr>
                      <a:picLocks noChangeAspect="1"/>
                    </pic:cNvPicPr>
                  </pic:nvPicPr>
                  <pic:blipFill>
                    <a:blip r:embed="rId39">
                      <a:lum bright="20001"/>
                    </a:blip>
                    <a:stretch>
                      <a:fillRect/>
                    </a:stretch>
                  </pic:blipFill>
                  <pic:spPr>
                    <a:xfrm>
                      <a:off x="0" y="0"/>
                      <a:ext cx="5892165" cy="7951470"/>
                    </a:xfrm>
                    <a:prstGeom prst="rect">
                      <a:avLst/>
                    </a:prstGeom>
                    <a:noFill/>
                    <a:ln>
                      <a:noFill/>
                    </a:ln>
                  </pic:spPr>
                </pic:pic>
              </a:graphicData>
            </a:graphic>
          </wp:inline>
        </w:drawing>
      </w:r>
    </w:p>
    <w:p w14:paraId="33F6DFB4">
      <w:pPr>
        <w:bidi w:val="0"/>
        <w:rPr>
          <w:rFonts w:hint="default" w:ascii="Times New Roman" w:hAnsi="Times New Roman" w:eastAsia="宋体" w:cs="Times New Roman"/>
          <w:color w:val="auto"/>
          <w:sz w:val="21"/>
          <w:szCs w:val="21"/>
          <w:highlight w:val="none"/>
        </w:rPr>
      </w:pPr>
    </w:p>
    <w:p w14:paraId="6028EE71">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br w:type="page"/>
      </w:r>
    </w:p>
    <w:p w14:paraId="40CC7E64">
      <w:pPr>
        <w:pStyle w:val="5"/>
        <w:spacing w:line="260" w:lineRule="auto"/>
        <w:ind w:left="0" w:firstLine="0"/>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6 核定排放量计算说明</w:t>
      </w:r>
    </w:p>
    <w:p w14:paraId="65B5C0A6">
      <w:pPr>
        <w:keepNext w:val="0"/>
        <w:keepLines w:val="0"/>
        <w:pageBreakBefore w:val="0"/>
        <w:widowControl/>
        <w:numPr>
          <w:ilvl w:val="0"/>
          <w:numId w:val="3"/>
        </w:numPr>
        <w:kinsoku/>
        <w:wordWrap/>
        <w:overflowPunct/>
        <w:topLinePunct w:val="0"/>
        <w:autoSpaceDE/>
        <w:autoSpaceDN/>
        <w:bidi w:val="0"/>
        <w:adjustRightInd/>
        <w:snapToGrid/>
        <w:spacing w:line="360" w:lineRule="auto"/>
        <w:ind w:firstLine="422" w:firstLineChars="200"/>
        <w:textAlignment w:val="auto"/>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14:paraId="4E12FC14">
      <w:pPr>
        <w:pStyle w:val="155"/>
        <w:adjustRightInd w:val="0"/>
        <w:snapToGrid w:val="0"/>
        <w:spacing w:line="360" w:lineRule="auto"/>
        <w:ind w:firstLineChars="200"/>
        <w:rPr>
          <w:rFonts w:eastAsia="宋体"/>
          <w:color w:val="auto"/>
          <w:sz w:val="21"/>
          <w:szCs w:val="21"/>
          <w:highlight w:val="none"/>
        </w:rPr>
      </w:pPr>
      <w:r>
        <w:rPr>
          <w:rFonts w:hint="eastAsia"/>
          <w:color w:val="auto"/>
          <w:sz w:val="21"/>
          <w:szCs w:val="21"/>
          <w:highlight w:val="none"/>
          <w:lang w:val="en-US" w:eastAsia="zh-CN"/>
        </w:rPr>
        <w:t>1、热风炉污染物：</w:t>
      </w:r>
      <w:r>
        <w:rPr>
          <w:rFonts w:eastAsia="宋体"/>
          <w:color w:val="auto"/>
          <w:sz w:val="21"/>
          <w:szCs w:val="21"/>
          <w:highlight w:val="none"/>
        </w:rPr>
        <w:t>根据《排污许可证申请与核发技术规范 工业炉窑》（HJ1121-2020）中表6取值表计算本项目</w:t>
      </w:r>
      <w:r>
        <w:rPr>
          <w:rFonts w:hint="eastAsia"/>
          <w:color w:val="auto"/>
          <w:sz w:val="21"/>
          <w:szCs w:val="21"/>
          <w:highlight w:val="none"/>
          <w:lang w:val="en-US" w:eastAsia="zh-CN"/>
        </w:rPr>
        <w:t>颗粒物</w:t>
      </w:r>
      <w:r>
        <w:rPr>
          <w:rFonts w:hint="eastAsia"/>
          <w:color w:val="auto"/>
          <w:sz w:val="21"/>
          <w:szCs w:val="21"/>
          <w:highlight w:val="none"/>
          <w:lang w:eastAsia="zh-CN"/>
        </w:rPr>
        <w:t>、二氧化硫、</w:t>
      </w:r>
      <w:r>
        <w:rPr>
          <w:rFonts w:eastAsia="宋体"/>
          <w:color w:val="auto"/>
          <w:sz w:val="21"/>
          <w:szCs w:val="21"/>
          <w:highlight w:val="none"/>
        </w:rPr>
        <w:t>氮氧化物绩效值。</w:t>
      </w:r>
      <w:r>
        <w:rPr>
          <w:rFonts w:hint="default" w:ascii="Times New Roman" w:hAnsi="Times New Roman" w:cs="Times New Roman"/>
          <w:color w:val="auto"/>
          <w:sz w:val="21"/>
          <w:szCs w:val="21"/>
          <w:highlight w:val="none"/>
        </w:rPr>
        <w:t>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17.52</w:t>
      </w:r>
      <w:r>
        <w:rPr>
          <w:rFonts w:hint="default" w:ascii="Times New Roman" w:hAnsi="Times New Roman" w:cs="Times New Roman"/>
          <w:color w:val="auto"/>
          <w:sz w:val="21"/>
          <w:szCs w:val="21"/>
          <w:highlight w:val="none"/>
        </w:rPr>
        <w:t>MJ/kg</w:t>
      </w:r>
      <w:r>
        <w:rPr>
          <w:rFonts w:eastAsia="宋体"/>
          <w:color w:val="auto"/>
          <w:sz w:val="21"/>
          <w:szCs w:val="21"/>
          <w:highlight w:val="none"/>
        </w:rPr>
        <w:t>，采用插值法计算绩效值：</w:t>
      </w:r>
    </w:p>
    <w:p w14:paraId="30E51E61">
      <w:pPr>
        <w:pStyle w:val="155"/>
        <w:adjustRightInd w:val="0"/>
        <w:snapToGrid w:val="0"/>
        <w:spacing w:line="360" w:lineRule="auto"/>
        <w:ind w:left="0" w:leftChars="0" w:firstLine="0" w:firstLineChars="0"/>
        <w:rPr>
          <w:rFonts w:hint="eastAsia"/>
          <w:color w:val="auto"/>
          <w:sz w:val="21"/>
          <w:szCs w:val="21"/>
          <w:highlight w:val="none"/>
          <w:lang w:val="en-US" w:eastAsia="zh-CN"/>
        </w:rPr>
      </w:pPr>
      <w:r>
        <w:rPr>
          <w:rFonts w:hint="eastAsia"/>
          <w:color w:val="auto"/>
          <w:sz w:val="21"/>
          <w:szCs w:val="21"/>
          <w:highlight w:val="none"/>
          <w:lang w:eastAsia="zh-CN"/>
        </w:rPr>
        <w:t>颗粒物</w:t>
      </w:r>
      <w:r>
        <w:rPr>
          <w:rFonts w:eastAsia="宋体"/>
          <w:color w:val="auto"/>
          <w:sz w:val="21"/>
          <w:szCs w:val="21"/>
          <w:highlight w:val="none"/>
        </w:rPr>
        <w:t>绩效值</w:t>
      </w:r>
      <w:r>
        <w:rPr>
          <w:rFonts w:hint="eastAsia"/>
          <w:color w:val="auto"/>
          <w:sz w:val="21"/>
          <w:szCs w:val="21"/>
          <w:highlight w:val="none"/>
          <w:lang w:val="en-US" w:eastAsia="zh-CN"/>
        </w:rPr>
        <w:t>=0.252+（0.276-0.252）×（17.52-16.75）÷（18.84-16.75）=0.261kg/t原料</w:t>
      </w:r>
    </w:p>
    <w:p w14:paraId="0834EDD5">
      <w:pPr>
        <w:pStyle w:val="155"/>
        <w:adjustRightInd w:val="0"/>
        <w:snapToGrid w:val="0"/>
        <w:spacing w:line="360" w:lineRule="auto"/>
        <w:ind w:left="0" w:leftChars="0" w:firstLine="0" w:firstLineChars="0"/>
        <w:rPr>
          <w:rFonts w:hint="default"/>
          <w:color w:val="auto"/>
          <w:sz w:val="21"/>
          <w:szCs w:val="21"/>
          <w:highlight w:val="none"/>
          <w:lang w:val="en-US" w:eastAsia="zh-CN"/>
        </w:rPr>
      </w:pPr>
      <w:r>
        <w:rPr>
          <w:rFonts w:hint="eastAsia"/>
          <w:color w:val="auto"/>
          <w:sz w:val="21"/>
          <w:szCs w:val="21"/>
          <w:highlight w:val="none"/>
          <w:lang w:eastAsia="zh-CN"/>
        </w:rPr>
        <w:t>二氧化硫</w:t>
      </w:r>
      <w:r>
        <w:rPr>
          <w:rFonts w:hint="eastAsia"/>
          <w:color w:val="auto"/>
          <w:sz w:val="21"/>
          <w:szCs w:val="21"/>
          <w:highlight w:val="none"/>
          <w:lang w:val="en-US" w:eastAsia="zh-CN"/>
        </w:rPr>
        <w:t>绩效值=0.839+（0.919-0.839）×（17.52-16.75）÷（18.84-16.75）=0.868kg/t原料</w:t>
      </w:r>
    </w:p>
    <w:p w14:paraId="0643B457">
      <w:pPr>
        <w:pStyle w:val="155"/>
        <w:adjustRightInd w:val="0"/>
        <w:snapToGrid w:val="0"/>
        <w:spacing w:line="360" w:lineRule="auto"/>
        <w:ind w:left="0" w:leftChars="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氮氧化合物绩效值=2.516+（2.756-2.516）×（17.52-16.75）÷（18.84-16.75）=2.604kg/t原料</w:t>
      </w:r>
    </w:p>
    <w:p w14:paraId="7A0E9B95">
      <w:pPr>
        <w:pStyle w:val="155"/>
        <w:adjustRightInd w:val="0"/>
        <w:snapToGrid w:val="0"/>
        <w:spacing w:line="500" w:lineRule="exact"/>
        <w:ind w:firstLine="0"/>
        <w:jc w:val="center"/>
        <w:rPr>
          <w:rFonts w:eastAsia="宋体"/>
          <w:b/>
          <w:bCs/>
          <w:color w:val="auto"/>
          <w:sz w:val="21"/>
          <w:szCs w:val="21"/>
          <w:highlight w:val="none"/>
        </w:rPr>
      </w:pPr>
      <w:r>
        <w:rPr>
          <w:rFonts w:eastAsia="宋体"/>
          <w:b/>
          <w:bCs/>
          <w:color w:val="auto"/>
          <w:sz w:val="21"/>
          <w:szCs w:val="21"/>
          <w:highlight w:val="none"/>
        </w:rPr>
        <w:t>表1加热炉、热处理炉、干燥炉（窑）排放口参考绩效值表</w:t>
      </w:r>
    </w:p>
    <w:p w14:paraId="0459221C">
      <w:pPr>
        <w:pStyle w:val="155"/>
        <w:adjustRightInd w:val="0"/>
        <w:snapToGrid w:val="0"/>
        <w:ind w:firstLine="0"/>
        <w:jc w:val="center"/>
        <w:rPr>
          <w:rFonts w:eastAsia="宋体"/>
          <w:color w:val="auto"/>
          <w:sz w:val="21"/>
          <w:szCs w:val="21"/>
          <w:highlight w:val="none"/>
        </w:rPr>
      </w:pPr>
      <w:r>
        <w:rPr>
          <w:color w:val="auto"/>
          <w:highlight w:val="none"/>
        </w:rPr>
        <w:drawing>
          <wp:inline distT="0" distB="0" distL="114300" distR="114300">
            <wp:extent cx="5274310" cy="1818640"/>
            <wp:effectExtent l="0" t="0" r="2540" b="1016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40"/>
                    <a:stretch>
                      <a:fillRect/>
                    </a:stretch>
                  </pic:blipFill>
                  <pic:spPr>
                    <a:xfrm>
                      <a:off x="0" y="0"/>
                      <a:ext cx="5274310" cy="1818640"/>
                    </a:xfrm>
                    <a:prstGeom prst="rect">
                      <a:avLst/>
                    </a:prstGeom>
                    <a:noFill/>
                    <a:ln>
                      <a:noFill/>
                    </a:ln>
                  </pic:spPr>
                </pic:pic>
              </a:graphicData>
            </a:graphic>
          </wp:inline>
        </w:drawing>
      </w:r>
    </w:p>
    <w:p w14:paraId="719B880A">
      <w:pPr>
        <w:pStyle w:val="155"/>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根据《排污许可证申请与核发技术规范 工业炉窑》（HJ1121-2020）绩效值法核算方法</w:t>
      </w:r>
    </w:p>
    <w:p w14:paraId="52455DEF">
      <w:pPr>
        <w:spacing w:line="360" w:lineRule="auto"/>
        <w:jc w:val="center"/>
        <w:rPr>
          <w:color w:val="auto"/>
          <w:szCs w:val="21"/>
          <w:highlight w:val="none"/>
        </w:rPr>
      </w:pPr>
      <w:r>
        <w:rPr>
          <w:color w:val="auto"/>
          <w:szCs w:val="21"/>
          <w:highlight w:val="none"/>
        </w:rPr>
        <w:drawing>
          <wp:inline distT="0" distB="0" distL="114300" distR="114300">
            <wp:extent cx="1423035" cy="742315"/>
            <wp:effectExtent l="0" t="0" r="5715" b="63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41"/>
                    <a:stretch>
                      <a:fillRect/>
                    </a:stretch>
                  </pic:blipFill>
                  <pic:spPr>
                    <a:xfrm>
                      <a:off x="0" y="0"/>
                      <a:ext cx="1423035" cy="742315"/>
                    </a:xfrm>
                    <a:prstGeom prst="rect">
                      <a:avLst/>
                    </a:prstGeom>
                    <a:noFill/>
                    <a:ln>
                      <a:noFill/>
                    </a:ln>
                  </pic:spPr>
                </pic:pic>
              </a:graphicData>
            </a:graphic>
          </wp:inline>
        </w:drawing>
      </w:r>
    </w:p>
    <w:p w14:paraId="41265F69">
      <w:pPr>
        <w:pStyle w:val="155"/>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式中：Mi——第i个排放口污染物年许可排放量，t；</w:t>
      </w:r>
    </w:p>
    <w:p w14:paraId="4E15396F">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R——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eastAsia="宋体"/>
          <w:color w:val="auto"/>
          <w:sz w:val="21"/>
          <w:szCs w:val="21"/>
          <w:highlight w:val="none"/>
          <w:vertAlign w:val="superscript"/>
        </w:rPr>
        <w:t>3</w:t>
      </w:r>
      <w:r>
        <w:rPr>
          <w:rFonts w:eastAsia="宋体"/>
          <w:color w:val="auto"/>
          <w:sz w:val="21"/>
          <w:szCs w:val="21"/>
          <w:highlight w:val="none"/>
        </w:rPr>
        <w:t>；</w:t>
      </w:r>
    </w:p>
    <w:p w14:paraId="56286C97">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G——绩效值，kg/t产品，kg/t燃料或kg/m</w:t>
      </w:r>
      <w:r>
        <w:rPr>
          <w:rFonts w:eastAsia="宋体"/>
          <w:color w:val="auto"/>
          <w:sz w:val="21"/>
          <w:szCs w:val="21"/>
          <w:highlight w:val="none"/>
          <w:vertAlign w:val="superscript"/>
        </w:rPr>
        <w:t>3</w:t>
      </w:r>
      <w:r>
        <w:rPr>
          <w:rFonts w:eastAsia="宋体"/>
          <w:color w:val="auto"/>
          <w:sz w:val="21"/>
          <w:szCs w:val="21"/>
          <w:highlight w:val="none"/>
        </w:rPr>
        <w:t>燃料；</w:t>
      </w:r>
    </w:p>
    <w:p w14:paraId="4E9A142A">
      <w:pPr>
        <w:pStyle w:val="155"/>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年许可</w:t>
      </w:r>
      <w:r>
        <w:rPr>
          <w:rFonts w:eastAsia="宋体"/>
          <w:color w:val="auto"/>
          <w:sz w:val="21"/>
          <w:szCs w:val="21"/>
          <w:highlight w:val="none"/>
        </w:rPr>
        <w:t>——污染物年许可排放量，t。</w:t>
      </w:r>
    </w:p>
    <w:p w14:paraId="5B432D29">
      <w:pPr>
        <w:pStyle w:val="155"/>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本项目为一个烟囱排放口则i=1，设计消耗量</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92726万</w:t>
      </w:r>
      <w:r>
        <w:rPr>
          <w:rFonts w:eastAsia="宋体"/>
          <w:color w:val="auto"/>
          <w:sz w:val="21"/>
          <w:szCs w:val="21"/>
          <w:highlight w:val="none"/>
        </w:rPr>
        <w:t>t/a</w:t>
      </w:r>
    </w:p>
    <w:p w14:paraId="0523E891">
      <w:pPr>
        <w:pStyle w:val="155"/>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则E</w:t>
      </w:r>
      <w:r>
        <w:rPr>
          <w:rFonts w:hint="eastAsia"/>
          <w:color w:val="auto"/>
          <w:sz w:val="21"/>
          <w:szCs w:val="21"/>
          <w:highlight w:val="none"/>
          <w:vertAlign w:val="subscript"/>
          <w:lang w:eastAsia="zh-CN"/>
        </w:rPr>
        <w:t>颗粒物</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92726万t</w:t>
      </w:r>
      <w:r>
        <w:rPr>
          <w:rFonts w:eastAsia="宋体"/>
          <w:color w:val="auto"/>
          <w:sz w:val="21"/>
          <w:szCs w:val="21"/>
          <w:highlight w:val="none"/>
        </w:rPr>
        <w:t>×0.</w:t>
      </w:r>
      <w:r>
        <w:rPr>
          <w:rFonts w:hint="eastAsia" w:eastAsia="宋体"/>
          <w:color w:val="auto"/>
          <w:sz w:val="21"/>
          <w:szCs w:val="21"/>
          <w:highlight w:val="none"/>
          <w:lang w:val="en-US" w:eastAsia="zh-CN"/>
        </w:rPr>
        <w:t>2</w:t>
      </w:r>
      <w:r>
        <w:rPr>
          <w:rFonts w:hint="eastAsia"/>
          <w:color w:val="auto"/>
          <w:sz w:val="21"/>
          <w:szCs w:val="21"/>
          <w:highlight w:val="none"/>
          <w:lang w:val="en-US" w:eastAsia="zh-CN"/>
        </w:rPr>
        <w:t>61</w:t>
      </w:r>
      <w:r>
        <w:rPr>
          <w:rFonts w:eastAsia="宋体"/>
          <w:color w:val="auto"/>
          <w:sz w:val="21"/>
          <w:szCs w:val="21"/>
          <w:highlight w:val="none"/>
        </w:rPr>
        <w:t>×10=</w:t>
      </w:r>
      <w:r>
        <w:rPr>
          <w:rFonts w:hint="eastAsia"/>
          <w:color w:val="auto"/>
          <w:sz w:val="21"/>
          <w:szCs w:val="21"/>
          <w:highlight w:val="none"/>
          <w:lang w:val="en-US" w:eastAsia="zh-CN"/>
        </w:rPr>
        <w:t>2.42</w:t>
      </w:r>
      <w:r>
        <w:rPr>
          <w:rFonts w:eastAsia="宋体"/>
          <w:color w:val="auto"/>
          <w:sz w:val="21"/>
          <w:szCs w:val="21"/>
          <w:highlight w:val="none"/>
        </w:rPr>
        <w:t>t</w:t>
      </w:r>
    </w:p>
    <w:p w14:paraId="47D3B72F">
      <w:pPr>
        <w:pStyle w:val="155"/>
        <w:adjustRightInd w:val="0"/>
        <w:snapToGrid w:val="0"/>
        <w:spacing w:line="360" w:lineRule="auto"/>
        <w:ind w:firstLine="630" w:firstLineChars="300"/>
        <w:rPr>
          <w:rFonts w:hint="default" w:eastAsia="宋体"/>
          <w:color w:val="auto"/>
          <w:sz w:val="21"/>
          <w:szCs w:val="21"/>
          <w:highlight w:val="none"/>
          <w:lang w:val="en-US"/>
        </w:rPr>
      </w:pPr>
      <w:r>
        <w:rPr>
          <w:rFonts w:eastAsia="宋体"/>
          <w:color w:val="auto"/>
          <w:sz w:val="21"/>
          <w:szCs w:val="21"/>
          <w:highlight w:val="none"/>
        </w:rPr>
        <w:t>E</w:t>
      </w:r>
      <w:r>
        <w:rPr>
          <w:rFonts w:hint="eastAsia" w:eastAsia="宋体"/>
          <w:color w:val="auto"/>
          <w:sz w:val="21"/>
          <w:szCs w:val="21"/>
          <w:highlight w:val="none"/>
          <w:vertAlign w:val="subscript"/>
          <w:lang w:val="en-US" w:eastAsia="zh-CN"/>
        </w:rPr>
        <w:t>SO2</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92726万</w:t>
      </w:r>
      <w:r>
        <w:rPr>
          <w:rFonts w:eastAsia="宋体"/>
          <w:color w:val="auto"/>
          <w:sz w:val="21"/>
          <w:szCs w:val="21"/>
          <w:highlight w:val="none"/>
        </w:rPr>
        <w:t>t×</w:t>
      </w:r>
      <w:r>
        <w:rPr>
          <w:rFonts w:hint="eastAsia" w:eastAsia="宋体"/>
          <w:color w:val="auto"/>
          <w:sz w:val="21"/>
          <w:szCs w:val="21"/>
          <w:highlight w:val="none"/>
          <w:lang w:val="en-US" w:eastAsia="zh-CN"/>
        </w:rPr>
        <w:t>0.</w:t>
      </w:r>
      <w:r>
        <w:rPr>
          <w:rFonts w:hint="eastAsia"/>
          <w:color w:val="auto"/>
          <w:sz w:val="21"/>
          <w:szCs w:val="21"/>
          <w:highlight w:val="none"/>
          <w:lang w:val="en-US" w:eastAsia="zh-CN"/>
        </w:rPr>
        <w:t>868</w:t>
      </w:r>
      <w:r>
        <w:rPr>
          <w:rFonts w:eastAsia="宋体"/>
          <w:color w:val="auto"/>
          <w:sz w:val="21"/>
          <w:szCs w:val="21"/>
          <w:highlight w:val="none"/>
        </w:rPr>
        <w:t>×10=</w:t>
      </w:r>
      <w:r>
        <w:rPr>
          <w:rFonts w:hint="eastAsia"/>
          <w:color w:val="auto"/>
          <w:sz w:val="21"/>
          <w:szCs w:val="21"/>
          <w:highlight w:val="none"/>
          <w:lang w:val="en-US" w:eastAsia="zh-CN"/>
        </w:rPr>
        <w:t>8.049t</w:t>
      </w:r>
    </w:p>
    <w:p w14:paraId="0C290211">
      <w:pPr>
        <w:pStyle w:val="155"/>
        <w:adjustRightInd w:val="0"/>
        <w:snapToGrid w:val="0"/>
        <w:spacing w:line="360" w:lineRule="auto"/>
        <w:ind w:firstLine="630" w:firstLineChars="3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NOX</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92726万</w:t>
      </w:r>
      <w:r>
        <w:rPr>
          <w:rFonts w:eastAsia="宋体"/>
          <w:color w:val="auto"/>
          <w:sz w:val="21"/>
          <w:szCs w:val="21"/>
          <w:highlight w:val="none"/>
        </w:rPr>
        <w:t>t×</w:t>
      </w:r>
      <w:r>
        <w:rPr>
          <w:rFonts w:hint="eastAsia" w:eastAsia="宋体"/>
          <w:color w:val="auto"/>
          <w:sz w:val="21"/>
          <w:szCs w:val="21"/>
          <w:highlight w:val="none"/>
          <w:lang w:val="en-US" w:eastAsia="zh-CN"/>
        </w:rPr>
        <w:t>2</w:t>
      </w:r>
      <w:r>
        <w:rPr>
          <w:rFonts w:hint="eastAsia"/>
          <w:color w:val="auto"/>
          <w:sz w:val="21"/>
          <w:szCs w:val="21"/>
          <w:highlight w:val="none"/>
          <w:lang w:val="en-US" w:eastAsia="zh-CN"/>
        </w:rPr>
        <w:t>.604</w:t>
      </w:r>
      <w:r>
        <w:rPr>
          <w:rFonts w:eastAsia="宋体"/>
          <w:color w:val="auto"/>
          <w:sz w:val="21"/>
          <w:szCs w:val="21"/>
          <w:highlight w:val="none"/>
        </w:rPr>
        <w:t>×10=</w:t>
      </w:r>
      <w:r>
        <w:rPr>
          <w:rFonts w:hint="eastAsia"/>
          <w:color w:val="auto"/>
          <w:sz w:val="21"/>
          <w:szCs w:val="21"/>
          <w:highlight w:val="none"/>
          <w:lang w:val="en-US" w:eastAsia="zh-CN"/>
        </w:rPr>
        <w:t>24.146</w:t>
      </w:r>
      <w:r>
        <w:rPr>
          <w:rFonts w:eastAsia="宋体"/>
          <w:color w:val="auto"/>
          <w:sz w:val="21"/>
          <w:szCs w:val="21"/>
          <w:highlight w:val="none"/>
        </w:rPr>
        <w:t>t</w:t>
      </w:r>
    </w:p>
    <w:p w14:paraId="544CDB00">
      <w:pPr>
        <w:pStyle w:val="156"/>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color w:val="auto"/>
          <w:spacing w:val="0"/>
          <w:sz w:val="21"/>
          <w:szCs w:val="21"/>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bookmarkStart w:id="15" w:name="_Toc219"/>
      <w:r>
        <w:rPr>
          <w:rFonts w:hint="eastAsia" w:ascii="Times New Roman" w:hAnsi="Times New Roman" w:eastAsia="宋体" w:cs="Times New Roman"/>
          <w:color w:val="auto"/>
          <w:spacing w:val="0"/>
          <w:kern w:val="2"/>
          <w:sz w:val="21"/>
          <w:szCs w:val="21"/>
          <w:highlight w:val="none"/>
          <w:lang w:val="en-US" w:eastAsia="zh-CN" w:bidi="ar-SA"/>
        </w:rPr>
        <w:t>3、</w:t>
      </w:r>
      <w:r>
        <w:rPr>
          <w:rFonts w:cs="Times New Roman"/>
          <w:color w:val="auto"/>
          <w:spacing w:val="0"/>
          <w:sz w:val="21"/>
          <w:szCs w:val="21"/>
          <w:highlight w:val="none"/>
        </w:rPr>
        <w:t>厂区无组织排放粉尘</w:t>
      </w:r>
      <w:r>
        <w:rPr>
          <w:rFonts w:hint="eastAsia" w:cs="Times New Roman"/>
          <w:color w:val="auto"/>
          <w:spacing w:val="0"/>
          <w:sz w:val="21"/>
          <w:szCs w:val="21"/>
          <w:highlight w:val="none"/>
          <w:lang w:val="en-US" w:eastAsia="zh-CN"/>
        </w:rPr>
        <w:t>量为3.15t/a，</w:t>
      </w:r>
      <w:r>
        <w:rPr>
          <w:rFonts w:hint="default" w:ascii="Times New Roman" w:hAnsi="Times New Roman" w:cs="Times New Roman"/>
          <w:color w:val="auto"/>
          <w:sz w:val="21"/>
          <w:szCs w:val="21"/>
          <w:highlight w:val="none"/>
          <w:lang w:val="en-US" w:eastAsia="zh-CN"/>
        </w:rPr>
        <w:t>则本项目颗粒物核定排放总量为</w:t>
      </w:r>
      <w:r>
        <w:rPr>
          <w:rFonts w:hint="eastAsia"/>
          <w:color w:val="auto"/>
          <w:sz w:val="21"/>
          <w:szCs w:val="21"/>
          <w:highlight w:val="none"/>
          <w:lang w:val="en-US" w:eastAsia="zh-CN"/>
        </w:rPr>
        <w:t>2.42</w:t>
      </w:r>
      <w:r>
        <w:rPr>
          <w:rFonts w:hint="default" w:ascii="Times New Roman" w:hAnsi="Times New Roman" w:cs="Times New Roman"/>
          <w:color w:val="auto"/>
          <w:spacing w:val="0"/>
          <w:sz w:val="21"/>
          <w:szCs w:val="21"/>
          <w:highlight w:val="none"/>
          <w:lang w:val="en-US" w:eastAsia="zh-CN"/>
        </w:rPr>
        <w:t>t/a，二氧化硫</w:t>
      </w:r>
      <w:r>
        <w:rPr>
          <w:rFonts w:hint="default" w:ascii="Times New Roman" w:hAnsi="Times New Roman" w:cs="Times New Roman"/>
          <w:color w:val="auto"/>
          <w:sz w:val="21"/>
          <w:szCs w:val="21"/>
          <w:highlight w:val="none"/>
          <w:lang w:val="en-US" w:eastAsia="zh-CN"/>
        </w:rPr>
        <w:t>核定排放总量为</w:t>
      </w:r>
      <w:r>
        <w:rPr>
          <w:rFonts w:hint="eastAsia"/>
          <w:color w:val="auto"/>
          <w:sz w:val="21"/>
          <w:szCs w:val="21"/>
          <w:highlight w:val="none"/>
          <w:lang w:val="en-US" w:eastAsia="zh-CN"/>
        </w:rPr>
        <w:t>8.049</w:t>
      </w:r>
      <w:r>
        <w:rPr>
          <w:rFonts w:hint="default" w:ascii="Times New Roman" w:hAnsi="Times New Roman" w:cs="Times New Roman"/>
          <w:color w:val="auto"/>
          <w:spacing w:val="0"/>
          <w:sz w:val="21"/>
          <w:szCs w:val="21"/>
          <w:highlight w:val="none"/>
          <w:lang w:val="en-US" w:eastAsia="zh-CN"/>
        </w:rPr>
        <w:t>t/a，氮氧化物</w:t>
      </w:r>
      <w:r>
        <w:rPr>
          <w:rFonts w:hint="default" w:ascii="Times New Roman" w:hAnsi="Times New Roman" w:cs="Times New Roman"/>
          <w:color w:val="auto"/>
          <w:sz w:val="21"/>
          <w:szCs w:val="21"/>
          <w:highlight w:val="none"/>
          <w:lang w:val="en-US" w:eastAsia="zh-CN"/>
        </w:rPr>
        <w:t>核定排放总量为</w:t>
      </w:r>
      <w:r>
        <w:rPr>
          <w:rFonts w:hint="eastAsia"/>
          <w:color w:val="auto"/>
          <w:sz w:val="21"/>
          <w:szCs w:val="21"/>
          <w:highlight w:val="none"/>
          <w:lang w:val="en-US" w:eastAsia="zh-CN"/>
        </w:rPr>
        <w:t>24.146</w:t>
      </w:r>
      <w:r>
        <w:rPr>
          <w:rFonts w:hint="default" w:ascii="Times New Roman" w:hAnsi="Times New Roman" w:cs="Times New Roman"/>
          <w:color w:val="auto"/>
          <w:spacing w:val="0"/>
          <w:sz w:val="21"/>
          <w:szCs w:val="21"/>
          <w:highlight w:val="none"/>
          <w:lang w:val="en-US" w:eastAsia="zh-CN"/>
        </w:rPr>
        <w:t>t/a</w:t>
      </w:r>
      <w:r>
        <w:rPr>
          <w:rFonts w:hint="eastAsia" w:cs="Times New Roman"/>
          <w:color w:val="auto"/>
          <w:spacing w:val="0"/>
          <w:sz w:val="21"/>
          <w:szCs w:val="21"/>
          <w:highlight w:val="none"/>
          <w:lang w:val="en-US" w:eastAsia="zh-CN"/>
        </w:rPr>
        <w:t>，工业粉尘3.15t/a。</w:t>
      </w:r>
    </w:p>
    <w:p w14:paraId="1AF5B41F">
      <w:pPr>
        <w:rPr>
          <w:rFonts w:hint="default" w:cs="Times New Roman"/>
          <w:b/>
          <w:bCs/>
          <w:color w:val="auto"/>
          <w:spacing w:val="0"/>
          <w:sz w:val="21"/>
          <w:szCs w:val="21"/>
          <w:highlight w:val="none"/>
          <w:lang w:val="en-US" w:eastAsia="zh-CN"/>
        </w:rPr>
      </w:pPr>
      <w:r>
        <w:rPr>
          <w:rFonts w:hint="eastAsia" w:cs="Times New Roman"/>
          <w:b/>
          <w:bCs/>
          <w:color w:val="auto"/>
          <w:spacing w:val="0"/>
          <w:sz w:val="21"/>
          <w:szCs w:val="21"/>
          <w:highlight w:val="none"/>
          <w:lang w:val="en-US" w:eastAsia="zh-CN"/>
        </w:rPr>
        <w:t>附件7生态环境分区管控分析报告</w:t>
      </w:r>
    </w:p>
    <w:p w14:paraId="322DA6FB">
      <w:pPr>
        <w:rPr>
          <w:color w:val="auto"/>
        </w:rPr>
      </w:pPr>
    </w:p>
    <w:p w14:paraId="050AB0CB">
      <w:pPr>
        <w:jc w:val="center"/>
        <w:rPr>
          <w:rFonts w:hint="default"/>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7223760" cy="4983480"/>
            <wp:effectExtent l="0" t="0" r="15240" b="762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42"/>
                    <a:stretch>
                      <a:fillRect/>
                    </a:stretch>
                  </pic:blipFill>
                  <pic:spPr>
                    <a:xfrm>
                      <a:off x="0" y="0"/>
                      <a:ext cx="7223760" cy="4983480"/>
                    </a:xfrm>
                    <a:prstGeom prst="rect">
                      <a:avLst/>
                    </a:prstGeom>
                    <a:noFill/>
                    <a:ln>
                      <a:noFill/>
                    </a:ln>
                  </pic:spPr>
                </pic:pic>
              </a:graphicData>
            </a:graphic>
          </wp:inline>
        </w:drawing>
      </w:r>
      <w:r>
        <w:rPr>
          <w:color w:val="auto"/>
        </w:rPr>
        <w:drawing>
          <wp:inline distT="0" distB="0" distL="114300" distR="114300">
            <wp:extent cx="8522970" cy="5418455"/>
            <wp:effectExtent l="0" t="0" r="11430" b="1079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43"/>
                    <a:stretch>
                      <a:fillRect/>
                    </a:stretch>
                  </pic:blipFill>
                  <pic:spPr>
                    <a:xfrm>
                      <a:off x="0" y="0"/>
                      <a:ext cx="8522970" cy="5418455"/>
                    </a:xfrm>
                    <a:prstGeom prst="rect">
                      <a:avLst/>
                    </a:prstGeom>
                    <a:noFill/>
                    <a:ln>
                      <a:noFill/>
                    </a:ln>
                  </pic:spPr>
                </pic:pic>
              </a:graphicData>
            </a:graphic>
          </wp:inline>
        </w:drawing>
      </w:r>
      <w:r>
        <w:rPr>
          <w:color w:val="auto"/>
        </w:rPr>
        <w:drawing>
          <wp:inline distT="0" distB="0" distL="114300" distR="114300">
            <wp:extent cx="8531860" cy="5676265"/>
            <wp:effectExtent l="0" t="0" r="2540" b="63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4"/>
                    <a:stretch>
                      <a:fillRect/>
                    </a:stretch>
                  </pic:blipFill>
                  <pic:spPr>
                    <a:xfrm>
                      <a:off x="0" y="0"/>
                      <a:ext cx="8531860" cy="5676265"/>
                    </a:xfrm>
                    <a:prstGeom prst="rect">
                      <a:avLst/>
                    </a:prstGeom>
                    <a:noFill/>
                    <a:ln>
                      <a:noFill/>
                    </a:ln>
                  </pic:spPr>
                </pic:pic>
              </a:graphicData>
            </a:graphic>
          </wp:inline>
        </w:drawing>
      </w:r>
      <w:r>
        <w:rPr>
          <w:color w:val="auto"/>
        </w:rPr>
        <w:drawing>
          <wp:inline distT="0" distB="0" distL="114300" distR="114300">
            <wp:extent cx="8522970" cy="5513070"/>
            <wp:effectExtent l="0" t="0" r="11430" b="1143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45"/>
                    <a:stretch>
                      <a:fillRect/>
                    </a:stretch>
                  </pic:blipFill>
                  <pic:spPr>
                    <a:xfrm>
                      <a:off x="0" y="0"/>
                      <a:ext cx="8522970" cy="5513070"/>
                    </a:xfrm>
                    <a:prstGeom prst="rect">
                      <a:avLst/>
                    </a:prstGeom>
                    <a:noFill/>
                    <a:ln>
                      <a:noFill/>
                    </a:ln>
                  </pic:spPr>
                </pic:pic>
              </a:graphicData>
            </a:graphic>
          </wp:inline>
        </w:drawing>
      </w:r>
      <w:r>
        <w:rPr>
          <w:color w:val="auto"/>
        </w:rPr>
        <w:drawing>
          <wp:inline distT="0" distB="0" distL="114300" distR="114300">
            <wp:extent cx="8524875" cy="5433695"/>
            <wp:effectExtent l="0" t="0" r="9525" b="1460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46"/>
                    <a:stretch>
                      <a:fillRect/>
                    </a:stretch>
                  </pic:blipFill>
                  <pic:spPr>
                    <a:xfrm>
                      <a:off x="0" y="0"/>
                      <a:ext cx="8524875" cy="5433695"/>
                    </a:xfrm>
                    <a:prstGeom prst="rect">
                      <a:avLst/>
                    </a:prstGeom>
                    <a:noFill/>
                    <a:ln>
                      <a:noFill/>
                    </a:ln>
                  </pic:spPr>
                </pic:pic>
              </a:graphicData>
            </a:graphic>
          </wp:inline>
        </w:drawing>
      </w:r>
      <w:r>
        <w:rPr>
          <w:color w:val="auto"/>
        </w:rPr>
        <w:drawing>
          <wp:inline distT="0" distB="0" distL="114300" distR="114300">
            <wp:extent cx="8525510" cy="5432425"/>
            <wp:effectExtent l="0" t="0" r="8890" b="1587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47"/>
                    <a:stretch>
                      <a:fillRect/>
                    </a:stretch>
                  </pic:blipFill>
                  <pic:spPr>
                    <a:xfrm>
                      <a:off x="0" y="0"/>
                      <a:ext cx="8525510" cy="5432425"/>
                    </a:xfrm>
                    <a:prstGeom prst="rect">
                      <a:avLst/>
                    </a:prstGeom>
                    <a:noFill/>
                    <a:ln>
                      <a:noFill/>
                    </a:ln>
                  </pic:spPr>
                </pic:pic>
              </a:graphicData>
            </a:graphic>
          </wp:inline>
        </w:drawing>
      </w:r>
      <w:r>
        <w:rPr>
          <w:color w:val="auto"/>
        </w:rPr>
        <w:drawing>
          <wp:inline distT="0" distB="0" distL="114300" distR="114300">
            <wp:extent cx="8529320" cy="5525135"/>
            <wp:effectExtent l="0" t="0" r="5080" b="1841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48"/>
                    <a:stretch>
                      <a:fillRect/>
                    </a:stretch>
                  </pic:blipFill>
                  <pic:spPr>
                    <a:xfrm>
                      <a:off x="0" y="0"/>
                      <a:ext cx="8529320" cy="5525135"/>
                    </a:xfrm>
                    <a:prstGeom prst="rect">
                      <a:avLst/>
                    </a:prstGeom>
                    <a:noFill/>
                    <a:ln>
                      <a:noFill/>
                    </a:ln>
                  </pic:spPr>
                </pic:pic>
              </a:graphicData>
            </a:graphic>
          </wp:inline>
        </w:drawing>
      </w:r>
      <w:r>
        <w:rPr>
          <w:color w:val="auto"/>
        </w:rPr>
        <w:drawing>
          <wp:inline distT="0" distB="0" distL="114300" distR="114300">
            <wp:extent cx="8524875" cy="5787390"/>
            <wp:effectExtent l="0" t="0" r="9525" b="381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49"/>
                    <a:stretch>
                      <a:fillRect/>
                    </a:stretch>
                  </pic:blipFill>
                  <pic:spPr>
                    <a:xfrm>
                      <a:off x="0" y="0"/>
                      <a:ext cx="8524875" cy="5787390"/>
                    </a:xfrm>
                    <a:prstGeom prst="rect">
                      <a:avLst/>
                    </a:prstGeom>
                    <a:noFill/>
                    <a:ln>
                      <a:noFill/>
                    </a:ln>
                  </pic:spPr>
                </pic:pic>
              </a:graphicData>
            </a:graphic>
          </wp:inline>
        </w:drawing>
      </w:r>
      <w:r>
        <w:rPr>
          <w:color w:val="auto"/>
        </w:rPr>
        <w:drawing>
          <wp:inline distT="0" distB="0" distL="114300" distR="114300">
            <wp:extent cx="8528685" cy="5942965"/>
            <wp:effectExtent l="0" t="0" r="5715" b="63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50"/>
                    <a:stretch>
                      <a:fillRect/>
                    </a:stretch>
                  </pic:blipFill>
                  <pic:spPr>
                    <a:xfrm>
                      <a:off x="0" y="0"/>
                      <a:ext cx="8528685" cy="5942965"/>
                    </a:xfrm>
                    <a:prstGeom prst="rect">
                      <a:avLst/>
                    </a:prstGeom>
                    <a:noFill/>
                    <a:ln>
                      <a:noFill/>
                    </a:ln>
                  </pic:spPr>
                </pic:pic>
              </a:graphicData>
            </a:graphic>
          </wp:inline>
        </w:drawing>
      </w:r>
      <w:r>
        <w:rPr>
          <w:color w:val="auto"/>
        </w:rPr>
        <w:drawing>
          <wp:inline distT="0" distB="0" distL="114300" distR="114300">
            <wp:extent cx="8530590" cy="5351145"/>
            <wp:effectExtent l="0" t="0" r="3810" b="1905"/>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51"/>
                    <a:stretch>
                      <a:fillRect/>
                    </a:stretch>
                  </pic:blipFill>
                  <pic:spPr>
                    <a:xfrm>
                      <a:off x="0" y="0"/>
                      <a:ext cx="8530590" cy="5351145"/>
                    </a:xfrm>
                    <a:prstGeom prst="rect">
                      <a:avLst/>
                    </a:prstGeom>
                    <a:noFill/>
                    <a:ln>
                      <a:noFill/>
                    </a:ln>
                  </pic:spPr>
                </pic:pic>
              </a:graphicData>
            </a:graphic>
          </wp:inline>
        </w:drawing>
      </w:r>
      <w:r>
        <w:rPr>
          <w:color w:val="auto"/>
        </w:rPr>
        <w:drawing>
          <wp:inline distT="0" distB="0" distL="114300" distR="114300">
            <wp:extent cx="8525510" cy="5462905"/>
            <wp:effectExtent l="0" t="0" r="8890" b="4445"/>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52"/>
                    <a:stretch>
                      <a:fillRect/>
                    </a:stretch>
                  </pic:blipFill>
                  <pic:spPr>
                    <a:xfrm>
                      <a:off x="0" y="0"/>
                      <a:ext cx="8525510" cy="5462905"/>
                    </a:xfrm>
                    <a:prstGeom prst="rect">
                      <a:avLst/>
                    </a:prstGeom>
                    <a:noFill/>
                    <a:ln>
                      <a:noFill/>
                    </a:ln>
                  </pic:spPr>
                </pic:pic>
              </a:graphicData>
            </a:graphic>
          </wp:inline>
        </w:drawing>
      </w:r>
      <w:r>
        <w:rPr>
          <w:color w:val="auto"/>
        </w:rPr>
        <w:drawing>
          <wp:inline distT="0" distB="0" distL="114300" distR="114300">
            <wp:extent cx="8522970" cy="5413375"/>
            <wp:effectExtent l="0" t="0" r="11430" b="1587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53"/>
                    <a:stretch>
                      <a:fillRect/>
                    </a:stretch>
                  </pic:blipFill>
                  <pic:spPr>
                    <a:xfrm>
                      <a:off x="0" y="0"/>
                      <a:ext cx="8522970" cy="5413375"/>
                    </a:xfrm>
                    <a:prstGeom prst="rect">
                      <a:avLst/>
                    </a:prstGeom>
                    <a:noFill/>
                    <a:ln>
                      <a:noFill/>
                    </a:ln>
                  </pic:spPr>
                </pic:pic>
              </a:graphicData>
            </a:graphic>
          </wp:inline>
        </w:drawing>
      </w:r>
    </w:p>
    <w:p w14:paraId="7FD57704">
      <w:pPr>
        <w:spacing w:line="240" w:lineRule="auto"/>
        <w:jc w:val="center"/>
        <w:outlineLvl w:val="9"/>
        <w:rPr>
          <w:rFonts w:hint="eastAsia" w:eastAsia="宋体"/>
          <w:color w:val="auto"/>
          <w:highlight w:val="none"/>
          <w:lang w:eastAsia="zh-CN"/>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6837680</wp:posOffset>
                </wp:positionH>
                <wp:positionV relativeFrom="paragraph">
                  <wp:posOffset>4343400</wp:posOffset>
                </wp:positionV>
                <wp:extent cx="200025" cy="133350"/>
                <wp:effectExtent l="6350" t="6350" r="22225" b="12700"/>
                <wp:wrapNone/>
                <wp:docPr id="36" name="矩形 36"/>
                <wp:cNvGraphicFramePr/>
                <a:graphic xmlns:a="http://schemas.openxmlformats.org/drawingml/2006/main">
                  <a:graphicData uri="http://schemas.microsoft.com/office/word/2010/wordprocessingShape">
                    <wps:wsp>
                      <wps:cNvSpPr/>
                      <wps:spPr>
                        <a:xfrm>
                          <a:off x="8133715" y="5404485"/>
                          <a:ext cx="200025" cy="133350"/>
                        </a:xfrm>
                        <a:prstGeom prst="rect">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4pt;margin-top:342pt;height:10.5pt;width:15.75pt;z-index:251670528;v-text-anchor:middle;mso-width-relative:page;mso-height-relative:page;" filled="f" stroked="t" coordsize="21600,21600" o:gfxdata="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XnU7tgAAAANAQAADwAAAAAAAAABACAAAAAiAAAAZHJzL2Rvd25yZXYueG1s&#10;UEsBAhQAFAAAAAgAh07iQNWCy1BqAgAAwQQAAA4AAAAAAAAAAQAgAAAAJwEAAGRycy9lMm9Eb2Mu&#10;eG1sUEsFBgAAAAAGAAYAWQEAAAMGAAAAAA==&#10;">
                <v:fill on="f" focussize="0,0"/>
                <v:stroke weight="1pt" color="#FF0000 [3204]" joinstyle="round"/>
                <v:imagedata o:title=""/>
                <o:lock v:ext="edit" aspectratio="f"/>
              </v:rect>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6656705</wp:posOffset>
                </wp:positionH>
                <wp:positionV relativeFrom="paragraph">
                  <wp:posOffset>4048125</wp:posOffset>
                </wp:positionV>
                <wp:extent cx="1285875" cy="942975"/>
                <wp:effectExtent l="5080" t="4445" r="4445" b="5080"/>
                <wp:wrapNone/>
                <wp:docPr id="33" name="文本框 33"/>
                <wp:cNvGraphicFramePr/>
                <a:graphic xmlns:a="http://schemas.openxmlformats.org/drawingml/2006/main">
                  <a:graphicData uri="http://schemas.microsoft.com/office/word/2010/wordprocessingShape">
                    <wps:wsp>
                      <wps:cNvSpPr txBox="1"/>
                      <wps:spPr>
                        <a:xfrm>
                          <a:off x="7924165" y="5118735"/>
                          <a:ext cx="1285875" cy="942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63D0D9">
                            <w:pPr>
                              <w:ind w:firstLine="630" w:firstLineChars="300"/>
                              <w:rPr>
                                <w:rFonts w:hint="eastAsia"/>
                                <w:lang w:val="en-US" w:eastAsia="zh-CN"/>
                              </w:rPr>
                            </w:pPr>
                            <w:r>
                              <w:rPr>
                                <w:rFonts w:hint="eastAsia"/>
                                <w:lang w:val="en-US" w:eastAsia="zh-CN"/>
                              </w:rPr>
                              <w:t>图例</w:t>
                            </w:r>
                          </w:p>
                          <w:p w14:paraId="565EEC16">
                            <w:pPr>
                              <w:pStyle w:val="44"/>
                              <w:rPr>
                                <w:rFonts w:hint="eastAsia"/>
                                <w:lang w:val="en-US" w:eastAsia="zh-CN"/>
                              </w:rPr>
                            </w:pPr>
                            <w:r>
                              <w:rPr>
                                <w:rFonts w:hint="eastAsia"/>
                                <w:lang w:val="en-US" w:eastAsia="zh-CN"/>
                              </w:rPr>
                              <w:t xml:space="preserve">      项目位置</w:t>
                            </w:r>
                          </w:p>
                          <w:p w14:paraId="37472EA0">
                            <w:pPr>
                              <w:pStyle w:val="44"/>
                              <w:rPr>
                                <w:rFonts w:hint="eastAsia"/>
                                <w:lang w:val="en-US" w:eastAsia="zh-CN"/>
                              </w:rPr>
                            </w:pPr>
                          </w:p>
                          <w:p w14:paraId="066BFF0A">
                            <w:pPr>
                              <w:pStyle w:val="44"/>
                              <w:rPr>
                                <w:rFonts w:hint="default"/>
                                <w:lang w:val="en-US" w:eastAsia="zh-CN"/>
                              </w:rPr>
                            </w:pPr>
                            <w:r>
                              <w:rPr>
                                <w:rFonts w:hint="eastAsia"/>
                                <w:lang w:val="en-US" w:eastAsia="zh-CN"/>
                              </w:rPr>
                              <w:t>比例尺 1：36111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4.15pt;margin-top:318.75pt;height:74.25pt;width:101.25pt;z-index:251669504;mso-width-relative:page;mso-height-relative:page;" fillcolor="#FFFFFF [3201]" filled="t" stroked="t" coordsize="21600,21600" o:gfxdata="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zk32r2AAAAA0BAAAPAAAAAAAAAAEAIAAAACIAAABkcnMvZG93bnJldi54bWxQSwEC&#10;FAAUAAAACACHTuJACwVy22YCAADFBAAADgAAAAAAAAABACAAAAAnAQAAZHJzL2Uyb0RvYy54bWxQ&#10;SwUGAAAAAAYABgBZAQAA/wUAAAAA&#10;">
                <v:fill on="t" focussize="0,0"/>
                <v:stroke weight="0.5pt" color="#000000 [3204]" joinstyle="round"/>
                <v:imagedata o:title=""/>
                <o:lock v:ext="edit" aspectratio="f"/>
                <v:textbox>
                  <w:txbxContent>
                    <w:p w14:paraId="6C63D0D9">
                      <w:pPr>
                        <w:ind w:firstLine="630" w:firstLineChars="300"/>
                        <w:rPr>
                          <w:rFonts w:hint="eastAsia"/>
                          <w:lang w:val="en-US" w:eastAsia="zh-CN"/>
                        </w:rPr>
                      </w:pPr>
                      <w:r>
                        <w:rPr>
                          <w:rFonts w:hint="eastAsia"/>
                          <w:lang w:val="en-US" w:eastAsia="zh-CN"/>
                        </w:rPr>
                        <w:t>图例</w:t>
                      </w:r>
                    </w:p>
                    <w:p w14:paraId="565EEC16">
                      <w:pPr>
                        <w:pStyle w:val="44"/>
                        <w:rPr>
                          <w:rFonts w:hint="eastAsia"/>
                          <w:lang w:val="en-US" w:eastAsia="zh-CN"/>
                        </w:rPr>
                      </w:pPr>
                      <w:r>
                        <w:rPr>
                          <w:rFonts w:hint="eastAsia"/>
                          <w:lang w:val="en-US" w:eastAsia="zh-CN"/>
                        </w:rPr>
                        <w:t xml:space="preserve">      项目位置</w:t>
                      </w:r>
                    </w:p>
                    <w:p w14:paraId="37472EA0">
                      <w:pPr>
                        <w:pStyle w:val="44"/>
                        <w:rPr>
                          <w:rFonts w:hint="eastAsia"/>
                          <w:lang w:val="en-US" w:eastAsia="zh-CN"/>
                        </w:rPr>
                      </w:pPr>
                    </w:p>
                    <w:p w14:paraId="066BFF0A">
                      <w:pPr>
                        <w:pStyle w:val="44"/>
                        <w:rPr>
                          <w:rFonts w:hint="default"/>
                          <w:lang w:val="en-US" w:eastAsia="zh-CN"/>
                        </w:rPr>
                      </w:pPr>
                      <w:r>
                        <w:rPr>
                          <w:rFonts w:hint="eastAsia"/>
                          <w:lang w:val="en-US" w:eastAsia="zh-CN"/>
                        </w:rPr>
                        <w:t>比例尺 1：36111</w:t>
                      </w:r>
                    </w:p>
                  </w:txbxContent>
                </v:textbox>
              </v:shape>
            </w:pict>
          </mc:Fallback>
        </mc:AlternateContent>
      </w:r>
      <w:r>
        <w:rPr>
          <w:rFonts w:hint="eastAsia" w:ascii="仿宋" w:hAnsi="仿宋" w:eastAsia="仿宋" w:cs="仿宋"/>
          <w:b/>
          <w:bCs/>
          <w:color w:val="auto"/>
          <w:sz w:val="24"/>
          <w:szCs w:val="24"/>
        </w:rPr>
        <w:drawing>
          <wp:anchor distT="0" distB="0" distL="114300" distR="114300" simplePos="0" relativeHeight="251673600" behindDoc="0" locked="0" layoutInCell="1" allowOverlap="1">
            <wp:simplePos x="0" y="0"/>
            <wp:positionH relativeFrom="column">
              <wp:posOffset>7174230</wp:posOffset>
            </wp:positionH>
            <wp:positionV relativeFrom="paragraph">
              <wp:posOffset>8890</wp:posOffset>
            </wp:positionV>
            <wp:extent cx="790575" cy="732790"/>
            <wp:effectExtent l="0" t="0" r="9525" b="10160"/>
            <wp:wrapNone/>
            <wp:docPr id="2" name="图片 3"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鸡西风玫瑰"/>
                    <pic:cNvPicPr>
                      <a:picLocks noChangeAspect="1"/>
                    </pic:cNvPicPr>
                  </pic:nvPicPr>
                  <pic:blipFill>
                    <a:blip r:embed="rId54"/>
                    <a:stretch>
                      <a:fillRect/>
                    </a:stretch>
                  </pic:blipFill>
                  <pic:spPr>
                    <a:xfrm>
                      <a:off x="0" y="0"/>
                      <a:ext cx="790575" cy="732790"/>
                    </a:xfrm>
                    <a:prstGeom prst="rect">
                      <a:avLst/>
                    </a:prstGeom>
                    <a:noFill/>
                    <a:ln>
                      <a:noFill/>
                    </a:ln>
                  </pic:spPr>
                </pic:pic>
              </a:graphicData>
            </a:graphic>
          </wp:anchor>
        </w:drawing>
      </w: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3492500</wp:posOffset>
                </wp:positionH>
                <wp:positionV relativeFrom="paragraph">
                  <wp:posOffset>1194435</wp:posOffset>
                </wp:positionV>
                <wp:extent cx="773430" cy="328930"/>
                <wp:effectExtent l="4445" t="4445" r="269875" b="257175"/>
                <wp:wrapNone/>
                <wp:docPr id="28" name="圆角矩形标注 28"/>
                <wp:cNvGraphicFramePr/>
                <a:graphic xmlns:a="http://schemas.openxmlformats.org/drawingml/2006/main">
                  <a:graphicData uri="http://schemas.microsoft.com/office/word/2010/wordprocessingShape">
                    <wps:wsp>
                      <wps:cNvSpPr/>
                      <wps:spPr>
                        <a:xfrm>
                          <a:off x="0" y="0"/>
                          <a:ext cx="773430" cy="328930"/>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2316B493">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275pt;margin-top:94.05pt;height:25.9pt;width:60.9pt;z-index:251664384;mso-width-relative:page;mso-height-relative:page;" fillcolor="#FFFFFF" filled="t" stroked="t" coordsize="21600,21600" o:gfxdata="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HoiTnZ&#10;AAAACwEAAA8AAAAAAAAAAQAgAAAAIgAAAGRycy9kb3ducmV2LnhtbFBLAQIUABQAAAAIAIdO4kCM&#10;JYocWAIAAMsEAAAOAAAAAAAAAAEAIAAAACgBAABkcnMvZTJvRG9jLnhtbFBLBQYAAAAABgAGAFkB&#10;AADyBQAAAAA=&#10;" adj="27700,36123,14400">
                <v:fill on="t" focussize="0,0"/>
                <v:stroke color="#000000" joinstyle="miter"/>
                <v:imagedata o:title=""/>
                <o:lock v:ext="edit" aspectratio="f"/>
                <v:textbox>
                  <w:txbxContent>
                    <w:p w14:paraId="2316B493">
                      <w:pPr>
                        <w:rPr>
                          <w:rFonts w:ascii="Calibri" w:hAnsi="Calibri"/>
                        </w:rPr>
                      </w:pPr>
                      <w:r>
                        <w:rPr>
                          <w:rFonts w:ascii="Calibri" w:hAnsi="Calibri"/>
                        </w:rPr>
                        <w:t>项目</w:t>
                      </w:r>
                      <w:r>
                        <w:rPr>
                          <w:rFonts w:hint="eastAsia" w:ascii="Calibri" w:hAnsi="Calibri"/>
                        </w:rPr>
                        <w:t>位置</w:t>
                      </w:r>
                    </w:p>
                  </w:txbxContent>
                </v:textbox>
              </v:shape>
            </w:pict>
          </mc:Fallback>
        </mc:AlternateContent>
      </w:r>
      <w:r>
        <w:rPr>
          <w:color w:val="auto"/>
        </w:rPr>
        <w:drawing>
          <wp:inline distT="0" distB="0" distL="114300" distR="114300">
            <wp:extent cx="7200265" cy="4990465"/>
            <wp:effectExtent l="0" t="0" r="635" b="63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55"/>
                    <a:stretch>
                      <a:fillRect/>
                    </a:stretch>
                  </pic:blipFill>
                  <pic:spPr>
                    <a:xfrm>
                      <a:off x="0" y="0"/>
                      <a:ext cx="7200265" cy="4990465"/>
                    </a:xfrm>
                    <a:prstGeom prst="rect">
                      <a:avLst/>
                    </a:prstGeom>
                    <a:noFill/>
                    <a:ln>
                      <a:noFill/>
                    </a:ln>
                  </pic:spPr>
                </pic:pic>
              </a:graphicData>
            </a:graphic>
          </wp:inline>
        </w:drawing>
      </w:r>
    </w:p>
    <w:p w14:paraId="3B3D47F5">
      <w:pPr>
        <w:pStyle w:val="5"/>
        <w:jc w:val="center"/>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r>
        <w:rPr>
          <w:rFonts w:hint="default"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7084695</wp:posOffset>
                </wp:positionH>
                <wp:positionV relativeFrom="paragraph">
                  <wp:posOffset>4326890</wp:posOffset>
                </wp:positionV>
                <wp:extent cx="777240" cy="662940"/>
                <wp:effectExtent l="4445" t="4445" r="18415" b="18415"/>
                <wp:wrapNone/>
                <wp:docPr id="5" name="文本框 5"/>
                <wp:cNvGraphicFramePr/>
                <a:graphic xmlns:a="http://schemas.openxmlformats.org/drawingml/2006/main">
                  <a:graphicData uri="http://schemas.microsoft.com/office/word/2010/wordprocessingShape">
                    <wps:wsp>
                      <wps:cNvSpPr txBox="1"/>
                      <wps:spPr>
                        <a:xfrm>
                          <a:off x="8248015" y="5607050"/>
                          <a:ext cx="777240" cy="662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7211897">
                            <w:pPr>
                              <w:jc w:val="center"/>
                            </w:pPr>
                            <w:r>
                              <w:rPr>
                                <w:rFonts w:hint="eastAsia"/>
                              </w:rPr>
                              <w:t>图例</w:t>
                            </w:r>
                          </w:p>
                          <w:p w14:paraId="030C9E61">
                            <w:pPr>
                              <w:jc w:val="center"/>
                            </w:pPr>
                            <w:r>
                              <w:rPr>
                                <w:rFonts w:hint="eastAsia"/>
                                <w:color w:val="FF0000"/>
                              </w:rPr>
                              <w:t>★</w:t>
                            </w:r>
                          </w:p>
                          <w:p w14:paraId="00A449F6">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85pt;margin-top:340.7pt;height:52.2pt;width:61.2pt;z-index:251663360;mso-width-relative:page;mso-height-relative:page;" fillcolor="#FFFFFF [3201]" filled="t" stroked="t" coordsize="21600,21600" o:gfxdata="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PnZf2QAAAA0BAAAPAAAAAAAAAAEAIAAAACIAAABkcnMvZG93bnJldi54bWxQSwECFAAUAAAA&#10;CACHTuJAULViO18CAADCBAAADgAAAAAAAAABACAAAAAoAQAAZHJzL2Uyb0RvYy54bWxQSwUGAAAA&#10;AAYABgBZAQAA+QUAAAAA&#10;">
                <v:fill on="t" focussize="0,0"/>
                <v:stroke weight="0.5pt" color="#000000 [3204]" joinstyle="round"/>
                <v:imagedata o:title=""/>
                <o:lock v:ext="edit" aspectratio="f"/>
                <v:textbox>
                  <w:txbxContent>
                    <w:p w14:paraId="17211897">
                      <w:pPr>
                        <w:jc w:val="center"/>
                      </w:pPr>
                      <w:r>
                        <w:rPr>
                          <w:rFonts w:hint="eastAsia"/>
                        </w:rPr>
                        <w:t>图例</w:t>
                      </w:r>
                    </w:p>
                    <w:p w14:paraId="030C9E61">
                      <w:pPr>
                        <w:jc w:val="center"/>
                      </w:pPr>
                      <w:r>
                        <w:rPr>
                          <w:rFonts w:hint="eastAsia"/>
                          <w:color w:val="FF0000"/>
                        </w:rPr>
                        <w:t>★</w:t>
                      </w:r>
                    </w:p>
                    <w:p w14:paraId="00A449F6">
                      <w:pPr>
                        <w:jc w:val="center"/>
                      </w:pPr>
                      <w:r>
                        <w:rPr>
                          <w:rFonts w:hint="eastAsia"/>
                        </w:rPr>
                        <w:t>项目位置</w:t>
                      </w:r>
                    </w:p>
                  </w:txbxContent>
                </v:textbox>
              </v:shape>
            </w:pict>
          </mc:Fallback>
        </mc:AlternateContent>
      </w:r>
    </w:p>
    <w:bookmarkEnd w:id="15"/>
    <w:p w14:paraId="50D2B797">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ascii="Times New Roman" w:hAnsi="Times New Roman" w:eastAsia="黑体" w:cs="Times New Roman"/>
          <w:color w:val="auto"/>
          <w:sz w:val="21"/>
          <w:szCs w:val="21"/>
          <w:highlight w:val="none"/>
          <w:lang w:eastAsia="zh-CN"/>
        </w:rPr>
      </w:pP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7065645</wp:posOffset>
                </wp:positionH>
                <wp:positionV relativeFrom="paragraph">
                  <wp:posOffset>3970020</wp:posOffset>
                </wp:positionV>
                <wp:extent cx="106680" cy="96520"/>
                <wp:effectExtent l="9525" t="9525" r="17145" b="27305"/>
                <wp:wrapNone/>
                <wp:docPr id="13" name="矩形 13"/>
                <wp:cNvGraphicFramePr/>
                <a:graphic xmlns:a="http://schemas.openxmlformats.org/drawingml/2006/main">
                  <a:graphicData uri="http://schemas.microsoft.com/office/word/2010/wordprocessingShape">
                    <wps:wsp>
                      <wps:cNvSpPr/>
                      <wps:spPr>
                        <a:xfrm>
                          <a:off x="0" y="0"/>
                          <a:ext cx="106680" cy="96520"/>
                        </a:xfrm>
                        <a:prstGeom prst="rect">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6.35pt;margin-top:312.6pt;height:7.6pt;width:8.4pt;z-index:251676672;v-text-anchor:middle;mso-width-relative:page;mso-height-relative:page;" fillcolor="#FFFFFF [3212]" filled="t" stroked="t" coordsize="21600,21600" o:gfxdata="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MulurWAAAADQEAAA8AAAAAAAAAAQAgAAAAIgAAAGRycy9kb3ducmV2LnhtbFBLAQIU&#10;ABQAAAAIAIdO4kDparVpZwIAAN0EAAAOAAAAAAAAAAEAIAAAACUBAABkcnMvZTJvRG9jLnhtbFBL&#10;BQYAAAAABgAGAFkBAAD+BQAAAAA=&#10;">
                <v:fill on="t" focussize="0,0"/>
                <v:stroke weight="1.5pt" color="#0070C0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7065645</wp:posOffset>
                </wp:positionH>
                <wp:positionV relativeFrom="paragraph">
                  <wp:posOffset>4178300</wp:posOffset>
                </wp:positionV>
                <wp:extent cx="106680" cy="96520"/>
                <wp:effectExtent l="9525" t="9525" r="17145" b="27305"/>
                <wp:wrapNone/>
                <wp:docPr id="10" name="矩形 10"/>
                <wp:cNvGraphicFramePr/>
                <a:graphic xmlns:a="http://schemas.openxmlformats.org/drawingml/2006/main">
                  <a:graphicData uri="http://schemas.microsoft.com/office/word/2010/wordprocessingShape">
                    <wps:wsp>
                      <wps:cNvSpPr/>
                      <wps:spPr>
                        <a:xfrm>
                          <a:off x="0" y="0"/>
                          <a:ext cx="106680" cy="96520"/>
                        </a:xfrm>
                        <a:prstGeom prst="rect">
                          <a:avLst/>
                        </a:prstGeom>
                        <a:solidFill>
                          <a:schemeClr val="bg1"/>
                        </a:solid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6.35pt;margin-top:329pt;height:7.6pt;width:8.4pt;z-index:251666432;v-text-anchor:middle;mso-width-relative:page;mso-height-relative:page;" fillcolor="#FFFFFF [3212]" filled="t" stroked="t" coordsize="21600,21600" o:gfxdata="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0mbJtoAAAANAQAADwAAAAAAAAABACAAAAAiAAAAZHJzL2Rvd25yZXYueG1sUEsBAhQA&#10;FAAAAAgAh07iQG4pz41iAgAA3QQAAA4AAAAAAAAAAQAgAAAAKQEAAGRycy9lMm9Eb2MueG1sUEsF&#10;BgAAAAAGAAYAWQEAAP0FAAAAAA==&#10;">
                <v:fill on="t" focussize="0,0"/>
                <v:stroke weight="1.5pt" color="#FFFF00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7077075</wp:posOffset>
                </wp:positionH>
                <wp:positionV relativeFrom="paragraph">
                  <wp:posOffset>4576445</wp:posOffset>
                </wp:positionV>
                <wp:extent cx="106680" cy="96520"/>
                <wp:effectExtent l="9525" t="9525" r="17145" b="27305"/>
                <wp:wrapNone/>
                <wp:docPr id="68" name="矩形 68"/>
                <wp:cNvGraphicFramePr/>
                <a:graphic xmlns:a="http://schemas.openxmlformats.org/drawingml/2006/main">
                  <a:graphicData uri="http://schemas.microsoft.com/office/word/2010/wordprocessingShape">
                    <wps:wsp>
                      <wps:cNvSpPr/>
                      <wps:spPr>
                        <a:xfrm>
                          <a:off x="0" y="0"/>
                          <a:ext cx="106680" cy="96520"/>
                        </a:xfrm>
                        <a:prstGeom prst="rect">
                          <a:avLst/>
                        </a:prstGeom>
                        <a:solidFill>
                          <a:srgbClr val="0070C0"/>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7.25pt;margin-top:360.35pt;height:7.6pt;width:8.4pt;z-index:251671552;v-text-anchor:middle;mso-width-relative:page;mso-height-relative:page;" fillcolor="#0070C0" filled="t" stroked="t" coordsize="21600,21600" o:gfxdata="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mF3N9cAAAANAQAADwAAAAAAAAABACAAAAAiAAAAZHJzL2Rvd25yZXYueG1sUEsBAhQAFAAAAAgA&#10;h07iQAB+I1BfAgAA3QQAAA4AAAAAAAAAAQAgAAAAJgEAAGRycy9lMm9Eb2MueG1sUEsFBgAAAAAG&#10;AAYAWQEAAPcFAAAAAA==&#10;">
                <v:fill on="t" focussize="0,0"/>
                <v:stroke weight="1.5pt" color="#0070C0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7072630</wp:posOffset>
                </wp:positionH>
                <wp:positionV relativeFrom="paragraph">
                  <wp:posOffset>4368800</wp:posOffset>
                </wp:positionV>
                <wp:extent cx="106680" cy="96520"/>
                <wp:effectExtent l="0" t="0" r="7620" b="17780"/>
                <wp:wrapNone/>
                <wp:docPr id="88" name="矩形 88"/>
                <wp:cNvGraphicFramePr/>
                <a:graphic xmlns:a="http://schemas.openxmlformats.org/drawingml/2006/main">
                  <a:graphicData uri="http://schemas.microsoft.com/office/word/2010/wordprocessingShape">
                    <wps:wsp>
                      <wps:cNvSpPr/>
                      <wps:spPr>
                        <a:xfrm>
                          <a:off x="0" y="0"/>
                          <a:ext cx="106680" cy="96520"/>
                        </a:xfrm>
                        <a:prstGeom prst="rect">
                          <a:avLst/>
                        </a:prstGeom>
                        <a:solidFill>
                          <a:srgbClr val="FFFF00"/>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6.9pt;margin-top:344pt;height:7.6pt;width:8.4pt;z-index:251668480;v-text-anchor:middle;mso-width-relative:page;mso-height-relative:page;" fillcolor="#FFFF00" filled="t" stroked="f" coordsize="21600,21600" o:gfxdata="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HQuw72gAAAA0BAAAPAAAAAAAAAAEAIAAAACIAAABkcnMvZG93bnJldi54bWxQSwECFAAUAAAA&#10;CACHTuJAoB120V4CAAC0BAAADgAAAAAAAAABACAAAAApAQAAZHJzL2Uyb0RvYy54bWxQSwUGAAAA&#10;AAYABgBZAQAA+QUAAAAA&#10;">
                <v:fill on="t" focussize="0,0"/>
                <v:stroke on="f" weight="1.5pt"/>
                <v:imagedata o:title=""/>
                <o:lock v:ext="edit" aspectratio="f"/>
              </v:rect>
            </w:pict>
          </mc:Fallback>
        </mc:AlternateContent>
      </w: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6981825</wp:posOffset>
                </wp:positionH>
                <wp:positionV relativeFrom="paragraph">
                  <wp:posOffset>3464560</wp:posOffset>
                </wp:positionV>
                <wp:extent cx="1444625" cy="1532890"/>
                <wp:effectExtent l="4445" t="4445" r="17780" b="5715"/>
                <wp:wrapNone/>
                <wp:docPr id="7" name="文本框 7"/>
                <wp:cNvGraphicFramePr/>
                <a:graphic xmlns:a="http://schemas.openxmlformats.org/drawingml/2006/main">
                  <a:graphicData uri="http://schemas.microsoft.com/office/word/2010/wordprocessingShape">
                    <wps:wsp>
                      <wps:cNvSpPr txBox="1"/>
                      <wps:spPr>
                        <a:xfrm>
                          <a:off x="0" y="0"/>
                          <a:ext cx="1444625" cy="153289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4EECB3A8">
                            <w:pPr>
                              <w:jc w:val="center"/>
                            </w:pPr>
                            <w:r>
                              <w:rPr>
                                <w:rFonts w:hint="eastAsia"/>
                              </w:rPr>
                              <w:t>图  例</w:t>
                            </w:r>
                          </w:p>
                          <w:p w14:paraId="5AAC79D6">
                            <w:pPr>
                              <w:keepNext w:val="0"/>
                              <w:keepLines w:val="0"/>
                              <w:pageBreakBefore w:val="0"/>
                              <w:widowControl w:val="0"/>
                              <w:kinsoku/>
                              <w:wordWrap/>
                              <w:overflowPunct/>
                              <w:topLinePunct w:val="0"/>
                              <w:bidi w:val="0"/>
                              <w:adjustRightInd/>
                              <w:snapToGrid/>
                              <w:spacing w:line="240" w:lineRule="auto"/>
                              <w:textAlignment w:val="auto"/>
                            </w:pPr>
                            <w:r>
                              <w:rPr>
                                <w:rFonts w:hint="eastAsia"/>
                                <w:b/>
                                <w:bCs/>
                                <w:color w:val="FF0000"/>
                              </w:rPr>
                              <w:sym w:font="Wingdings 2" w:char="00A3"/>
                            </w:r>
                            <w:r>
                              <w:rPr>
                                <w:rFonts w:hint="eastAsia"/>
                              </w:rPr>
                              <w:t>项目位置</w:t>
                            </w:r>
                          </w:p>
                          <w:p w14:paraId="5BEB14D7">
                            <w:pPr>
                              <w:ind w:firstLine="210" w:firstLineChars="100"/>
                            </w:pPr>
                            <w:r>
                              <w:rPr>
                                <w:rFonts w:hint="eastAsia"/>
                              </w:rPr>
                              <w:t>声环境保护范围</w:t>
                            </w:r>
                          </w:p>
                          <w:p w14:paraId="3FC767ED">
                            <w:pPr>
                              <w:ind w:firstLine="210" w:firstLineChars="100"/>
                              <w:rPr>
                                <w:rFonts w:hint="default" w:eastAsia="宋体"/>
                                <w:lang w:val="en-US" w:eastAsia="zh-CN"/>
                              </w:rPr>
                            </w:pPr>
                            <w:r>
                              <w:rPr>
                                <w:rFonts w:hint="eastAsia"/>
                              </w:rPr>
                              <w:t>大气环境保护范围</w:t>
                            </w:r>
                          </w:p>
                          <w:p w14:paraId="0C294599">
                            <w:pPr>
                              <w:ind w:firstLine="210" w:firstLineChars="100"/>
                              <w:jc w:val="both"/>
                              <w:rPr>
                                <w:rFonts w:hint="eastAsia"/>
                                <w:lang w:val="en-US" w:eastAsia="zh-CN"/>
                              </w:rPr>
                            </w:pPr>
                            <w:r>
                              <w:rPr>
                                <w:rFonts w:hint="eastAsia"/>
                                <w:lang w:val="en-US" w:eastAsia="zh-CN"/>
                              </w:rPr>
                              <w:t>大气环境保护目标</w:t>
                            </w:r>
                          </w:p>
                          <w:p w14:paraId="19769460">
                            <w:pPr>
                              <w:pStyle w:val="44"/>
                              <w:rPr>
                                <w:rFonts w:hint="eastAsia"/>
                                <w:lang w:val="en-US" w:eastAsia="zh-CN"/>
                              </w:rPr>
                            </w:pPr>
                            <w:r>
                              <w:rPr>
                                <w:rFonts w:hint="eastAsia"/>
                                <w:lang w:val="en-US" w:eastAsia="zh-CN"/>
                              </w:rPr>
                              <w:t xml:space="preserve">  声环境保护目标</w:t>
                            </w:r>
                          </w:p>
                          <w:p w14:paraId="20E89567">
                            <w:pPr>
                              <w:pStyle w:val="44"/>
                              <w:rPr>
                                <w:rFonts w:hint="default"/>
                                <w:lang w:val="en-US" w:eastAsia="zh-CN"/>
                              </w:rPr>
                            </w:pPr>
                            <w:r>
                              <w:rPr>
                                <w:rFonts w:hint="eastAsia"/>
                                <w:lang w:val="en-US" w:eastAsia="zh-CN"/>
                              </w:rPr>
                              <w:t>比例尺 1：18055</w:t>
                            </w:r>
                          </w:p>
                        </w:txbxContent>
                      </wps:txbx>
                      <wps:bodyPr upright="1"/>
                    </wps:wsp>
                  </a:graphicData>
                </a:graphic>
              </wp:anchor>
            </w:drawing>
          </mc:Choice>
          <mc:Fallback>
            <w:pict>
              <v:shape id="_x0000_s1026" o:spid="_x0000_s1026" o:spt="202" type="#_x0000_t202" style="position:absolute;left:0pt;margin-left:549.75pt;margin-top:272.8pt;height:120.7pt;width:113.75pt;z-index:251665408;mso-width-relative:page;mso-height-relative:page;" fillcolor="#FFFFFF" filled="t" stroked="t" coordsize="21600,21600" o:gfxdata="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DcFXi2wAAAA0BAAAPAAAA&#10;AAAAAAEAIAAAACIAAABkcnMvZG93bnJldi54bWxQSwECFAAUAAAACACHTuJAjunJ2xICAAA3BAAA&#10;DgAAAAAAAAABACAAAAAqAQAAZHJzL2Uyb0RvYy54bWxQSwUGAAAAAAYABgBZAQAArgUAAAAA&#10;">
                <v:fill on="t" focussize="0,0"/>
                <v:stroke color="#0070C0" joinstyle="miter"/>
                <v:imagedata o:title=""/>
                <o:lock v:ext="edit" aspectratio="f"/>
                <v:textbox>
                  <w:txbxContent>
                    <w:p w14:paraId="4EECB3A8">
                      <w:pPr>
                        <w:jc w:val="center"/>
                      </w:pPr>
                      <w:r>
                        <w:rPr>
                          <w:rFonts w:hint="eastAsia"/>
                        </w:rPr>
                        <w:t>图  例</w:t>
                      </w:r>
                    </w:p>
                    <w:p w14:paraId="5AAC79D6">
                      <w:pPr>
                        <w:keepNext w:val="0"/>
                        <w:keepLines w:val="0"/>
                        <w:pageBreakBefore w:val="0"/>
                        <w:widowControl w:val="0"/>
                        <w:kinsoku/>
                        <w:wordWrap/>
                        <w:overflowPunct/>
                        <w:topLinePunct w:val="0"/>
                        <w:bidi w:val="0"/>
                        <w:adjustRightInd/>
                        <w:snapToGrid/>
                        <w:spacing w:line="240" w:lineRule="auto"/>
                        <w:textAlignment w:val="auto"/>
                      </w:pPr>
                      <w:r>
                        <w:rPr>
                          <w:rFonts w:hint="eastAsia"/>
                          <w:b/>
                          <w:bCs/>
                          <w:color w:val="FF0000"/>
                        </w:rPr>
                        <w:sym w:font="Wingdings 2" w:char="00A3"/>
                      </w:r>
                      <w:r>
                        <w:rPr>
                          <w:rFonts w:hint="eastAsia"/>
                        </w:rPr>
                        <w:t>项目位置</w:t>
                      </w:r>
                    </w:p>
                    <w:p w14:paraId="5BEB14D7">
                      <w:pPr>
                        <w:ind w:firstLine="210" w:firstLineChars="100"/>
                      </w:pPr>
                      <w:r>
                        <w:rPr>
                          <w:rFonts w:hint="eastAsia"/>
                        </w:rPr>
                        <w:t>声环境保护范围</w:t>
                      </w:r>
                    </w:p>
                    <w:p w14:paraId="3FC767ED">
                      <w:pPr>
                        <w:ind w:firstLine="210" w:firstLineChars="100"/>
                        <w:rPr>
                          <w:rFonts w:hint="default" w:eastAsia="宋体"/>
                          <w:lang w:val="en-US" w:eastAsia="zh-CN"/>
                        </w:rPr>
                      </w:pPr>
                      <w:r>
                        <w:rPr>
                          <w:rFonts w:hint="eastAsia"/>
                        </w:rPr>
                        <w:t>大气环境保护范围</w:t>
                      </w:r>
                    </w:p>
                    <w:p w14:paraId="0C294599">
                      <w:pPr>
                        <w:ind w:firstLine="210" w:firstLineChars="100"/>
                        <w:jc w:val="both"/>
                        <w:rPr>
                          <w:rFonts w:hint="eastAsia"/>
                          <w:lang w:val="en-US" w:eastAsia="zh-CN"/>
                        </w:rPr>
                      </w:pPr>
                      <w:r>
                        <w:rPr>
                          <w:rFonts w:hint="eastAsia"/>
                          <w:lang w:val="en-US" w:eastAsia="zh-CN"/>
                        </w:rPr>
                        <w:t>大气环境保护目标</w:t>
                      </w:r>
                    </w:p>
                    <w:p w14:paraId="19769460">
                      <w:pPr>
                        <w:pStyle w:val="44"/>
                        <w:rPr>
                          <w:rFonts w:hint="eastAsia"/>
                          <w:lang w:val="en-US" w:eastAsia="zh-CN"/>
                        </w:rPr>
                      </w:pPr>
                      <w:r>
                        <w:rPr>
                          <w:rFonts w:hint="eastAsia"/>
                          <w:lang w:val="en-US" w:eastAsia="zh-CN"/>
                        </w:rPr>
                        <w:t xml:space="preserve">  声环境保护目标</w:t>
                      </w:r>
                    </w:p>
                    <w:p w14:paraId="20E89567">
                      <w:pPr>
                        <w:pStyle w:val="44"/>
                        <w:rPr>
                          <w:rFonts w:hint="default"/>
                          <w:lang w:val="en-US" w:eastAsia="zh-CN"/>
                        </w:rPr>
                      </w:pPr>
                      <w:r>
                        <w:rPr>
                          <w:rFonts w:hint="eastAsia"/>
                          <w:lang w:val="en-US" w:eastAsia="zh-CN"/>
                        </w:rPr>
                        <w:t>比例尺 1：18055</w:t>
                      </w:r>
                    </w:p>
                  </w:txbxContent>
                </v:textbox>
              </v:shape>
            </w:pict>
          </mc:Fallback>
        </mc:AlternateContent>
      </w:r>
      <w:r>
        <w:rPr>
          <w:rFonts w:hint="eastAsia" w:ascii="仿宋" w:hAnsi="仿宋" w:eastAsia="仿宋" w:cs="仿宋"/>
          <w:b/>
          <w:bCs/>
          <w:color w:val="auto"/>
          <w:sz w:val="24"/>
          <w:szCs w:val="24"/>
        </w:rPr>
        <w:drawing>
          <wp:anchor distT="0" distB="0" distL="114300" distR="114300" simplePos="0" relativeHeight="251672576" behindDoc="0" locked="0" layoutInCell="1" allowOverlap="1">
            <wp:simplePos x="0" y="0"/>
            <wp:positionH relativeFrom="column">
              <wp:posOffset>7155815</wp:posOffset>
            </wp:positionH>
            <wp:positionV relativeFrom="paragraph">
              <wp:posOffset>-635</wp:posOffset>
            </wp:positionV>
            <wp:extent cx="904240" cy="838200"/>
            <wp:effectExtent l="0" t="0" r="10160" b="0"/>
            <wp:wrapNone/>
            <wp:docPr id="1"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鸡西风玫瑰"/>
                    <pic:cNvPicPr>
                      <a:picLocks noChangeAspect="1"/>
                    </pic:cNvPicPr>
                  </pic:nvPicPr>
                  <pic:blipFill>
                    <a:blip r:embed="rId54"/>
                    <a:stretch>
                      <a:fillRect/>
                    </a:stretch>
                  </pic:blipFill>
                  <pic:spPr>
                    <a:xfrm>
                      <a:off x="0" y="0"/>
                      <a:ext cx="904240" cy="838200"/>
                    </a:xfrm>
                    <a:prstGeom prst="rect">
                      <a:avLst/>
                    </a:prstGeom>
                    <a:noFill/>
                    <a:ln>
                      <a:noFill/>
                    </a:ln>
                  </pic:spPr>
                </pic:pic>
              </a:graphicData>
            </a:graphic>
          </wp:anchor>
        </w:drawing>
      </w:r>
      <w:bookmarkStart w:id="16" w:name="_Toc30150"/>
      <w:r>
        <w:rPr>
          <w:color w:val="auto"/>
        </w:rPr>
        <w:drawing>
          <wp:inline distT="0" distB="0" distL="114300" distR="114300">
            <wp:extent cx="5138420" cy="4965700"/>
            <wp:effectExtent l="0" t="0" r="5080" b="635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pic:cNvPicPr>
                      <a:picLocks noChangeAspect="1"/>
                    </pic:cNvPicPr>
                  </pic:nvPicPr>
                  <pic:blipFill>
                    <a:blip r:embed="rId56"/>
                    <a:stretch>
                      <a:fillRect/>
                    </a:stretch>
                  </pic:blipFill>
                  <pic:spPr>
                    <a:xfrm>
                      <a:off x="0" y="0"/>
                      <a:ext cx="5138420" cy="4965700"/>
                    </a:xfrm>
                    <a:prstGeom prst="rect">
                      <a:avLst/>
                    </a:prstGeom>
                    <a:noFill/>
                    <a:ln>
                      <a:noFill/>
                    </a:ln>
                  </pic:spPr>
                </pic:pic>
              </a:graphicData>
            </a:graphic>
          </wp:inline>
        </w:drawing>
      </w:r>
    </w:p>
    <w:p w14:paraId="4C468F31">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eastAsia="宋体"/>
          <w:color w:val="auto"/>
          <w:sz w:val="21"/>
          <w:szCs w:val="21"/>
          <w:highlight w:val="none"/>
          <w:lang w:eastAsia="zh-CN"/>
        </w:r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2 </w:t>
      </w:r>
      <w:r>
        <w:rPr>
          <w:rFonts w:hint="eastAsia" w:ascii="宋体" w:hAnsi="宋体" w:eastAsia="宋体" w:cs="宋体"/>
          <w:b/>
          <w:bCs/>
          <w:color w:val="auto"/>
          <w:sz w:val="21"/>
          <w:szCs w:val="21"/>
          <w:highlight w:val="none"/>
        </w:rPr>
        <w:t>周围环境保护目标分布图</w:t>
      </w:r>
    </w:p>
    <w:bookmarkEnd w:id="16"/>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46"/>
        <w:gridCol w:w="5016"/>
      </w:tblGrid>
      <w:tr w14:paraId="092FD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14:paraId="16DB20D6">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color w:val="auto"/>
              </w:rPr>
              <w:drawing>
                <wp:inline distT="0" distB="0" distL="114300" distR="114300">
                  <wp:extent cx="3007360" cy="1969770"/>
                  <wp:effectExtent l="0" t="0" r="2540" b="11430"/>
                  <wp:docPr id="39" name="图片 19"/>
                  <wp:cNvGraphicFramePr/>
                  <a:graphic xmlns:a="http://schemas.openxmlformats.org/drawingml/2006/main">
                    <a:graphicData uri="http://schemas.openxmlformats.org/drawingml/2006/picture">
                      <pic:pic xmlns:pic="http://schemas.openxmlformats.org/drawingml/2006/picture">
                        <pic:nvPicPr>
                          <pic:cNvPr id="39" name="图片 19"/>
                          <pic:cNvPicPr/>
                        </pic:nvPicPr>
                        <pic:blipFill>
                          <a:blip r:embed="rId57"/>
                          <a:stretch>
                            <a:fillRect/>
                          </a:stretch>
                        </pic:blipFill>
                        <pic:spPr>
                          <a:xfrm>
                            <a:off x="0" y="0"/>
                            <a:ext cx="3007360" cy="1969770"/>
                          </a:xfrm>
                          <a:prstGeom prst="rect">
                            <a:avLst/>
                          </a:prstGeom>
                          <a:noFill/>
                          <a:ln>
                            <a:noFill/>
                          </a:ln>
                        </pic:spPr>
                      </pic:pic>
                    </a:graphicData>
                  </a:graphic>
                </wp:inline>
              </w:drawing>
            </w:r>
          </w:p>
        </w:tc>
        <w:tc>
          <w:tcPr>
            <w:tcW w:w="4530" w:type="dxa"/>
            <w:noWrap w:val="0"/>
            <w:vAlign w:val="center"/>
          </w:tcPr>
          <w:p w14:paraId="4366B974">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color w:val="auto"/>
              </w:rPr>
              <w:drawing>
                <wp:inline distT="0" distB="0" distL="114300" distR="114300">
                  <wp:extent cx="3009900" cy="1911985"/>
                  <wp:effectExtent l="0" t="0" r="0" b="12065"/>
                  <wp:docPr id="49" name="图片 20"/>
                  <wp:cNvGraphicFramePr/>
                  <a:graphic xmlns:a="http://schemas.openxmlformats.org/drawingml/2006/main">
                    <a:graphicData uri="http://schemas.openxmlformats.org/drawingml/2006/picture">
                      <pic:pic xmlns:pic="http://schemas.openxmlformats.org/drawingml/2006/picture">
                        <pic:nvPicPr>
                          <pic:cNvPr id="49" name="图片 20"/>
                          <pic:cNvPicPr/>
                        </pic:nvPicPr>
                        <pic:blipFill>
                          <a:blip r:embed="rId58"/>
                          <a:stretch>
                            <a:fillRect/>
                          </a:stretch>
                        </pic:blipFill>
                        <pic:spPr>
                          <a:xfrm>
                            <a:off x="0" y="0"/>
                            <a:ext cx="3009900" cy="1911985"/>
                          </a:xfrm>
                          <a:prstGeom prst="rect">
                            <a:avLst/>
                          </a:prstGeom>
                          <a:noFill/>
                          <a:ln>
                            <a:noFill/>
                          </a:ln>
                        </pic:spPr>
                      </pic:pic>
                    </a:graphicData>
                  </a:graphic>
                </wp:inline>
              </w:drawing>
            </w:r>
          </w:p>
        </w:tc>
      </w:tr>
      <w:tr w14:paraId="245D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2335FFE4">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厂区东侧农田</w:t>
            </w:r>
          </w:p>
        </w:tc>
        <w:tc>
          <w:tcPr>
            <w:tcW w:w="4530" w:type="dxa"/>
            <w:noWrap w:val="0"/>
            <w:vAlign w:val="center"/>
          </w:tcPr>
          <w:p w14:paraId="45385F78">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厂区西侧</w:t>
            </w:r>
            <w:r>
              <w:rPr>
                <w:rFonts w:hint="eastAsia"/>
                <w:b/>
                <w:bCs/>
                <w:color w:val="auto"/>
                <w:kern w:val="0"/>
                <w:szCs w:val="21"/>
                <w:highlight w:val="none"/>
                <w:lang w:val="en-US" w:eastAsia="zh-CN"/>
              </w:rPr>
              <w:t>农田、向阳村</w:t>
            </w:r>
          </w:p>
        </w:tc>
      </w:tr>
      <w:tr w14:paraId="5BCDE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14:paraId="09A71513">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color w:val="auto"/>
              </w:rPr>
              <w:drawing>
                <wp:inline distT="0" distB="0" distL="114300" distR="114300">
                  <wp:extent cx="3067050" cy="2057400"/>
                  <wp:effectExtent l="0" t="0" r="0" b="0"/>
                  <wp:docPr id="69" name="图片 21"/>
                  <wp:cNvGraphicFramePr/>
                  <a:graphic xmlns:a="http://schemas.openxmlformats.org/drawingml/2006/main">
                    <a:graphicData uri="http://schemas.openxmlformats.org/drawingml/2006/picture">
                      <pic:pic xmlns:pic="http://schemas.openxmlformats.org/drawingml/2006/picture">
                        <pic:nvPicPr>
                          <pic:cNvPr id="69" name="图片 21"/>
                          <pic:cNvPicPr/>
                        </pic:nvPicPr>
                        <pic:blipFill>
                          <a:blip r:embed="rId59"/>
                          <a:stretch>
                            <a:fillRect/>
                          </a:stretch>
                        </pic:blipFill>
                        <pic:spPr>
                          <a:xfrm>
                            <a:off x="0" y="0"/>
                            <a:ext cx="3067050" cy="2057400"/>
                          </a:xfrm>
                          <a:prstGeom prst="rect">
                            <a:avLst/>
                          </a:prstGeom>
                          <a:noFill/>
                          <a:ln>
                            <a:noFill/>
                          </a:ln>
                        </pic:spPr>
                      </pic:pic>
                    </a:graphicData>
                  </a:graphic>
                </wp:inline>
              </w:drawing>
            </w:r>
          </w:p>
        </w:tc>
        <w:tc>
          <w:tcPr>
            <w:tcW w:w="4530" w:type="dxa"/>
            <w:noWrap w:val="0"/>
            <w:vAlign w:val="center"/>
          </w:tcPr>
          <w:p w14:paraId="753B8BF7">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color w:val="auto"/>
              </w:rPr>
              <w:drawing>
                <wp:inline distT="0" distB="0" distL="114300" distR="114300">
                  <wp:extent cx="3039110" cy="2000885"/>
                  <wp:effectExtent l="0" t="0" r="8890" b="18415"/>
                  <wp:docPr id="35" name="图片 18"/>
                  <wp:cNvGraphicFramePr/>
                  <a:graphic xmlns:a="http://schemas.openxmlformats.org/drawingml/2006/main">
                    <a:graphicData uri="http://schemas.openxmlformats.org/drawingml/2006/picture">
                      <pic:pic xmlns:pic="http://schemas.openxmlformats.org/drawingml/2006/picture">
                        <pic:nvPicPr>
                          <pic:cNvPr id="35" name="图片 18"/>
                          <pic:cNvPicPr/>
                        </pic:nvPicPr>
                        <pic:blipFill>
                          <a:blip r:embed="rId60"/>
                          <a:stretch>
                            <a:fillRect/>
                          </a:stretch>
                        </pic:blipFill>
                        <pic:spPr>
                          <a:xfrm>
                            <a:off x="0" y="0"/>
                            <a:ext cx="3039110" cy="2000885"/>
                          </a:xfrm>
                          <a:prstGeom prst="rect">
                            <a:avLst/>
                          </a:prstGeom>
                          <a:noFill/>
                          <a:ln>
                            <a:noFill/>
                          </a:ln>
                        </pic:spPr>
                      </pic:pic>
                    </a:graphicData>
                  </a:graphic>
                </wp:inline>
              </w:drawing>
            </w:r>
          </w:p>
        </w:tc>
      </w:tr>
      <w:tr w14:paraId="38F8A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4E1DDF16">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厂区南侧向阳村</w:t>
            </w:r>
          </w:p>
        </w:tc>
        <w:tc>
          <w:tcPr>
            <w:tcW w:w="4530" w:type="dxa"/>
            <w:noWrap w:val="0"/>
            <w:vAlign w:val="center"/>
          </w:tcPr>
          <w:p w14:paraId="3EDB888B">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厂区北侧农田</w:t>
            </w:r>
          </w:p>
        </w:tc>
      </w:tr>
    </w:tbl>
    <w:p w14:paraId="0E61B20C">
      <w:pPr>
        <w:pStyle w:val="5"/>
        <w:bidi w:val="0"/>
        <w:jc w:val="center"/>
        <w:rPr>
          <w:rFonts w:hint="default" w:ascii="Times New Roman" w:hAnsi="Times New Roman" w:eastAsia="宋体" w:cs="Times New Roman"/>
          <w:color w:val="auto"/>
          <w:sz w:val="21"/>
          <w:szCs w:val="21"/>
          <w:highlight w:val="none"/>
          <w:lang w:val="en-US" w:eastAsia="zh-CN"/>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lang w:val="en-US" w:eastAsia="zh-CN"/>
        </w:rPr>
        <w:t>附图3 厂区四周图</w:t>
      </w:r>
    </w:p>
    <w:p w14:paraId="6A5FBC99">
      <w:pPr>
        <w:rPr>
          <w:rFonts w:hint="eastAsia"/>
          <w:color w:val="auto"/>
          <w:lang w:val="en-US" w:eastAsia="zh-CN"/>
        </w:rPr>
      </w:pPr>
      <w:r>
        <w:rPr>
          <w:rFonts w:hint="eastAsia" w:ascii="仿宋" w:hAnsi="仿宋" w:eastAsia="仿宋" w:cs="仿宋"/>
          <w:b/>
          <w:bCs/>
          <w:color w:val="auto"/>
          <w:sz w:val="24"/>
          <w:szCs w:val="24"/>
        </w:rPr>
        <w:drawing>
          <wp:anchor distT="0" distB="0" distL="114300" distR="114300" simplePos="0" relativeHeight="251674624" behindDoc="0" locked="0" layoutInCell="1" allowOverlap="1">
            <wp:simplePos x="0" y="0"/>
            <wp:positionH relativeFrom="column">
              <wp:posOffset>7155815</wp:posOffset>
            </wp:positionH>
            <wp:positionV relativeFrom="paragraph">
              <wp:posOffset>-635</wp:posOffset>
            </wp:positionV>
            <wp:extent cx="904240" cy="838200"/>
            <wp:effectExtent l="0" t="0" r="10160" b="0"/>
            <wp:wrapNone/>
            <wp:docPr id="71"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descr="鸡西风玫瑰"/>
                    <pic:cNvPicPr>
                      <a:picLocks noChangeAspect="1"/>
                    </pic:cNvPicPr>
                  </pic:nvPicPr>
                  <pic:blipFill>
                    <a:blip r:embed="rId54"/>
                    <a:stretch>
                      <a:fillRect/>
                    </a:stretch>
                  </pic:blipFill>
                  <pic:spPr>
                    <a:xfrm>
                      <a:off x="0" y="0"/>
                      <a:ext cx="904240" cy="838200"/>
                    </a:xfrm>
                    <a:prstGeom prst="rect">
                      <a:avLst/>
                    </a:prstGeom>
                    <a:noFill/>
                    <a:ln>
                      <a:noFill/>
                    </a:ln>
                  </pic:spPr>
                </pic:pic>
              </a:graphicData>
            </a:graphic>
          </wp:anchor>
        </w:drawing>
      </w:r>
    </w:p>
    <w:p w14:paraId="278C2ED3">
      <w:pPr>
        <w:jc w:val="center"/>
        <w:rPr>
          <w:rFonts w:hint="default" w:eastAsia="宋体" w:cs="Times New Roman"/>
          <w:color w:val="auto"/>
          <w:sz w:val="21"/>
          <w:szCs w:val="21"/>
          <w:highlight w:val="none"/>
          <w:lang w:val="en-US" w:eastAsia="zh-CN"/>
        </w:rPr>
      </w:pPr>
      <w:r>
        <w:rPr>
          <w:color w:val="auto"/>
          <w:sz w:val="30"/>
        </w:rPr>
        <mc:AlternateContent>
          <mc:Choice Requires="wps">
            <w:drawing>
              <wp:anchor distT="0" distB="0" distL="114300" distR="114300" simplePos="0" relativeHeight="251689984" behindDoc="0" locked="0" layoutInCell="1" allowOverlap="1">
                <wp:simplePos x="0" y="0"/>
                <wp:positionH relativeFrom="column">
                  <wp:posOffset>4337685</wp:posOffset>
                </wp:positionH>
                <wp:positionV relativeFrom="paragraph">
                  <wp:posOffset>1144270</wp:posOffset>
                </wp:positionV>
                <wp:extent cx="219075" cy="152400"/>
                <wp:effectExtent l="9525" t="9525" r="19050" b="9525"/>
                <wp:wrapNone/>
                <wp:docPr id="102" name="矩形 102"/>
                <wp:cNvGraphicFramePr/>
                <a:graphic xmlns:a="http://schemas.openxmlformats.org/drawingml/2006/main">
                  <a:graphicData uri="http://schemas.microsoft.com/office/word/2010/wordprocessingShape">
                    <wps:wsp>
                      <wps:cNvSpPr/>
                      <wps:spPr>
                        <a:xfrm>
                          <a:off x="0" y="0"/>
                          <a:ext cx="219075" cy="152400"/>
                        </a:xfrm>
                        <a:prstGeom prst="rect">
                          <a:avLst/>
                        </a:prstGeom>
                        <a:noFill/>
                        <a:ln w="19050">
                          <a:solidFill>
                            <a:srgbClr val="FFC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55pt;margin-top:90.1pt;height:12pt;width:17.25pt;z-index:251689984;v-text-anchor:middle;mso-width-relative:page;mso-height-relative:page;" filled="f" stroked="t" coordsize="21600,21600" o:gfxdata="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YSIDtsAAAALAQAADwAAAAAAAAABACAAAAAiAAAAZHJzL2Rvd25yZXYueG1sUEsBAhQAFAAA&#10;AAgAh07iQKwXd4teAgAAtwQAAA4AAAAAAAAAAQAgAAAAKgEAAGRycy9lMm9Eb2MueG1sUEsFBgAA&#10;AAAGAAYAWQEAAPoFAAAAAA==&#10;">
                <v:fill on="f" focussize="0,0"/>
                <v:stroke weight="1.5pt" color="#FFC000 [3204]" joinstyle="round"/>
                <v:imagedata o:title=""/>
                <o:lock v:ext="edit" aspectratio="f"/>
              </v:rect>
            </w:pict>
          </mc:Fallback>
        </mc:AlternateContent>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3632200</wp:posOffset>
                </wp:positionH>
                <wp:positionV relativeFrom="paragraph">
                  <wp:posOffset>7031355</wp:posOffset>
                </wp:positionV>
                <wp:extent cx="2085975" cy="1008380"/>
                <wp:effectExtent l="0" t="0" r="0" b="0"/>
                <wp:wrapNone/>
                <wp:docPr id="14" name="矩形 14"/>
                <wp:cNvGraphicFramePr/>
                <a:graphic xmlns:a="http://schemas.openxmlformats.org/drawingml/2006/main">
                  <a:graphicData uri="http://schemas.microsoft.com/office/word/2010/wordprocessingShape">
                    <wps:wsp>
                      <wps:cNvSpPr/>
                      <wps:spPr>
                        <a:xfrm>
                          <a:off x="4890770" y="8625840"/>
                          <a:ext cx="2085975" cy="1008380"/>
                        </a:xfrm>
                        <a:prstGeom prst="rect">
                          <a:avLst/>
                        </a:prstGeom>
                        <a:ln w="12700">
                          <a:noFill/>
                        </a:ln>
                      </wps:spPr>
                      <wps:style>
                        <a:lnRef idx="2">
                          <a:schemeClr val="accent1"/>
                        </a:lnRef>
                        <a:fillRef idx="0">
                          <a:srgbClr val="FFFFFF"/>
                        </a:fillRef>
                        <a:effectRef idx="0">
                          <a:srgbClr val="FFFFFF"/>
                        </a:effectRef>
                        <a:fontRef idx="minor">
                          <a:schemeClr val="tx1"/>
                        </a:fontRef>
                      </wps:style>
                      <wps:txbx>
                        <w:txbxContent>
                          <w:p w14:paraId="41002622">
                            <w:pPr>
                              <w:keepNext w:val="0"/>
                              <w:keepLines w:val="0"/>
                              <w:pageBreakBefore w:val="0"/>
                              <w:widowControl w:val="0"/>
                              <w:kinsoku/>
                              <w:wordWrap/>
                              <w:overflowPunct/>
                              <w:topLinePunct w:val="0"/>
                              <w:bidi w:val="0"/>
                              <w:adjustRightInd/>
                              <w:snapToGrid/>
                              <w:spacing w:line="240" w:lineRule="auto"/>
                              <w:ind w:firstLine="1050" w:firstLineChars="500"/>
                              <w:jc w:val="both"/>
                              <w:textAlignment w:val="auto"/>
                              <w:rPr>
                                <w:rFonts w:hint="eastAsia"/>
                                <w:lang w:val="en-US" w:eastAsia="zh-CN"/>
                              </w:rPr>
                            </w:pPr>
                            <w:r>
                              <w:rPr>
                                <w:rFonts w:hint="eastAsia"/>
                                <w:lang w:val="en-US" w:eastAsia="zh-CN"/>
                              </w:rPr>
                              <w:t>图例</w:t>
                            </w:r>
                          </w:p>
                          <w:p w14:paraId="6D5B7533">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lang w:val="en-US" w:eastAsia="zh-CN"/>
                              </w:rPr>
                            </w:pPr>
                            <w:r>
                              <w:rPr>
                                <w:rFonts w:hint="eastAsia"/>
                                <w:lang w:val="en-US" w:eastAsia="zh-CN"/>
                              </w:rPr>
                              <w:t>燃料间        除尘器</w:t>
                            </w:r>
                          </w:p>
                          <w:p w14:paraId="0D90CDEC">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lang w:val="en-US" w:eastAsia="zh-CN"/>
                              </w:rPr>
                            </w:pPr>
                            <w:r>
                              <w:rPr>
                                <w:rFonts w:hint="eastAsia"/>
                                <w:lang w:val="en-US" w:eastAsia="zh-CN"/>
                              </w:rPr>
                              <w:t>灰渣间        DA001</w:t>
                            </w:r>
                          </w:p>
                          <w:p w14:paraId="5682C914">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lang w:val="en-US" w:eastAsia="zh-CN"/>
                              </w:rPr>
                            </w:pPr>
                            <w:r>
                              <w:rPr>
                                <w:rFonts w:hint="eastAsia"/>
                                <w:lang w:val="en-US" w:eastAsia="zh-CN"/>
                              </w:rPr>
                              <w:t>危废贮存点</w:t>
                            </w:r>
                          </w:p>
                          <w:p w14:paraId="4ED9C53D">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pt;margin-top:553.65pt;height:79.4pt;width:164.25pt;z-index:251681792;v-text-anchor:middle;mso-width-relative:page;mso-height-relative:page;" filled="f" stroked="f" coordsize="21600,21600" o:gfxdata="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SNLyNoAAAANAQAADwAAAAAAAAABACAAAAAiAAAAZHJzL2Rvd25yZXYueG1sUEsBAhQA&#10;FAAAAAgAh07iQOWG7AViAgAApQQAAA4AAAAAAAAAAQAgAAAAKQEAAGRycy9lMm9Eb2MueG1sUEsF&#10;BgAAAAAGAAYAWQEAAP0FAAAAAA==&#10;">
                <v:fill on="f" focussize="0,0"/>
                <v:stroke on="f" weight="1pt"/>
                <v:imagedata o:title=""/>
                <o:lock v:ext="edit" aspectratio="f"/>
                <v:textbox>
                  <w:txbxContent>
                    <w:p w14:paraId="41002622">
                      <w:pPr>
                        <w:keepNext w:val="0"/>
                        <w:keepLines w:val="0"/>
                        <w:pageBreakBefore w:val="0"/>
                        <w:widowControl w:val="0"/>
                        <w:kinsoku/>
                        <w:wordWrap/>
                        <w:overflowPunct/>
                        <w:topLinePunct w:val="0"/>
                        <w:bidi w:val="0"/>
                        <w:adjustRightInd/>
                        <w:snapToGrid/>
                        <w:spacing w:line="240" w:lineRule="auto"/>
                        <w:ind w:firstLine="1050" w:firstLineChars="500"/>
                        <w:jc w:val="both"/>
                        <w:textAlignment w:val="auto"/>
                        <w:rPr>
                          <w:rFonts w:hint="eastAsia"/>
                          <w:lang w:val="en-US" w:eastAsia="zh-CN"/>
                        </w:rPr>
                      </w:pPr>
                      <w:r>
                        <w:rPr>
                          <w:rFonts w:hint="eastAsia"/>
                          <w:lang w:val="en-US" w:eastAsia="zh-CN"/>
                        </w:rPr>
                        <w:t>图例</w:t>
                      </w:r>
                    </w:p>
                    <w:p w14:paraId="6D5B7533">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lang w:val="en-US" w:eastAsia="zh-CN"/>
                        </w:rPr>
                      </w:pPr>
                      <w:r>
                        <w:rPr>
                          <w:rFonts w:hint="eastAsia"/>
                          <w:lang w:val="en-US" w:eastAsia="zh-CN"/>
                        </w:rPr>
                        <w:t>燃料间        除尘器</w:t>
                      </w:r>
                    </w:p>
                    <w:p w14:paraId="0D90CDEC">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lang w:val="en-US" w:eastAsia="zh-CN"/>
                        </w:rPr>
                      </w:pPr>
                      <w:r>
                        <w:rPr>
                          <w:rFonts w:hint="eastAsia"/>
                          <w:lang w:val="en-US" w:eastAsia="zh-CN"/>
                        </w:rPr>
                        <w:t>灰渣间        DA001</w:t>
                      </w:r>
                    </w:p>
                    <w:p w14:paraId="5682C914">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lang w:val="en-US" w:eastAsia="zh-CN"/>
                        </w:rPr>
                      </w:pPr>
                      <w:r>
                        <w:rPr>
                          <w:rFonts w:hint="eastAsia"/>
                          <w:lang w:val="en-US" w:eastAsia="zh-CN"/>
                        </w:rPr>
                        <w:t>危废贮存点</w:t>
                      </w:r>
                    </w:p>
                    <w:p w14:paraId="4ED9C53D">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lang w:val="en-US" w:eastAsia="zh-CN"/>
                        </w:rPr>
                      </w:pPr>
                    </w:p>
                  </w:txbxContent>
                </v:textbox>
              </v:rect>
            </w:pict>
          </mc:Fallback>
        </mc:AlternateContent>
      </w:r>
      <w:r>
        <w:rPr>
          <w:color w:val="auto"/>
          <w:sz w:val="30"/>
        </w:rPr>
        <mc:AlternateContent>
          <mc:Choice Requires="wps">
            <w:drawing>
              <wp:anchor distT="0" distB="0" distL="114300" distR="114300" simplePos="0" relativeHeight="251685888" behindDoc="0" locked="0" layoutInCell="1" allowOverlap="1">
                <wp:simplePos x="0" y="0"/>
                <wp:positionH relativeFrom="column">
                  <wp:posOffset>1694815</wp:posOffset>
                </wp:positionH>
                <wp:positionV relativeFrom="paragraph">
                  <wp:posOffset>3917950</wp:posOffset>
                </wp:positionV>
                <wp:extent cx="95250" cy="76200"/>
                <wp:effectExtent l="9525" t="9525" r="9525" b="9525"/>
                <wp:wrapNone/>
                <wp:docPr id="96" name="矩形 96"/>
                <wp:cNvGraphicFramePr/>
                <a:graphic xmlns:a="http://schemas.openxmlformats.org/drawingml/2006/main">
                  <a:graphicData uri="http://schemas.microsoft.com/office/word/2010/wordprocessingShape">
                    <wps:wsp>
                      <wps:cNvSpPr/>
                      <wps:spPr>
                        <a:xfrm>
                          <a:off x="0" y="0"/>
                          <a:ext cx="95250" cy="76200"/>
                        </a:xfrm>
                        <a:prstGeom prst="rect">
                          <a:avLst/>
                        </a:prstGeom>
                        <a:solidFill>
                          <a:srgbClr val="00B050"/>
                        </a:solidFill>
                        <a:ln w="19050">
                          <a:solidFill>
                            <a:srgbClr val="00B05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45pt;margin-top:308.5pt;height:6pt;width:7.5pt;z-index:251685888;v-text-anchor:middle;mso-width-relative:page;mso-height-relative:page;" fillcolor="#00B050" filled="t" stroked="t" coordsize="21600,21600" o:gfxdata="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7jNCnV&#10;AAAACwEAAA8AAAAAAAAAAQAgAAAAIgAAAGRycy9kb3ducmV2LnhtbFBLAQIUABQAAAAIAIdO4kDc&#10;X+7ZXAIAANwEAAAOAAAAAAAAAAEAIAAAACQBAABkcnMvZTJvRG9jLnhtbFBLBQYAAAAABgAGAFkB&#10;AADyBQAAAAA=&#10;">
                <v:fill on="t" focussize="0,0"/>
                <v:stroke weight="1.5pt" color="#00B050 [3204]" joinstyle="round"/>
                <v:imagedata o:title=""/>
                <o:lock v:ext="edit" aspectratio="f"/>
              </v:rect>
            </w:pict>
          </mc:Fallback>
        </mc:AlternateContent>
      </w:r>
      <w:r>
        <w:rPr>
          <w:color w:val="auto"/>
          <w:sz w:val="30"/>
        </w:rPr>
        <mc:AlternateContent>
          <mc:Choice Requires="wps">
            <w:drawing>
              <wp:anchor distT="0" distB="0" distL="114300" distR="114300" simplePos="0" relativeHeight="251684864" behindDoc="0" locked="0" layoutInCell="1" allowOverlap="1">
                <wp:simplePos x="0" y="0"/>
                <wp:positionH relativeFrom="column">
                  <wp:posOffset>1699260</wp:posOffset>
                </wp:positionH>
                <wp:positionV relativeFrom="paragraph">
                  <wp:posOffset>4135120</wp:posOffset>
                </wp:positionV>
                <wp:extent cx="114300" cy="85725"/>
                <wp:effectExtent l="9525" t="9525" r="9525" b="19050"/>
                <wp:wrapNone/>
                <wp:docPr id="95" name="矩形 95"/>
                <wp:cNvGraphicFramePr/>
                <a:graphic xmlns:a="http://schemas.openxmlformats.org/drawingml/2006/main">
                  <a:graphicData uri="http://schemas.microsoft.com/office/word/2010/wordprocessingShape">
                    <wps:wsp>
                      <wps:cNvSpPr/>
                      <wps:spPr>
                        <a:xfrm>
                          <a:off x="0" y="0"/>
                          <a:ext cx="114300" cy="85725"/>
                        </a:xfrm>
                        <a:prstGeom prst="rect">
                          <a:avLst/>
                        </a:prstGeom>
                        <a:solidFill>
                          <a:srgbClr val="00B050"/>
                        </a:solidFill>
                        <a:ln w="19050">
                          <a:solidFill>
                            <a:srgbClr val="00B05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8pt;margin-top:325.6pt;height:6.75pt;width:9pt;z-index:251684864;v-text-anchor:middle;mso-width-relative:page;mso-height-relative:page;" fillcolor="#00B050" filled="t" stroked="t" coordsize="21600,21600" o:gfxdata="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gykvNgAAAALAQAADwAAAAAAAAABACAAAAAiAAAAZHJzL2Rvd25yZXYueG1sUEsBAhQAFAAAAAgA&#10;h07iQCVvbmReAgAA3QQAAA4AAAAAAAAAAQAgAAAAJwEAAGRycy9lMm9Eb2MueG1sUEsFBgAAAAAG&#10;AAYAWQEAAPcFAAAAAA==&#10;">
                <v:fill on="t" focussize="0,0"/>
                <v:stroke weight="1.5pt" color="#00B050 [3204]" joinstyle="round"/>
                <v:imagedata o:title=""/>
                <o:lock v:ext="edit" aspectratio="f"/>
              </v:rect>
            </w:pict>
          </mc:Fallback>
        </mc:AlternateContent>
      </w:r>
      <w:r>
        <w:rPr>
          <w:rFonts w:hint="eastAsia" w:ascii="仿宋" w:hAnsi="仿宋" w:eastAsia="仿宋" w:cs="仿宋"/>
          <w:b/>
          <w:bCs/>
          <w:color w:val="auto"/>
          <w:sz w:val="24"/>
          <w:szCs w:val="24"/>
        </w:rPr>
        <w:drawing>
          <wp:anchor distT="0" distB="0" distL="114300" distR="114300" simplePos="0" relativeHeight="251675648" behindDoc="0" locked="0" layoutInCell="1" allowOverlap="1">
            <wp:simplePos x="0" y="0"/>
            <wp:positionH relativeFrom="column">
              <wp:posOffset>4437380</wp:posOffset>
            </wp:positionH>
            <wp:positionV relativeFrom="paragraph">
              <wp:posOffset>278130</wp:posOffset>
            </wp:positionV>
            <wp:extent cx="904240" cy="838200"/>
            <wp:effectExtent l="0" t="0" r="10160" b="0"/>
            <wp:wrapNone/>
            <wp:docPr id="72"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descr="鸡西风玫瑰"/>
                    <pic:cNvPicPr>
                      <a:picLocks noChangeAspect="1"/>
                    </pic:cNvPicPr>
                  </pic:nvPicPr>
                  <pic:blipFill>
                    <a:blip r:embed="rId54"/>
                    <a:stretch>
                      <a:fillRect/>
                    </a:stretch>
                  </pic:blipFill>
                  <pic:spPr>
                    <a:xfrm>
                      <a:off x="0" y="0"/>
                      <a:ext cx="904240" cy="838200"/>
                    </a:xfrm>
                    <a:prstGeom prst="rect">
                      <a:avLst/>
                    </a:prstGeom>
                    <a:noFill/>
                    <a:ln>
                      <a:noFill/>
                    </a:ln>
                  </pic:spPr>
                </pic:pic>
              </a:graphicData>
            </a:graphic>
          </wp:anchor>
        </w:drawing>
      </w:r>
      <w:r>
        <w:rPr>
          <w:color w:val="auto"/>
        </w:rPr>
        <w:drawing>
          <wp:inline distT="0" distB="0" distL="114300" distR="114300">
            <wp:extent cx="5615940" cy="7155815"/>
            <wp:effectExtent l="0" t="0" r="3810" b="6985"/>
            <wp:docPr id="70" name="图片 22"/>
            <wp:cNvGraphicFramePr/>
            <a:graphic xmlns:a="http://schemas.openxmlformats.org/drawingml/2006/main">
              <a:graphicData uri="http://schemas.openxmlformats.org/drawingml/2006/picture">
                <pic:pic xmlns:pic="http://schemas.openxmlformats.org/drawingml/2006/picture">
                  <pic:nvPicPr>
                    <pic:cNvPr id="70" name="图片 22"/>
                    <pic:cNvPicPr/>
                  </pic:nvPicPr>
                  <pic:blipFill>
                    <a:blip r:embed="rId61"/>
                    <a:stretch>
                      <a:fillRect/>
                    </a:stretch>
                  </pic:blipFill>
                  <pic:spPr>
                    <a:xfrm>
                      <a:off x="0" y="0"/>
                      <a:ext cx="5615940" cy="7155815"/>
                    </a:xfrm>
                    <a:prstGeom prst="rect">
                      <a:avLst/>
                    </a:prstGeom>
                    <a:noFill/>
                    <a:ln>
                      <a:noFill/>
                    </a:ln>
                  </pic:spPr>
                </pic:pic>
              </a:graphicData>
            </a:graphic>
          </wp:inline>
        </w:drawing>
      </w:r>
    </w:p>
    <w:p w14:paraId="08FD4550">
      <w:pPr>
        <w:pStyle w:val="5"/>
        <w:bidi w:val="0"/>
        <w:jc w:val="center"/>
        <w:rPr>
          <w:rFonts w:hint="default"/>
          <w:color w:val="auto"/>
          <w:highlight w:val="none"/>
        </w:rPr>
      </w:pPr>
      <w:r>
        <w:rPr>
          <w:color w:val="auto"/>
          <w:sz w:val="30"/>
        </w:rPr>
        <mc:AlternateContent>
          <mc:Choice Requires="wps">
            <w:drawing>
              <wp:anchor distT="0" distB="0" distL="114300" distR="114300" simplePos="0" relativeHeight="251687936" behindDoc="0" locked="0" layoutInCell="1" allowOverlap="1">
                <wp:simplePos x="0" y="0"/>
                <wp:positionH relativeFrom="column">
                  <wp:posOffset>4642485</wp:posOffset>
                </wp:positionH>
                <wp:positionV relativeFrom="paragraph">
                  <wp:posOffset>279400</wp:posOffset>
                </wp:positionV>
                <wp:extent cx="171450" cy="152400"/>
                <wp:effectExtent l="12700" t="12700" r="25400" b="25400"/>
                <wp:wrapNone/>
                <wp:docPr id="100" name="椭圆 100"/>
                <wp:cNvGraphicFramePr/>
                <a:graphic xmlns:a="http://schemas.openxmlformats.org/drawingml/2006/main">
                  <a:graphicData uri="http://schemas.microsoft.com/office/word/2010/wordprocessingShape">
                    <wps:wsp>
                      <wps:cNvSpPr/>
                      <wps:spPr>
                        <a:xfrm>
                          <a:off x="5595620" y="8812530"/>
                          <a:ext cx="171450" cy="15240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5.55pt;margin-top:22pt;height:12pt;width:13.5pt;z-index:251687936;v-text-anchor:middle;mso-width-relative:page;mso-height-relative:page;" filled="f" stroked="t" coordsize="21600,21600" o:gfxdata="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Miss3XAAAACQEAAA8AAAAAAAAAAQAgAAAAIgAAAGRycy9kb3ducmV2Lnht&#10;bFBLAQIUABQAAAAIAIdO4kBVyP71bAIAAMYEAAAOAAAAAAAAAAEAIAAAACYBAABkcnMvZTJvRG9j&#10;LnhtbFBLBQYAAAAABgAGAFkBAAAEBgAAAAA=&#10;">
                <v:fill on="f" focussize="0,0"/>
                <v:stroke weight="2pt" color="#FF0000 [2404]" joinstyle="round"/>
                <v:imagedata o:title=""/>
                <o:lock v:ext="edit" aspectratio="f"/>
              </v:shape>
            </w:pict>
          </mc:Fallback>
        </mc:AlternateContent>
      </w:r>
      <w:r>
        <w:rPr>
          <w:color w:val="auto"/>
          <w:sz w:val="30"/>
        </w:rPr>
        <mc:AlternateContent>
          <mc:Choice Requires="wps">
            <w:drawing>
              <wp:anchor distT="0" distB="0" distL="114300" distR="114300" simplePos="0" relativeHeight="251686912" behindDoc="0" locked="0" layoutInCell="1" allowOverlap="1">
                <wp:simplePos x="0" y="0"/>
                <wp:positionH relativeFrom="column">
                  <wp:posOffset>4632960</wp:posOffset>
                </wp:positionH>
                <wp:positionV relativeFrom="paragraph">
                  <wp:posOffset>73660</wp:posOffset>
                </wp:positionV>
                <wp:extent cx="219075" cy="152400"/>
                <wp:effectExtent l="9525" t="9525" r="19050" b="9525"/>
                <wp:wrapNone/>
                <wp:docPr id="99" name="矩形 99"/>
                <wp:cNvGraphicFramePr/>
                <a:graphic xmlns:a="http://schemas.openxmlformats.org/drawingml/2006/main">
                  <a:graphicData uri="http://schemas.microsoft.com/office/word/2010/wordprocessingShape">
                    <wps:wsp>
                      <wps:cNvSpPr/>
                      <wps:spPr>
                        <a:xfrm>
                          <a:off x="0" y="0"/>
                          <a:ext cx="219075" cy="152400"/>
                        </a:xfrm>
                        <a:prstGeom prst="rect">
                          <a:avLst/>
                        </a:prstGeom>
                        <a:noFill/>
                        <a:ln w="1905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8pt;margin-top:5.8pt;height:12pt;width:17.25pt;z-index:251686912;v-text-anchor:middle;mso-width-relative:page;mso-height-relative:page;" filled="f" stroked="t" coordsize="21600,21600" o:gfxdata="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YfARfYAAAACQEAAA8AAAAAAAAAAQAgAAAAIgAAAGRycy9kb3ducmV2LnhtbFBLAQIUABQAAAAI&#10;AIdO4kBb8IG/XwIAALUEAAAOAAAAAAAAAAEAIAAAACcBAABkcnMvZTJvRG9jLnhtbFBLBQYAAAAA&#10;BgAGAFkBAAD4BQAAAAA=&#10;">
                <v:fill on="f" focussize="0,0"/>
                <v:stroke weight="1.5pt" color="#FF0000 [3204]" joinstyle="round"/>
                <v:imagedata o:title=""/>
                <o:lock v:ext="edit" aspectratio="f"/>
              </v:rect>
            </w:pict>
          </mc:Fallback>
        </mc:AlternateContent>
      </w:r>
      <w:r>
        <w:rPr>
          <w:color w:val="auto"/>
          <w:sz w:val="30"/>
        </w:rPr>
        <mc:AlternateContent>
          <mc:Choice Requires="wps">
            <w:drawing>
              <wp:anchor distT="0" distB="0" distL="114300" distR="114300" simplePos="0" relativeHeight="251683840" behindDoc="0" locked="0" layoutInCell="1" allowOverlap="1">
                <wp:simplePos x="0" y="0"/>
                <wp:positionH relativeFrom="column">
                  <wp:posOffset>3728085</wp:posOffset>
                </wp:positionH>
                <wp:positionV relativeFrom="paragraph">
                  <wp:posOffset>283210</wp:posOffset>
                </wp:positionV>
                <wp:extent cx="219075" cy="152400"/>
                <wp:effectExtent l="9525" t="9525" r="19050" b="9525"/>
                <wp:wrapNone/>
                <wp:docPr id="31" name="矩形 31"/>
                <wp:cNvGraphicFramePr/>
                <a:graphic xmlns:a="http://schemas.openxmlformats.org/drawingml/2006/main">
                  <a:graphicData uri="http://schemas.microsoft.com/office/word/2010/wordprocessingShape">
                    <wps:wsp>
                      <wps:cNvSpPr/>
                      <wps:spPr>
                        <a:xfrm>
                          <a:off x="0" y="0"/>
                          <a:ext cx="219075" cy="152400"/>
                        </a:xfrm>
                        <a:prstGeom prst="rect">
                          <a:avLst/>
                        </a:prstGeom>
                        <a:solidFill>
                          <a:srgbClr val="00B050"/>
                        </a:solidFill>
                        <a:ln w="19050">
                          <a:solidFill>
                            <a:srgbClr val="00B05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55pt;margin-top:22.3pt;height:12pt;width:17.25pt;z-index:251683840;v-text-anchor:middle;mso-width-relative:page;mso-height-relative:page;" fillcolor="#00B050" filled="t" stroked="t" coordsize="21600,21600" o:gfxdata="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U&#10;YXdg1gAAAAkBAAAPAAAAAAAAAAEAIAAAACIAAABkcnMvZG93bnJldi54bWxQSwECFAAUAAAACACH&#10;TuJAGmED1V8CAADeBAAADgAAAAAAAAABACAAAAAlAQAAZHJzL2Uyb0RvYy54bWxQSwUGAAAAAAYA&#10;BgBZAQAA9gUAAAAA&#10;">
                <v:fill on="t" focussize="0,0"/>
                <v:stroke weight="1.5pt" color="#00B050 [3204]" joinstyle="round"/>
                <v:imagedata o:title=""/>
                <o:lock v:ext="edit" aspectratio="f"/>
              </v:rect>
            </w:pict>
          </mc:Fallback>
        </mc:AlternateContent>
      </w:r>
      <w:r>
        <w:rPr>
          <w:color w:val="auto"/>
          <w:sz w:val="30"/>
        </w:rPr>
        <mc:AlternateContent>
          <mc:Choice Requires="wps">
            <w:drawing>
              <wp:anchor distT="0" distB="0" distL="114300" distR="114300" simplePos="0" relativeHeight="251682816" behindDoc="0" locked="0" layoutInCell="1" allowOverlap="1">
                <wp:simplePos x="0" y="0"/>
                <wp:positionH relativeFrom="column">
                  <wp:posOffset>3728085</wp:posOffset>
                </wp:positionH>
                <wp:positionV relativeFrom="paragraph">
                  <wp:posOffset>83185</wp:posOffset>
                </wp:positionV>
                <wp:extent cx="219075" cy="152400"/>
                <wp:effectExtent l="9525" t="9525" r="19050" b="9525"/>
                <wp:wrapNone/>
                <wp:docPr id="23" name="矩形 23"/>
                <wp:cNvGraphicFramePr/>
                <a:graphic xmlns:a="http://schemas.openxmlformats.org/drawingml/2006/main">
                  <a:graphicData uri="http://schemas.microsoft.com/office/word/2010/wordprocessingShape">
                    <wps:wsp>
                      <wps:cNvSpPr/>
                      <wps:spPr>
                        <a:xfrm>
                          <a:off x="5062220" y="8921115"/>
                          <a:ext cx="219075" cy="152400"/>
                        </a:xfrm>
                        <a:prstGeom prst="rect">
                          <a:avLst/>
                        </a:prstGeom>
                        <a:solidFill>
                          <a:srgbClr val="00B050"/>
                        </a:solidFill>
                        <a:ln w="19050">
                          <a:solidFill>
                            <a:srgbClr val="00B05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55pt;margin-top:6.55pt;height:12pt;width:17.25pt;z-index:251682816;v-text-anchor:middle;mso-width-relative:page;mso-height-relative:page;" fillcolor="#00B050" filled="t" stroked="t" coordsize="21600,21600" o:gfxdata="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RXT2XWAAAACQEAAA8AAAAAAAAAAQAgAAAAIgAAAGRycy9kb3ducmV2Lnht&#10;bFBLAQIUABQAAAAIAIdO4kCFzyN5bQIAAOoEAAAOAAAAAAAAAAEAIAAAACUBAABkcnMvZTJvRG9j&#10;LnhtbFBLBQYAAAAABgAGAFkBAAAEBgAAAAA=&#10;">
                <v:fill on="t" focussize="0,0"/>
                <v:stroke weight="1.5pt" color="#00B050 [3204]" joinstyle="round"/>
                <v:imagedata o:title=""/>
                <o:lock v:ext="edit" aspectratio="f"/>
              </v:rect>
            </w:pict>
          </mc:Fallback>
        </mc:AlternateContent>
      </w:r>
      <w:r>
        <w:rPr>
          <w:rFonts w:hint="default" w:ascii="Times New Roman" w:hAnsi="Times New Roman" w:eastAsia="宋体" w:cs="Times New Roman"/>
          <w:color w:val="auto"/>
          <w:sz w:val="21"/>
          <w:szCs w:val="21"/>
          <w:highlight w:val="none"/>
          <w:lang w:val="en-US" w:eastAsia="zh-CN"/>
        </w:rPr>
        <w:t>附图4厂区平面布置图</w:t>
      </w:r>
      <w:bookmarkStart w:id="17" w:name="_Toc29471"/>
    </w:p>
    <w:bookmarkEnd w:id="17"/>
    <w:p w14:paraId="2C05F5E2">
      <w:pPr>
        <w:pStyle w:val="5"/>
        <w:bidi w:val="0"/>
        <w:ind w:left="0" w:leftChars="0" w:firstLine="0" w:firstLineChars="0"/>
        <w:jc w:val="center"/>
        <w:rPr>
          <w:rFonts w:hint="default"/>
          <w:color w:val="auto"/>
          <w:highlight w:val="none"/>
          <w:lang w:val="en-US" w:eastAsia="zh-CN"/>
        </w:rPr>
      </w:pPr>
      <w:r>
        <w:rPr>
          <w:color w:val="auto"/>
          <w:sz w:val="30"/>
        </w:rPr>
        <mc:AlternateContent>
          <mc:Choice Requires="wps">
            <w:drawing>
              <wp:anchor distT="0" distB="0" distL="114300" distR="114300" simplePos="0" relativeHeight="251688960" behindDoc="0" locked="0" layoutInCell="1" allowOverlap="1">
                <wp:simplePos x="0" y="0"/>
                <wp:positionH relativeFrom="column">
                  <wp:posOffset>3709035</wp:posOffset>
                </wp:positionH>
                <wp:positionV relativeFrom="paragraph">
                  <wp:posOffset>119380</wp:posOffset>
                </wp:positionV>
                <wp:extent cx="219075" cy="152400"/>
                <wp:effectExtent l="9525" t="9525" r="19050" b="9525"/>
                <wp:wrapNone/>
                <wp:docPr id="101" name="矩形 101"/>
                <wp:cNvGraphicFramePr/>
                <a:graphic xmlns:a="http://schemas.openxmlformats.org/drawingml/2006/main">
                  <a:graphicData uri="http://schemas.microsoft.com/office/word/2010/wordprocessingShape">
                    <wps:wsp>
                      <wps:cNvSpPr/>
                      <wps:spPr>
                        <a:xfrm>
                          <a:off x="0" y="0"/>
                          <a:ext cx="219075" cy="152400"/>
                        </a:xfrm>
                        <a:prstGeom prst="rect">
                          <a:avLst/>
                        </a:prstGeom>
                        <a:noFill/>
                        <a:ln w="19050">
                          <a:solidFill>
                            <a:srgbClr val="FFC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2.05pt;margin-top:9.4pt;height:12pt;width:17.25pt;z-index:251688960;v-text-anchor:middle;mso-width-relative:page;mso-height-relative:page;" filled="f" stroked="t" coordsize="21600,21600" o:gfxdata="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OyfUDZAAAACQEAAA8AAAAAAAAAAQAgAAAAIgAAAGRycy9kb3ducmV2LnhtbFBLAQIUABQAAAAI&#10;AIdO4kBabCo4XgIAALcEAAAOAAAAAAAAAAEAIAAAACgBAABkcnMvZTJvRG9jLnhtbFBLBQYAAAAA&#10;BgAGAFkBAAD4BQAAAAA=&#10;">
                <v:fill on="f" focussize="0,0"/>
                <v:stroke weight="1.5pt" color="#FFC000 [3204]" joinstyle="round"/>
                <v:imagedata o:title=""/>
                <o:lock v:ext="edit" aspectratio="f"/>
              </v:rect>
            </w:pict>
          </mc:Fallback>
        </mc:AlternateContent>
      </w:r>
    </w:p>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Cambria">
    <w:panose1 w:val="02040503050406030204"/>
    <w:charset w:val="00"/>
    <w:family w:val="auto"/>
    <w:pitch w:val="default"/>
    <w:sig w:usb0="E00006FF" w:usb1="420024FF" w:usb2="02000000" w:usb3="00000000" w:csb0="2000019F"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new times roma">
    <w:altName w:val="Times New Roman"/>
    <w:panose1 w:val="00000000000000000000"/>
    <w:charset w:val="00"/>
    <w:family w:val="auto"/>
    <w:pitch w:val="default"/>
    <w:sig w:usb0="00000000" w:usb1="00000000" w:usb2="00000000"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imes New Roman Regular">
    <w:altName w:val="Times New Roman"/>
    <w:panose1 w:val="02020503050405090304"/>
    <w:charset w:val="00"/>
    <w:family w:val="auto"/>
    <w:pitch w:val="default"/>
    <w:sig w:usb0="00000000" w:usb1="00000000" w:usb2="00000001" w:usb3="00000000" w:csb0="400001BF" w:csb1="DFF7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580597">
    <w:pPr>
      <w:pStyle w:val="19"/>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0E10D7">
    <w:pPr>
      <w:pStyle w:val="19"/>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B9F75D">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52B9F75D">
                    <w:pPr>
                      <w:pStyle w:val="19"/>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DF4BB">
    <w:pPr>
      <w:pStyle w:val="19"/>
      <w:tabs>
        <w:tab w:val="center" w:pos="4121"/>
        <w:tab w:val="clear" w:pos="4153"/>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80DBD7">
                          <w:pPr>
                            <w:pStyle w:val="19"/>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4280DBD7">
                    <w:pPr>
                      <w:pStyle w:val="19"/>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15DEE">
    <w:pPr>
      <w:pStyle w:val="19"/>
      <w:tabs>
        <w:tab w:val="center" w:pos="4121"/>
        <w:tab w:val="clear" w:pos="4153"/>
        <w:tab w:val="clear" w:pos="8306"/>
      </w:tabs>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09669E">
                          <w:pPr>
                            <w:pStyle w:val="19"/>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3709669E">
                    <w:pPr>
                      <w:pStyle w:val="19"/>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F8ED4F"/>
    <w:multiLevelType w:val="singleLevel"/>
    <w:tmpl w:val="A2F8ED4F"/>
    <w:lvl w:ilvl="0" w:tentative="0">
      <w:start w:val="2"/>
      <w:numFmt w:val="decimal"/>
      <w:pStyle w:val="136"/>
      <w:suff w:val="nothing"/>
      <w:lvlText w:val="（%1）"/>
      <w:lvlJc w:val="left"/>
    </w:lvl>
  </w:abstractNum>
  <w:abstractNum w:abstractNumId="1">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2">
    <w:nsid w:val="4FFD0C1F"/>
    <w:multiLevelType w:val="singleLevel"/>
    <w:tmpl w:val="4FFD0C1F"/>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A3ZDEzYTcyZWRiOGYyNzJkZjRjYTAzZDg0ODNmY2UifQ=="/>
  </w:docVars>
  <w:rsids>
    <w:rsidRoot w:val="00172A27"/>
    <w:rsid w:val="00001CED"/>
    <w:rsid w:val="00001E67"/>
    <w:rsid w:val="00003CD8"/>
    <w:rsid w:val="00014965"/>
    <w:rsid w:val="0001523A"/>
    <w:rsid w:val="00016ECB"/>
    <w:rsid w:val="000269F6"/>
    <w:rsid w:val="000273CC"/>
    <w:rsid w:val="00031939"/>
    <w:rsid w:val="00032D25"/>
    <w:rsid w:val="0005219D"/>
    <w:rsid w:val="0005568F"/>
    <w:rsid w:val="0006153D"/>
    <w:rsid w:val="00061B1F"/>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7E"/>
    <w:rsid w:val="000B058F"/>
    <w:rsid w:val="000B44D3"/>
    <w:rsid w:val="000B693F"/>
    <w:rsid w:val="000C09AC"/>
    <w:rsid w:val="000C0A63"/>
    <w:rsid w:val="000C437E"/>
    <w:rsid w:val="000E5F16"/>
    <w:rsid w:val="000F4452"/>
    <w:rsid w:val="000F6DA1"/>
    <w:rsid w:val="000F6F68"/>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64C4"/>
    <w:rsid w:val="001A7D2A"/>
    <w:rsid w:val="001B574C"/>
    <w:rsid w:val="001C0AF9"/>
    <w:rsid w:val="001C155A"/>
    <w:rsid w:val="001C48C0"/>
    <w:rsid w:val="001C66E0"/>
    <w:rsid w:val="001D1BE5"/>
    <w:rsid w:val="001D6726"/>
    <w:rsid w:val="001E600B"/>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5679E"/>
    <w:rsid w:val="00260C68"/>
    <w:rsid w:val="002648B0"/>
    <w:rsid w:val="00275271"/>
    <w:rsid w:val="0027535E"/>
    <w:rsid w:val="0027562F"/>
    <w:rsid w:val="00275AA6"/>
    <w:rsid w:val="002807D5"/>
    <w:rsid w:val="00282CCD"/>
    <w:rsid w:val="002A168C"/>
    <w:rsid w:val="002A23C1"/>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03F39"/>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64BEE"/>
    <w:rsid w:val="00373B0D"/>
    <w:rsid w:val="00376988"/>
    <w:rsid w:val="00381A72"/>
    <w:rsid w:val="003A1948"/>
    <w:rsid w:val="003B152A"/>
    <w:rsid w:val="003B545B"/>
    <w:rsid w:val="003D3EE9"/>
    <w:rsid w:val="003D6656"/>
    <w:rsid w:val="003E665D"/>
    <w:rsid w:val="003E7681"/>
    <w:rsid w:val="003F0809"/>
    <w:rsid w:val="003F611C"/>
    <w:rsid w:val="003F6A92"/>
    <w:rsid w:val="003F755C"/>
    <w:rsid w:val="00406F01"/>
    <w:rsid w:val="00411B36"/>
    <w:rsid w:val="00411CA3"/>
    <w:rsid w:val="004121D7"/>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43BF"/>
    <w:rsid w:val="004E5B30"/>
    <w:rsid w:val="004E7D88"/>
    <w:rsid w:val="004F0779"/>
    <w:rsid w:val="004F1230"/>
    <w:rsid w:val="004F173F"/>
    <w:rsid w:val="004F177C"/>
    <w:rsid w:val="004F2DCE"/>
    <w:rsid w:val="005039CB"/>
    <w:rsid w:val="0050558F"/>
    <w:rsid w:val="005057E0"/>
    <w:rsid w:val="00506286"/>
    <w:rsid w:val="00510813"/>
    <w:rsid w:val="00511DE0"/>
    <w:rsid w:val="00515C5E"/>
    <w:rsid w:val="00517F02"/>
    <w:rsid w:val="005221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C088A"/>
    <w:rsid w:val="005D0369"/>
    <w:rsid w:val="005D4603"/>
    <w:rsid w:val="005D53FE"/>
    <w:rsid w:val="005D7A0F"/>
    <w:rsid w:val="005E0438"/>
    <w:rsid w:val="005E1791"/>
    <w:rsid w:val="005E24E7"/>
    <w:rsid w:val="005E2CE6"/>
    <w:rsid w:val="005E6324"/>
    <w:rsid w:val="005F228B"/>
    <w:rsid w:val="005F29CD"/>
    <w:rsid w:val="005F4DFB"/>
    <w:rsid w:val="005F6CC0"/>
    <w:rsid w:val="00603E5B"/>
    <w:rsid w:val="00604BC8"/>
    <w:rsid w:val="00615B4C"/>
    <w:rsid w:val="00615B5D"/>
    <w:rsid w:val="0062146F"/>
    <w:rsid w:val="00627E6B"/>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1C3"/>
    <w:rsid w:val="006B332A"/>
    <w:rsid w:val="006B33BD"/>
    <w:rsid w:val="006B6D1F"/>
    <w:rsid w:val="006C3F75"/>
    <w:rsid w:val="006D170E"/>
    <w:rsid w:val="006E06AF"/>
    <w:rsid w:val="006F1789"/>
    <w:rsid w:val="00706C5D"/>
    <w:rsid w:val="007118E6"/>
    <w:rsid w:val="007225C9"/>
    <w:rsid w:val="00733E26"/>
    <w:rsid w:val="00735CD7"/>
    <w:rsid w:val="00754034"/>
    <w:rsid w:val="00754BF1"/>
    <w:rsid w:val="00755A30"/>
    <w:rsid w:val="00755DF0"/>
    <w:rsid w:val="00755E1C"/>
    <w:rsid w:val="00756556"/>
    <w:rsid w:val="0076132B"/>
    <w:rsid w:val="007623AE"/>
    <w:rsid w:val="00770B19"/>
    <w:rsid w:val="00774FA0"/>
    <w:rsid w:val="00776620"/>
    <w:rsid w:val="00777B6D"/>
    <w:rsid w:val="00784855"/>
    <w:rsid w:val="00784F39"/>
    <w:rsid w:val="0078545C"/>
    <w:rsid w:val="0078768E"/>
    <w:rsid w:val="007906C4"/>
    <w:rsid w:val="007940EA"/>
    <w:rsid w:val="007967E8"/>
    <w:rsid w:val="007A1658"/>
    <w:rsid w:val="007A63F2"/>
    <w:rsid w:val="007B68DE"/>
    <w:rsid w:val="007C0F2D"/>
    <w:rsid w:val="007C1857"/>
    <w:rsid w:val="007C514F"/>
    <w:rsid w:val="007D0F95"/>
    <w:rsid w:val="007D7ECB"/>
    <w:rsid w:val="007E25A1"/>
    <w:rsid w:val="007E4BD2"/>
    <w:rsid w:val="007E7145"/>
    <w:rsid w:val="007F0A1D"/>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2ECF"/>
    <w:rsid w:val="00892F06"/>
    <w:rsid w:val="00894285"/>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312B"/>
    <w:rsid w:val="00904961"/>
    <w:rsid w:val="0091736D"/>
    <w:rsid w:val="009269A2"/>
    <w:rsid w:val="00931001"/>
    <w:rsid w:val="00931863"/>
    <w:rsid w:val="00933524"/>
    <w:rsid w:val="00936276"/>
    <w:rsid w:val="0094278D"/>
    <w:rsid w:val="0095308A"/>
    <w:rsid w:val="00953D9C"/>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0FA4"/>
    <w:rsid w:val="009A72C7"/>
    <w:rsid w:val="009B0897"/>
    <w:rsid w:val="009D0852"/>
    <w:rsid w:val="009D1FBF"/>
    <w:rsid w:val="009D3880"/>
    <w:rsid w:val="009E399C"/>
    <w:rsid w:val="009E43C1"/>
    <w:rsid w:val="009E7E95"/>
    <w:rsid w:val="009F116F"/>
    <w:rsid w:val="009F329E"/>
    <w:rsid w:val="009F5089"/>
    <w:rsid w:val="009F7ED3"/>
    <w:rsid w:val="00A010BF"/>
    <w:rsid w:val="00A03607"/>
    <w:rsid w:val="00A047FF"/>
    <w:rsid w:val="00A04FEF"/>
    <w:rsid w:val="00A122CD"/>
    <w:rsid w:val="00A12A32"/>
    <w:rsid w:val="00A14248"/>
    <w:rsid w:val="00A14947"/>
    <w:rsid w:val="00A1745D"/>
    <w:rsid w:val="00A23DC5"/>
    <w:rsid w:val="00A34028"/>
    <w:rsid w:val="00A35568"/>
    <w:rsid w:val="00A37056"/>
    <w:rsid w:val="00A40483"/>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97848"/>
    <w:rsid w:val="00AA2C17"/>
    <w:rsid w:val="00AA3CEC"/>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1118"/>
    <w:rsid w:val="00B24F30"/>
    <w:rsid w:val="00B31ABF"/>
    <w:rsid w:val="00B335AE"/>
    <w:rsid w:val="00B37CE1"/>
    <w:rsid w:val="00B40ACF"/>
    <w:rsid w:val="00B46918"/>
    <w:rsid w:val="00B46BAA"/>
    <w:rsid w:val="00B503C6"/>
    <w:rsid w:val="00B50B5F"/>
    <w:rsid w:val="00B54128"/>
    <w:rsid w:val="00B55826"/>
    <w:rsid w:val="00B60426"/>
    <w:rsid w:val="00B622DD"/>
    <w:rsid w:val="00B63522"/>
    <w:rsid w:val="00B76F1D"/>
    <w:rsid w:val="00B92A19"/>
    <w:rsid w:val="00B93F2F"/>
    <w:rsid w:val="00B9544C"/>
    <w:rsid w:val="00BA29E9"/>
    <w:rsid w:val="00BB3618"/>
    <w:rsid w:val="00BC0C9E"/>
    <w:rsid w:val="00BC32DC"/>
    <w:rsid w:val="00BC57CD"/>
    <w:rsid w:val="00BD1B51"/>
    <w:rsid w:val="00BD47F6"/>
    <w:rsid w:val="00BE312D"/>
    <w:rsid w:val="00BE3FCA"/>
    <w:rsid w:val="00BF720C"/>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D79DA"/>
    <w:rsid w:val="00CE02CD"/>
    <w:rsid w:val="00CE10E9"/>
    <w:rsid w:val="00CF3752"/>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E0A62"/>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A6F52"/>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90AA7"/>
    <w:rsid w:val="00F9212D"/>
    <w:rsid w:val="00FA301A"/>
    <w:rsid w:val="00FA406A"/>
    <w:rsid w:val="00FA5CB6"/>
    <w:rsid w:val="00FC3E1B"/>
    <w:rsid w:val="00FC66AC"/>
    <w:rsid w:val="00FD18F4"/>
    <w:rsid w:val="00FD74B4"/>
    <w:rsid w:val="00FF6FCE"/>
    <w:rsid w:val="00FF7518"/>
    <w:rsid w:val="00FF7FD8"/>
    <w:rsid w:val="01010593"/>
    <w:rsid w:val="01017684"/>
    <w:rsid w:val="010351AA"/>
    <w:rsid w:val="010478E3"/>
    <w:rsid w:val="010A6538"/>
    <w:rsid w:val="01134188"/>
    <w:rsid w:val="01192C1F"/>
    <w:rsid w:val="011A24F4"/>
    <w:rsid w:val="011B6997"/>
    <w:rsid w:val="011C62C9"/>
    <w:rsid w:val="01211AD4"/>
    <w:rsid w:val="012D0479"/>
    <w:rsid w:val="012F41F1"/>
    <w:rsid w:val="01323CE1"/>
    <w:rsid w:val="013435B5"/>
    <w:rsid w:val="013C5927"/>
    <w:rsid w:val="01415CD2"/>
    <w:rsid w:val="014468F6"/>
    <w:rsid w:val="01483505"/>
    <w:rsid w:val="014852B3"/>
    <w:rsid w:val="014F219D"/>
    <w:rsid w:val="014F4893"/>
    <w:rsid w:val="01505F15"/>
    <w:rsid w:val="0151367A"/>
    <w:rsid w:val="01527EDF"/>
    <w:rsid w:val="015E6884"/>
    <w:rsid w:val="01610122"/>
    <w:rsid w:val="016539DF"/>
    <w:rsid w:val="01697764"/>
    <w:rsid w:val="016D6AC7"/>
    <w:rsid w:val="017460A8"/>
    <w:rsid w:val="0176597C"/>
    <w:rsid w:val="017A03BD"/>
    <w:rsid w:val="017C6910"/>
    <w:rsid w:val="017D31AE"/>
    <w:rsid w:val="01804A4C"/>
    <w:rsid w:val="018362EB"/>
    <w:rsid w:val="018B32D0"/>
    <w:rsid w:val="01910A08"/>
    <w:rsid w:val="019422A6"/>
    <w:rsid w:val="0194674A"/>
    <w:rsid w:val="0196601E"/>
    <w:rsid w:val="019B3634"/>
    <w:rsid w:val="019C0823"/>
    <w:rsid w:val="019F1F35"/>
    <w:rsid w:val="01A3073B"/>
    <w:rsid w:val="01A56261"/>
    <w:rsid w:val="01A717A9"/>
    <w:rsid w:val="01AD5116"/>
    <w:rsid w:val="01B110AA"/>
    <w:rsid w:val="01B464A4"/>
    <w:rsid w:val="01B666C0"/>
    <w:rsid w:val="01B82314"/>
    <w:rsid w:val="01BA61B0"/>
    <w:rsid w:val="01C2082B"/>
    <w:rsid w:val="01C44B91"/>
    <w:rsid w:val="01C7267B"/>
    <w:rsid w:val="01C901A1"/>
    <w:rsid w:val="01D30B9A"/>
    <w:rsid w:val="01D31020"/>
    <w:rsid w:val="01D34B7C"/>
    <w:rsid w:val="01D35E86"/>
    <w:rsid w:val="01D46B46"/>
    <w:rsid w:val="01D63A6A"/>
    <w:rsid w:val="01D6466C"/>
    <w:rsid w:val="01D803E5"/>
    <w:rsid w:val="01E62463"/>
    <w:rsid w:val="01E764AF"/>
    <w:rsid w:val="01E9759B"/>
    <w:rsid w:val="01EA0118"/>
    <w:rsid w:val="01EC0334"/>
    <w:rsid w:val="01ED7C29"/>
    <w:rsid w:val="01EF3980"/>
    <w:rsid w:val="01F42D45"/>
    <w:rsid w:val="01FA132A"/>
    <w:rsid w:val="01FF0067"/>
    <w:rsid w:val="020411DA"/>
    <w:rsid w:val="02070CCA"/>
    <w:rsid w:val="02077A8A"/>
    <w:rsid w:val="02091FE0"/>
    <w:rsid w:val="020D4CA4"/>
    <w:rsid w:val="020F7B7E"/>
    <w:rsid w:val="02117D9A"/>
    <w:rsid w:val="0213766F"/>
    <w:rsid w:val="02145195"/>
    <w:rsid w:val="02145238"/>
    <w:rsid w:val="021740F7"/>
    <w:rsid w:val="021E7DCE"/>
    <w:rsid w:val="02217FDE"/>
    <w:rsid w:val="022655F4"/>
    <w:rsid w:val="02290C40"/>
    <w:rsid w:val="02291B07"/>
    <w:rsid w:val="022C24DE"/>
    <w:rsid w:val="022E26FA"/>
    <w:rsid w:val="023B0973"/>
    <w:rsid w:val="02441F1E"/>
    <w:rsid w:val="02447828"/>
    <w:rsid w:val="024B6E08"/>
    <w:rsid w:val="02556411"/>
    <w:rsid w:val="025657AD"/>
    <w:rsid w:val="02581525"/>
    <w:rsid w:val="02595DB9"/>
    <w:rsid w:val="02693733"/>
    <w:rsid w:val="026976F5"/>
    <w:rsid w:val="026C4FD1"/>
    <w:rsid w:val="026E0D49"/>
    <w:rsid w:val="026E2029"/>
    <w:rsid w:val="027125E7"/>
    <w:rsid w:val="02756840"/>
    <w:rsid w:val="02783976"/>
    <w:rsid w:val="027A76EE"/>
    <w:rsid w:val="027C5214"/>
    <w:rsid w:val="027E18B7"/>
    <w:rsid w:val="02816E42"/>
    <w:rsid w:val="02832A46"/>
    <w:rsid w:val="028440C8"/>
    <w:rsid w:val="02867E41"/>
    <w:rsid w:val="028B36A9"/>
    <w:rsid w:val="02936A01"/>
    <w:rsid w:val="0295277A"/>
    <w:rsid w:val="0297789D"/>
    <w:rsid w:val="029C3B08"/>
    <w:rsid w:val="029E562B"/>
    <w:rsid w:val="029F7154"/>
    <w:rsid w:val="02A14633"/>
    <w:rsid w:val="02A40196"/>
    <w:rsid w:val="02A76009"/>
    <w:rsid w:val="02A97FD3"/>
    <w:rsid w:val="02AB3D4B"/>
    <w:rsid w:val="02B50726"/>
    <w:rsid w:val="02B56978"/>
    <w:rsid w:val="02B6369A"/>
    <w:rsid w:val="02BE6F1A"/>
    <w:rsid w:val="02BF3353"/>
    <w:rsid w:val="02C30129"/>
    <w:rsid w:val="02C60B85"/>
    <w:rsid w:val="02C941D1"/>
    <w:rsid w:val="02CE4CF7"/>
    <w:rsid w:val="02D908B8"/>
    <w:rsid w:val="02E2723F"/>
    <w:rsid w:val="02E42DB9"/>
    <w:rsid w:val="02E74049"/>
    <w:rsid w:val="02E80AFB"/>
    <w:rsid w:val="02EC0712"/>
    <w:rsid w:val="02EE7E1C"/>
    <w:rsid w:val="02EF1E8A"/>
    <w:rsid w:val="02F54FC6"/>
    <w:rsid w:val="02F76F90"/>
    <w:rsid w:val="02FD4D40"/>
    <w:rsid w:val="02FE031F"/>
    <w:rsid w:val="0301396B"/>
    <w:rsid w:val="03031491"/>
    <w:rsid w:val="03035935"/>
    <w:rsid w:val="030D0562"/>
    <w:rsid w:val="03165668"/>
    <w:rsid w:val="0317318F"/>
    <w:rsid w:val="031C07A5"/>
    <w:rsid w:val="03206072"/>
    <w:rsid w:val="03217B69"/>
    <w:rsid w:val="03253AFD"/>
    <w:rsid w:val="032558AB"/>
    <w:rsid w:val="03265180"/>
    <w:rsid w:val="032A1114"/>
    <w:rsid w:val="032C4E8C"/>
    <w:rsid w:val="032F5C6D"/>
    <w:rsid w:val="03367AB9"/>
    <w:rsid w:val="033710B6"/>
    <w:rsid w:val="03391357"/>
    <w:rsid w:val="033A0C2B"/>
    <w:rsid w:val="033A62E9"/>
    <w:rsid w:val="033C40A2"/>
    <w:rsid w:val="033E071B"/>
    <w:rsid w:val="033E4BBF"/>
    <w:rsid w:val="034321D6"/>
    <w:rsid w:val="03455F4E"/>
    <w:rsid w:val="03465822"/>
    <w:rsid w:val="034A70C0"/>
    <w:rsid w:val="034E72B8"/>
    <w:rsid w:val="035148F2"/>
    <w:rsid w:val="03546191"/>
    <w:rsid w:val="03547F3F"/>
    <w:rsid w:val="035717DD"/>
    <w:rsid w:val="03575C81"/>
    <w:rsid w:val="036B7087"/>
    <w:rsid w:val="03707C33"/>
    <w:rsid w:val="037212ED"/>
    <w:rsid w:val="03726617"/>
    <w:rsid w:val="0374413D"/>
    <w:rsid w:val="03802AE2"/>
    <w:rsid w:val="0385634A"/>
    <w:rsid w:val="038C592B"/>
    <w:rsid w:val="03927D69"/>
    <w:rsid w:val="039B3DC0"/>
    <w:rsid w:val="039B791C"/>
    <w:rsid w:val="039C407F"/>
    <w:rsid w:val="039C5442"/>
    <w:rsid w:val="03A013D6"/>
    <w:rsid w:val="03A2514E"/>
    <w:rsid w:val="03A72764"/>
    <w:rsid w:val="03AA5DB1"/>
    <w:rsid w:val="03AC7D7B"/>
    <w:rsid w:val="03B31109"/>
    <w:rsid w:val="03B517B6"/>
    <w:rsid w:val="03B978B9"/>
    <w:rsid w:val="03BB7FBE"/>
    <w:rsid w:val="03C245F7"/>
    <w:rsid w:val="03C42CC6"/>
    <w:rsid w:val="03C9309C"/>
    <w:rsid w:val="03CA6453"/>
    <w:rsid w:val="03CC265C"/>
    <w:rsid w:val="03CD1261"/>
    <w:rsid w:val="03CD1A9F"/>
    <w:rsid w:val="03D41080"/>
    <w:rsid w:val="03D472D2"/>
    <w:rsid w:val="03DF1EFE"/>
    <w:rsid w:val="03DF6A02"/>
    <w:rsid w:val="03E017D2"/>
    <w:rsid w:val="03E54254"/>
    <w:rsid w:val="03E56DE9"/>
    <w:rsid w:val="03E80687"/>
    <w:rsid w:val="03EA43FF"/>
    <w:rsid w:val="03EF4CA9"/>
    <w:rsid w:val="03EF5EB9"/>
    <w:rsid w:val="03F56037"/>
    <w:rsid w:val="03F62DA4"/>
    <w:rsid w:val="03F875A9"/>
    <w:rsid w:val="03FE341B"/>
    <w:rsid w:val="03FE4B5C"/>
    <w:rsid w:val="04001E75"/>
    <w:rsid w:val="04001FDF"/>
    <w:rsid w:val="04073203"/>
    <w:rsid w:val="040A4AA1"/>
    <w:rsid w:val="040D5F94"/>
    <w:rsid w:val="040E27E3"/>
    <w:rsid w:val="040E4592"/>
    <w:rsid w:val="041651F4"/>
    <w:rsid w:val="041E22FB"/>
    <w:rsid w:val="04247911"/>
    <w:rsid w:val="04253689"/>
    <w:rsid w:val="042A0CA0"/>
    <w:rsid w:val="042C4A18"/>
    <w:rsid w:val="042E24FA"/>
    <w:rsid w:val="042E253E"/>
    <w:rsid w:val="043A5387"/>
    <w:rsid w:val="043B2EAD"/>
    <w:rsid w:val="043B510F"/>
    <w:rsid w:val="043D09D3"/>
    <w:rsid w:val="043D29C9"/>
    <w:rsid w:val="044618E5"/>
    <w:rsid w:val="04553F6E"/>
    <w:rsid w:val="0455536E"/>
    <w:rsid w:val="045B70AB"/>
    <w:rsid w:val="045F2DCA"/>
    <w:rsid w:val="045F6B9B"/>
    <w:rsid w:val="04673CA2"/>
    <w:rsid w:val="046828E1"/>
    <w:rsid w:val="046B3BE8"/>
    <w:rsid w:val="046C0D5B"/>
    <w:rsid w:val="047343F5"/>
    <w:rsid w:val="04762137"/>
    <w:rsid w:val="04777A0C"/>
    <w:rsid w:val="047C599F"/>
    <w:rsid w:val="04812FB5"/>
    <w:rsid w:val="048B5BE2"/>
    <w:rsid w:val="048C54B6"/>
    <w:rsid w:val="048D3235"/>
    <w:rsid w:val="048E56D2"/>
    <w:rsid w:val="04912D27"/>
    <w:rsid w:val="04966335"/>
    <w:rsid w:val="04974587"/>
    <w:rsid w:val="049802FF"/>
    <w:rsid w:val="04984EBD"/>
    <w:rsid w:val="049868E8"/>
    <w:rsid w:val="049C1B9D"/>
    <w:rsid w:val="049F51EA"/>
    <w:rsid w:val="04A3117E"/>
    <w:rsid w:val="04A57341"/>
    <w:rsid w:val="04A942BA"/>
    <w:rsid w:val="04AC5B58"/>
    <w:rsid w:val="04AE18D1"/>
    <w:rsid w:val="04B30C95"/>
    <w:rsid w:val="04B36EE7"/>
    <w:rsid w:val="04B54A0D"/>
    <w:rsid w:val="04B70785"/>
    <w:rsid w:val="04B80AA3"/>
    <w:rsid w:val="04BD1688"/>
    <w:rsid w:val="04BD402A"/>
    <w:rsid w:val="04BF1806"/>
    <w:rsid w:val="04BF763A"/>
    <w:rsid w:val="04C2712A"/>
    <w:rsid w:val="04D330E5"/>
    <w:rsid w:val="04D728EB"/>
    <w:rsid w:val="04DB409D"/>
    <w:rsid w:val="04DC643E"/>
    <w:rsid w:val="04DF250D"/>
    <w:rsid w:val="04E35A1E"/>
    <w:rsid w:val="04EB042F"/>
    <w:rsid w:val="04ED41A7"/>
    <w:rsid w:val="04EF43C3"/>
    <w:rsid w:val="04F01EE9"/>
    <w:rsid w:val="04F75026"/>
    <w:rsid w:val="04FA6B11"/>
    <w:rsid w:val="04FE4606"/>
    <w:rsid w:val="04FF3EDA"/>
    <w:rsid w:val="05015EA4"/>
    <w:rsid w:val="05045994"/>
    <w:rsid w:val="05047743"/>
    <w:rsid w:val="050B287F"/>
    <w:rsid w:val="05107E95"/>
    <w:rsid w:val="051931EE"/>
    <w:rsid w:val="05194CB6"/>
    <w:rsid w:val="051A0D14"/>
    <w:rsid w:val="051C683A"/>
    <w:rsid w:val="051E6A56"/>
    <w:rsid w:val="051E7732"/>
    <w:rsid w:val="052027CE"/>
    <w:rsid w:val="05235E1B"/>
    <w:rsid w:val="052954F7"/>
    <w:rsid w:val="052B1173"/>
    <w:rsid w:val="052B4CCF"/>
    <w:rsid w:val="052D0A47"/>
    <w:rsid w:val="052D1694"/>
    <w:rsid w:val="052D4EEB"/>
    <w:rsid w:val="05322502"/>
    <w:rsid w:val="053242B0"/>
    <w:rsid w:val="0532605E"/>
    <w:rsid w:val="053718C6"/>
    <w:rsid w:val="053C0C8A"/>
    <w:rsid w:val="05404C1F"/>
    <w:rsid w:val="05412FEB"/>
    <w:rsid w:val="054162A1"/>
    <w:rsid w:val="05453FE3"/>
    <w:rsid w:val="0547556E"/>
    <w:rsid w:val="0548762F"/>
    <w:rsid w:val="054F58B7"/>
    <w:rsid w:val="05557F9E"/>
    <w:rsid w:val="05561E22"/>
    <w:rsid w:val="05575AC4"/>
    <w:rsid w:val="055C18F5"/>
    <w:rsid w:val="055D7941"/>
    <w:rsid w:val="055E7FA4"/>
    <w:rsid w:val="056061FE"/>
    <w:rsid w:val="05685F23"/>
    <w:rsid w:val="056B77C2"/>
    <w:rsid w:val="056D3E42"/>
    <w:rsid w:val="056F72DE"/>
    <w:rsid w:val="05742AC8"/>
    <w:rsid w:val="05793C8D"/>
    <w:rsid w:val="057C377D"/>
    <w:rsid w:val="05834B0B"/>
    <w:rsid w:val="05852BDA"/>
    <w:rsid w:val="058663AA"/>
    <w:rsid w:val="05882122"/>
    <w:rsid w:val="058873D6"/>
    <w:rsid w:val="058979DF"/>
    <w:rsid w:val="058B29E1"/>
    <w:rsid w:val="058B4EAD"/>
    <w:rsid w:val="058F34B0"/>
    <w:rsid w:val="05917228"/>
    <w:rsid w:val="05942874"/>
    <w:rsid w:val="0596483F"/>
    <w:rsid w:val="05972365"/>
    <w:rsid w:val="059B1E55"/>
    <w:rsid w:val="059E36F3"/>
    <w:rsid w:val="05A50F26"/>
    <w:rsid w:val="05AB5C72"/>
    <w:rsid w:val="05AC4062"/>
    <w:rsid w:val="05B13426"/>
    <w:rsid w:val="05B3687C"/>
    <w:rsid w:val="05BB6053"/>
    <w:rsid w:val="05C55124"/>
    <w:rsid w:val="05C57BB2"/>
    <w:rsid w:val="05CF7D50"/>
    <w:rsid w:val="05D15877"/>
    <w:rsid w:val="05D2339D"/>
    <w:rsid w:val="05D6299D"/>
    <w:rsid w:val="05D90BCF"/>
    <w:rsid w:val="05D9472B"/>
    <w:rsid w:val="05ED01D7"/>
    <w:rsid w:val="05EE2510"/>
    <w:rsid w:val="05EE467B"/>
    <w:rsid w:val="05F31C91"/>
    <w:rsid w:val="05F52F17"/>
    <w:rsid w:val="05F862B3"/>
    <w:rsid w:val="05F902FF"/>
    <w:rsid w:val="05FB7236"/>
    <w:rsid w:val="05FD48BE"/>
    <w:rsid w:val="060519C4"/>
    <w:rsid w:val="06057FE3"/>
    <w:rsid w:val="06127C3D"/>
    <w:rsid w:val="06155DE8"/>
    <w:rsid w:val="0616597F"/>
    <w:rsid w:val="0616772D"/>
    <w:rsid w:val="06174FC9"/>
    <w:rsid w:val="061834A6"/>
    <w:rsid w:val="061A40F4"/>
    <w:rsid w:val="061D61A9"/>
    <w:rsid w:val="06293905"/>
    <w:rsid w:val="062956B3"/>
    <w:rsid w:val="062B7C6E"/>
    <w:rsid w:val="062E0F1B"/>
    <w:rsid w:val="062F19B9"/>
    <w:rsid w:val="062F6A41"/>
    <w:rsid w:val="06320490"/>
    <w:rsid w:val="063400E4"/>
    <w:rsid w:val="06352F05"/>
    <w:rsid w:val="0637015B"/>
    <w:rsid w:val="063B3638"/>
    <w:rsid w:val="063B53E6"/>
    <w:rsid w:val="063D115E"/>
    <w:rsid w:val="063E7D85"/>
    <w:rsid w:val="064047AA"/>
    <w:rsid w:val="064222D0"/>
    <w:rsid w:val="06472967"/>
    <w:rsid w:val="06475E2A"/>
    <w:rsid w:val="064C13A1"/>
    <w:rsid w:val="06514C09"/>
    <w:rsid w:val="06523C1B"/>
    <w:rsid w:val="06530982"/>
    <w:rsid w:val="06587D46"/>
    <w:rsid w:val="0659586C"/>
    <w:rsid w:val="065B5A88"/>
    <w:rsid w:val="065B7836"/>
    <w:rsid w:val="06604169"/>
    <w:rsid w:val="066606B5"/>
    <w:rsid w:val="06693D01"/>
    <w:rsid w:val="06695AAF"/>
    <w:rsid w:val="066B5CCB"/>
    <w:rsid w:val="066C559F"/>
    <w:rsid w:val="067A5F0E"/>
    <w:rsid w:val="067B57E2"/>
    <w:rsid w:val="067D77AC"/>
    <w:rsid w:val="06823015"/>
    <w:rsid w:val="068B1EC9"/>
    <w:rsid w:val="068D62C8"/>
    <w:rsid w:val="068E3768"/>
    <w:rsid w:val="069D1BFD"/>
    <w:rsid w:val="069D39AB"/>
    <w:rsid w:val="069E1EDD"/>
    <w:rsid w:val="069F5975"/>
    <w:rsid w:val="06A0349B"/>
    <w:rsid w:val="06A232C1"/>
    <w:rsid w:val="06A27213"/>
    <w:rsid w:val="06A42F8B"/>
    <w:rsid w:val="06A44D39"/>
    <w:rsid w:val="06A62DD6"/>
    <w:rsid w:val="06AB256C"/>
    <w:rsid w:val="06BB2083"/>
    <w:rsid w:val="06BC02D5"/>
    <w:rsid w:val="06BD5DFB"/>
    <w:rsid w:val="06BF7DC5"/>
    <w:rsid w:val="06C07699"/>
    <w:rsid w:val="06C12665"/>
    <w:rsid w:val="06C158EB"/>
    <w:rsid w:val="06C62F02"/>
    <w:rsid w:val="06C6670B"/>
    <w:rsid w:val="06C76C7A"/>
    <w:rsid w:val="06C9323D"/>
    <w:rsid w:val="06CB64FF"/>
    <w:rsid w:val="06CD24E2"/>
    <w:rsid w:val="06D179D1"/>
    <w:rsid w:val="06D53145"/>
    <w:rsid w:val="06DE46EF"/>
    <w:rsid w:val="06E15F8D"/>
    <w:rsid w:val="06E21638"/>
    <w:rsid w:val="06E415DA"/>
    <w:rsid w:val="06F21D26"/>
    <w:rsid w:val="06F7755F"/>
    <w:rsid w:val="06F832D7"/>
    <w:rsid w:val="06FC6923"/>
    <w:rsid w:val="0708176C"/>
    <w:rsid w:val="070875E0"/>
    <w:rsid w:val="070F2026"/>
    <w:rsid w:val="07100621"/>
    <w:rsid w:val="07110BA2"/>
    <w:rsid w:val="071A149F"/>
    <w:rsid w:val="071A324D"/>
    <w:rsid w:val="071E2D3E"/>
    <w:rsid w:val="0720181F"/>
    <w:rsid w:val="07293586"/>
    <w:rsid w:val="07295285"/>
    <w:rsid w:val="072D2F81"/>
    <w:rsid w:val="072D508B"/>
    <w:rsid w:val="072F22BE"/>
    <w:rsid w:val="07322345"/>
    <w:rsid w:val="073360BD"/>
    <w:rsid w:val="073443D1"/>
    <w:rsid w:val="073562D9"/>
    <w:rsid w:val="0737795B"/>
    <w:rsid w:val="073A569E"/>
    <w:rsid w:val="073B6467"/>
    <w:rsid w:val="073E518E"/>
    <w:rsid w:val="074107DA"/>
    <w:rsid w:val="07462294"/>
    <w:rsid w:val="07464042"/>
    <w:rsid w:val="07483BF5"/>
    <w:rsid w:val="074C0E53"/>
    <w:rsid w:val="074E2EF7"/>
    <w:rsid w:val="07500A1D"/>
    <w:rsid w:val="07515272"/>
    <w:rsid w:val="07524795"/>
    <w:rsid w:val="07526D7F"/>
    <w:rsid w:val="075A189C"/>
    <w:rsid w:val="075A7AEE"/>
    <w:rsid w:val="075C7F8E"/>
    <w:rsid w:val="0765096C"/>
    <w:rsid w:val="07691CDE"/>
    <w:rsid w:val="076B2ECD"/>
    <w:rsid w:val="076D5A73"/>
    <w:rsid w:val="076F6FBB"/>
    <w:rsid w:val="07702E6D"/>
    <w:rsid w:val="077639A5"/>
    <w:rsid w:val="07770C56"/>
    <w:rsid w:val="07797F74"/>
    <w:rsid w:val="077C1812"/>
    <w:rsid w:val="07805172"/>
    <w:rsid w:val="07812C00"/>
    <w:rsid w:val="07844B53"/>
    <w:rsid w:val="07866B35"/>
    <w:rsid w:val="07893F2F"/>
    <w:rsid w:val="07943F08"/>
    <w:rsid w:val="0794648D"/>
    <w:rsid w:val="07960AD9"/>
    <w:rsid w:val="07972AF0"/>
    <w:rsid w:val="079C1EB4"/>
    <w:rsid w:val="07A23A55"/>
    <w:rsid w:val="07A56FBB"/>
    <w:rsid w:val="07A62D33"/>
    <w:rsid w:val="07A64AE1"/>
    <w:rsid w:val="07A66D5A"/>
    <w:rsid w:val="07A73637"/>
    <w:rsid w:val="07A84FDE"/>
    <w:rsid w:val="07AA0EFE"/>
    <w:rsid w:val="07AC5A1F"/>
    <w:rsid w:val="07AC7C25"/>
    <w:rsid w:val="07AF4ECA"/>
    <w:rsid w:val="07B0158F"/>
    <w:rsid w:val="07B01DD8"/>
    <w:rsid w:val="07B12231"/>
    <w:rsid w:val="07B216D8"/>
    <w:rsid w:val="07B96BED"/>
    <w:rsid w:val="07C136C9"/>
    <w:rsid w:val="07C80EFB"/>
    <w:rsid w:val="07CD4764"/>
    <w:rsid w:val="07D26499"/>
    <w:rsid w:val="07D7113E"/>
    <w:rsid w:val="07D931AC"/>
    <w:rsid w:val="07D94EB6"/>
    <w:rsid w:val="07D96C64"/>
    <w:rsid w:val="07DC069D"/>
    <w:rsid w:val="07DD10FF"/>
    <w:rsid w:val="07DD49A7"/>
    <w:rsid w:val="07DE071F"/>
    <w:rsid w:val="07DF4305"/>
    <w:rsid w:val="07E76222"/>
    <w:rsid w:val="07E86EA8"/>
    <w:rsid w:val="07ED2710"/>
    <w:rsid w:val="07F13FAE"/>
    <w:rsid w:val="07F27D26"/>
    <w:rsid w:val="07F43A9E"/>
    <w:rsid w:val="07F4584C"/>
    <w:rsid w:val="07F92E63"/>
    <w:rsid w:val="08031F33"/>
    <w:rsid w:val="08033CE1"/>
    <w:rsid w:val="080811D8"/>
    <w:rsid w:val="080976BA"/>
    <w:rsid w:val="080F2686"/>
    <w:rsid w:val="08111A6D"/>
    <w:rsid w:val="08114650"/>
    <w:rsid w:val="08123F24"/>
    <w:rsid w:val="081C4DA3"/>
    <w:rsid w:val="081D4626"/>
    <w:rsid w:val="08226344"/>
    <w:rsid w:val="082365B1"/>
    <w:rsid w:val="08255A35"/>
    <w:rsid w:val="08262F95"/>
    <w:rsid w:val="082A5712"/>
    <w:rsid w:val="0831084F"/>
    <w:rsid w:val="08316AA1"/>
    <w:rsid w:val="083818D9"/>
    <w:rsid w:val="08387E2F"/>
    <w:rsid w:val="083E4D1A"/>
    <w:rsid w:val="08426486"/>
    <w:rsid w:val="084661C6"/>
    <w:rsid w:val="084A5DB4"/>
    <w:rsid w:val="084F4E8A"/>
    <w:rsid w:val="08510EF1"/>
    <w:rsid w:val="085409E1"/>
    <w:rsid w:val="0854453D"/>
    <w:rsid w:val="0855777A"/>
    <w:rsid w:val="08614263"/>
    <w:rsid w:val="086230FE"/>
    <w:rsid w:val="086A3D60"/>
    <w:rsid w:val="086A5B0F"/>
    <w:rsid w:val="086B7B56"/>
    <w:rsid w:val="086D316B"/>
    <w:rsid w:val="086F380C"/>
    <w:rsid w:val="087109F5"/>
    <w:rsid w:val="087A4C54"/>
    <w:rsid w:val="088210AA"/>
    <w:rsid w:val="08850A8D"/>
    <w:rsid w:val="08862D93"/>
    <w:rsid w:val="08874912"/>
    <w:rsid w:val="08875F7E"/>
    <w:rsid w:val="08894C98"/>
    <w:rsid w:val="088968DD"/>
    <w:rsid w:val="088C1F29"/>
    <w:rsid w:val="0898267C"/>
    <w:rsid w:val="08997879"/>
    <w:rsid w:val="08A2174C"/>
    <w:rsid w:val="08A6215D"/>
    <w:rsid w:val="08A92ADB"/>
    <w:rsid w:val="08AC299F"/>
    <w:rsid w:val="08B03E69"/>
    <w:rsid w:val="08B576D2"/>
    <w:rsid w:val="08B651F8"/>
    <w:rsid w:val="08BB5E63"/>
    <w:rsid w:val="08BD0334"/>
    <w:rsid w:val="08C05347"/>
    <w:rsid w:val="08C6543B"/>
    <w:rsid w:val="08C91AB8"/>
    <w:rsid w:val="08CC4A1B"/>
    <w:rsid w:val="08CE2541"/>
    <w:rsid w:val="08CE42EF"/>
    <w:rsid w:val="08CF1E16"/>
    <w:rsid w:val="08D14FA8"/>
    <w:rsid w:val="08D538D0"/>
    <w:rsid w:val="08D631A4"/>
    <w:rsid w:val="08DB6A0C"/>
    <w:rsid w:val="08DF474E"/>
    <w:rsid w:val="08E104C7"/>
    <w:rsid w:val="08E92932"/>
    <w:rsid w:val="08F301FA"/>
    <w:rsid w:val="08F53CDB"/>
    <w:rsid w:val="08FF094D"/>
    <w:rsid w:val="090158E3"/>
    <w:rsid w:val="090221EB"/>
    <w:rsid w:val="09023F99"/>
    <w:rsid w:val="090C4E18"/>
    <w:rsid w:val="0913264A"/>
    <w:rsid w:val="09153C1F"/>
    <w:rsid w:val="091567F4"/>
    <w:rsid w:val="09197523"/>
    <w:rsid w:val="091C06C1"/>
    <w:rsid w:val="092217DD"/>
    <w:rsid w:val="09240154"/>
    <w:rsid w:val="09265BCD"/>
    <w:rsid w:val="092B7C9F"/>
    <w:rsid w:val="09300B06"/>
    <w:rsid w:val="0932487E"/>
    <w:rsid w:val="093525C0"/>
    <w:rsid w:val="09371E95"/>
    <w:rsid w:val="093A7294"/>
    <w:rsid w:val="09401129"/>
    <w:rsid w:val="09414AC1"/>
    <w:rsid w:val="094648A7"/>
    <w:rsid w:val="094B5940"/>
    <w:rsid w:val="094D5D1D"/>
    <w:rsid w:val="095011A8"/>
    <w:rsid w:val="09510A7C"/>
    <w:rsid w:val="095742E5"/>
    <w:rsid w:val="095C7B4D"/>
    <w:rsid w:val="095E38C5"/>
    <w:rsid w:val="09615163"/>
    <w:rsid w:val="09652EA6"/>
    <w:rsid w:val="0969226A"/>
    <w:rsid w:val="09694018"/>
    <w:rsid w:val="096D3B08"/>
    <w:rsid w:val="09714C67"/>
    <w:rsid w:val="097A7FD3"/>
    <w:rsid w:val="098350DA"/>
    <w:rsid w:val="0984611E"/>
    <w:rsid w:val="098470A4"/>
    <w:rsid w:val="09886B94"/>
    <w:rsid w:val="098B0432"/>
    <w:rsid w:val="098B21E0"/>
    <w:rsid w:val="098C5B93"/>
    <w:rsid w:val="098E3A7F"/>
    <w:rsid w:val="098F7F23"/>
    <w:rsid w:val="099168C1"/>
    <w:rsid w:val="09926E4D"/>
    <w:rsid w:val="099346C1"/>
    <w:rsid w:val="099948FD"/>
    <w:rsid w:val="099A2423"/>
    <w:rsid w:val="099A310A"/>
    <w:rsid w:val="099E0166"/>
    <w:rsid w:val="099F7A3A"/>
    <w:rsid w:val="09A137B2"/>
    <w:rsid w:val="09A17C56"/>
    <w:rsid w:val="09A35B15"/>
    <w:rsid w:val="09AA1703"/>
    <w:rsid w:val="09B41737"/>
    <w:rsid w:val="09BB6819"/>
    <w:rsid w:val="09BE1A52"/>
    <w:rsid w:val="09BE4364"/>
    <w:rsid w:val="09C120A6"/>
    <w:rsid w:val="09C53944"/>
    <w:rsid w:val="09C851E3"/>
    <w:rsid w:val="09C94AB7"/>
    <w:rsid w:val="09D121EF"/>
    <w:rsid w:val="09DA6CC4"/>
    <w:rsid w:val="09DB3C13"/>
    <w:rsid w:val="09DE2882"/>
    <w:rsid w:val="09DE67B4"/>
    <w:rsid w:val="09DF68E3"/>
    <w:rsid w:val="09E0077E"/>
    <w:rsid w:val="09E35B78"/>
    <w:rsid w:val="09E518F1"/>
    <w:rsid w:val="09E60BF4"/>
    <w:rsid w:val="09E75B73"/>
    <w:rsid w:val="09EA33AB"/>
    <w:rsid w:val="09EB0ED1"/>
    <w:rsid w:val="09EB65C7"/>
    <w:rsid w:val="09EF276F"/>
    <w:rsid w:val="09F77876"/>
    <w:rsid w:val="09FC4E8C"/>
    <w:rsid w:val="09FF584F"/>
    <w:rsid w:val="0A026946"/>
    <w:rsid w:val="0A083831"/>
    <w:rsid w:val="0A0A75A9"/>
    <w:rsid w:val="0A0B50CF"/>
    <w:rsid w:val="0A0C42B6"/>
    <w:rsid w:val="0A0D3022"/>
    <w:rsid w:val="0A173A74"/>
    <w:rsid w:val="0A1755E4"/>
    <w:rsid w:val="0A1B7FBE"/>
    <w:rsid w:val="0A1C108A"/>
    <w:rsid w:val="0A1E3055"/>
    <w:rsid w:val="0A283ED3"/>
    <w:rsid w:val="0A287A2F"/>
    <w:rsid w:val="0A2C39C3"/>
    <w:rsid w:val="0A2F247A"/>
    <w:rsid w:val="0A392EC5"/>
    <w:rsid w:val="0A3D5178"/>
    <w:rsid w:val="0A430D0D"/>
    <w:rsid w:val="0A4707FD"/>
    <w:rsid w:val="0A484412"/>
    <w:rsid w:val="0A4D1921"/>
    <w:rsid w:val="0A5254C4"/>
    <w:rsid w:val="0A554750"/>
    <w:rsid w:val="0A560A40"/>
    <w:rsid w:val="0A56459C"/>
    <w:rsid w:val="0A595E3B"/>
    <w:rsid w:val="0A5B12DB"/>
    <w:rsid w:val="0A650C83"/>
    <w:rsid w:val="0A6C2012"/>
    <w:rsid w:val="0A6D18E6"/>
    <w:rsid w:val="0A6D7B38"/>
    <w:rsid w:val="0A762E91"/>
    <w:rsid w:val="0A7964DD"/>
    <w:rsid w:val="0A7C2668"/>
    <w:rsid w:val="0A801619"/>
    <w:rsid w:val="0A80786B"/>
    <w:rsid w:val="0A8530D4"/>
    <w:rsid w:val="0A8A2498"/>
    <w:rsid w:val="0A8F3F52"/>
    <w:rsid w:val="0A8F5D00"/>
    <w:rsid w:val="0A8F7AAE"/>
    <w:rsid w:val="0A960E3D"/>
    <w:rsid w:val="0A981059"/>
    <w:rsid w:val="0A9B6453"/>
    <w:rsid w:val="0AA03A6A"/>
    <w:rsid w:val="0AA413E9"/>
    <w:rsid w:val="0AA51080"/>
    <w:rsid w:val="0AA6225D"/>
    <w:rsid w:val="0AAB0D8C"/>
    <w:rsid w:val="0AB731E2"/>
    <w:rsid w:val="0ABB4D47"/>
    <w:rsid w:val="0ABD286D"/>
    <w:rsid w:val="0AC46F27"/>
    <w:rsid w:val="0AC86757"/>
    <w:rsid w:val="0ACB4F8A"/>
    <w:rsid w:val="0ACB6BE6"/>
    <w:rsid w:val="0ACD14A9"/>
    <w:rsid w:val="0ACE05D7"/>
    <w:rsid w:val="0AD33E3F"/>
    <w:rsid w:val="0AD630BE"/>
    <w:rsid w:val="0AD96F7B"/>
    <w:rsid w:val="0ADB0F46"/>
    <w:rsid w:val="0ADD081A"/>
    <w:rsid w:val="0ADE5D3C"/>
    <w:rsid w:val="0AE41BA8"/>
    <w:rsid w:val="0AE71698"/>
    <w:rsid w:val="0AEB5587"/>
    <w:rsid w:val="0AEC6CAF"/>
    <w:rsid w:val="0AF02C43"/>
    <w:rsid w:val="0AF049F1"/>
    <w:rsid w:val="0AF40E28"/>
    <w:rsid w:val="0AFA761E"/>
    <w:rsid w:val="0B01749D"/>
    <w:rsid w:val="0B024724"/>
    <w:rsid w:val="0B04049C"/>
    <w:rsid w:val="0B04224A"/>
    <w:rsid w:val="0B0C7351"/>
    <w:rsid w:val="0B1306DF"/>
    <w:rsid w:val="0B136931"/>
    <w:rsid w:val="0B187AA4"/>
    <w:rsid w:val="0B1D330C"/>
    <w:rsid w:val="0B2430EF"/>
    <w:rsid w:val="0B24469B"/>
    <w:rsid w:val="0B2510BA"/>
    <w:rsid w:val="0B2621C1"/>
    <w:rsid w:val="0B27418B"/>
    <w:rsid w:val="0B2C354F"/>
    <w:rsid w:val="0B316DB7"/>
    <w:rsid w:val="0B424B21"/>
    <w:rsid w:val="0B464611"/>
    <w:rsid w:val="0B494101"/>
    <w:rsid w:val="0B5331D2"/>
    <w:rsid w:val="0B584344"/>
    <w:rsid w:val="0B5A3A72"/>
    <w:rsid w:val="0B5D195B"/>
    <w:rsid w:val="0B5F1B77"/>
    <w:rsid w:val="0B5F56D3"/>
    <w:rsid w:val="0B626F71"/>
    <w:rsid w:val="0B646908"/>
    <w:rsid w:val="0B696551"/>
    <w:rsid w:val="0B6E3B68"/>
    <w:rsid w:val="0B723658"/>
    <w:rsid w:val="0B7272B6"/>
    <w:rsid w:val="0B73117E"/>
    <w:rsid w:val="0B745622"/>
    <w:rsid w:val="0B7A4555"/>
    <w:rsid w:val="0B84338B"/>
    <w:rsid w:val="0B84410E"/>
    <w:rsid w:val="0B870F82"/>
    <w:rsid w:val="0B896BF3"/>
    <w:rsid w:val="0B974E6D"/>
    <w:rsid w:val="0B9A495D"/>
    <w:rsid w:val="0B9F6417"/>
    <w:rsid w:val="0BA43585"/>
    <w:rsid w:val="0BA47589"/>
    <w:rsid w:val="0BA74B97"/>
    <w:rsid w:val="0BAD4690"/>
    <w:rsid w:val="0BB21CA6"/>
    <w:rsid w:val="0BB53545"/>
    <w:rsid w:val="0BB93035"/>
    <w:rsid w:val="0BB94E6C"/>
    <w:rsid w:val="0BBF6171"/>
    <w:rsid w:val="0BC1013B"/>
    <w:rsid w:val="0BC55E7E"/>
    <w:rsid w:val="0BC8311D"/>
    <w:rsid w:val="0BD27BF6"/>
    <w:rsid w:val="0BD3667B"/>
    <w:rsid w:val="0BD7795F"/>
    <w:rsid w:val="0BD845F9"/>
    <w:rsid w:val="0BD94AAC"/>
    <w:rsid w:val="0BD95485"/>
    <w:rsid w:val="0BDA11FD"/>
    <w:rsid w:val="0BDC31C7"/>
    <w:rsid w:val="0BE1258C"/>
    <w:rsid w:val="0BE67BA2"/>
    <w:rsid w:val="0BE856C8"/>
    <w:rsid w:val="0BF422BF"/>
    <w:rsid w:val="0BF978D5"/>
    <w:rsid w:val="0BFA364D"/>
    <w:rsid w:val="0C085D6A"/>
    <w:rsid w:val="0C107BA8"/>
    <w:rsid w:val="0C1110C3"/>
    <w:rsid w:val="0C14470F"/>
    <w:rsid w:val="0C1464BD"/>
    <w:rsid w:val="0C186B5B"/>
    <w:rsid w:val="0C1A784C"/>
    <w:rsid w:val="0C1B3CF0"/>
    <w:rsid w:val="0C1E0947"/>
    <w:rsid w:val="0C1E558E"/>
    <w:rsid w:val="0C2529C5"/>
    <w:rsid w:val="0C260CA9"/>
    <w:rsid w:val="0C261DCE"/>
    <w:rsid w:val="0C2661F0"/>
    <w:rsid w:val="0C280B07"/>
    <w:rsid w:val="0C300E1D"/>
    <w:rsid w:val="0C324046"/>
    <w:rsid w:val="0C344DB1"/>
    <w:rsid w:val="0C357A56"/>
    <w:rsid w:val="0C3628D7"/>
    <w:rsid w:val="0C364685"/>
    <w:rsid w:val="0C4274CE"/>
    <w:rsid w:val="0C4F3999"/>
    <w:rsid w:val="0C517711"/>
    <w:rsid w:val="0C523489"/>
    <w:rsid w:val="0C55370B"/>
    <w:rsid w:val="0C57776C"/>
    <w:rsid w:val="0C5B40EC"/>
    <w:rsid w:val="0C5C744B"/>
    <w:rsid w:val="0C62191E"/>
    <w:rsid w:val="0C645AF4"/>
    <w:rsid w:val="0C662A91"/>
    <w:rsid w:val="0C6A07D3"/>
    <w:rsid w:val="0C6A432F"/>
    <w:rsid w:val="0C6D3E1F"/>
    <w:rsid w:val="0C6F1945"/>
    <w:rsid w:val="0C716BA6"/>
    <w:rsid w:val="0C721436"/>
    <w:rsid w:val="0C735804"/>
    <w:rsid w:val="0C782EF0"/>
    <w:rsid w:val="0C7B02EA"/>
    <w:rsid w:val="0C7B653C"/>
    <w:rsid w:val="0C7D22B4"/>
    <w:rsid w:val="0C7E65A6"/>
    <w:rsid w:val="0C825DB1"/>
    <w:rsid w:val="0C886EAB"/>
    <w:rsid w:val="0C8A2C23"/>
    <w:rsid w:val="0C8A49D1"/>
    <w:rsid w:val="0C8C63AB"/>
    <w:rsid w:val="0C8D626F"/>
    <w:rsid w:val="0C9615C8"/>
    <w:rsid w:val="0C965124"/>
    <w:rsid w:val="0C9E00D7"/>
    <w:rsid w:val="0C9E02D7"/>
    <w:rsid w:val="0C9E047D"/>
    <w:rsid w:val="0CA35A93"/>
    <w:rsid w:val="0CA44632"/>
    <w:rsid w:val="0CAD06C0"/>
    <w:rsid w:val="0CAF4438"/>
    <w:rsid w:val="0CB101B0"/>
    <w:rsid w:val="0CB11F59"/>
    <w:rsid w:val="0CB67574"/>
    <w:rsid w:val="0CBB102F"/>
    <w:rsid w:val="0CBB4B8B"/>
    <w:rsid w:val="0CC021A1"/>
    <w:rsid w:val="0CC779D3"/>
    <w:rsid w:val="0CCD3E9E"/>
    <w:rsid w:val="0CD914B5"/>
    <w:rsid w:val="0CDA2FAD"/>
    <w:rsid w:val="0CDD2D53"/>
    <w:rsid w:val="0CDD48B1"/>
    <w:rsid w:val="0CE40585"/>
    <w:rsid w:val="0CE642FD"/>
    <w:rsid w:val="0CE73BD2"/>
    <w:rsid w:val="0CEB1914"/>
    <w:rsid w:val="0CEC743A"/>
    <w:rsid w:val="0CEE6D0E"/>
    <w:rsid w:val="0CEF0CD8"/>
    <w:rsid w:val="0CF06F2A"/>
    <w:rsid w:val="0CFD3DAC"/>
    <w:rsid w:val="0D020A0B"/>
    <w:rsid w:val="0D026C5D"/>
    <w:rsid w:val="0D054058"/>
    <w:rsid w:val="0D081CA7"/>
    <w:rsid w:val="0D0A78C0"/>
    <w:rsid w:val="0D0C2411"/>
    <w:rsid w:val="0D0C3638"/>
    <w:rsid w:val="0D0D0C68"/>
    <w:rsid w:val="0D0E73B0"/>
    <w:rsid w:val="0D0F4ED6"/>
    <w:rsid w:val="0D136775"/>
    <w:rsid w:val="0D15073F"/>
    <w:rsid w:val="0D197576"/>
    <w:rsid w:val="0D1A101C"/>
    <w:rsid w:val="0D1A3FA7"/>
    <w:rsid w:val="0D1B19F6"/>
    <w:rsid w:val="0D1C7D1F"/>
    <w:rsid w:val="0D1F336B"/>
    <w:rsid w:val="0D26294C"/>
    <w:rsid w:val="0D2941EA"/>
    <w:rsid w:val="0D2A3ABE"/>
    <w:rsid w:val="0D2A599A"/>
    <w:rsid w:val="0D2C5A88"/>
    <w:rsid w:val="0D336E17"/>
    <w:rsid w:val="0D34161D"/>
    <w:rsid w:val="0D352B8F"/>
    <w:rsid w:val="0D35493D"/>
    <w:rsid w:val="0D3859A2"/>
    <w:rsid w:val="0D3D123F"/>
    <w:rsid w:val="0D3D37F2"/>
    <w:rsid w:val="0D3F3A0E"/>
    <w:rsid w:val="0D3F57BC"/>
    <w:rsid w:val="0D411050"/>
    <w:rsid w:val="0D460B9B"/>
    <w:rsid w:val="0D4903E8"/>
    <w:rsid w:val="0D4A1E5A"/>
    <w:rsid w:val="0D553231"/>
    <w:rsid w:val="0D554FDF"/>
    <w:rsid w:val="0D55637F"/>
    <w:rsid w:val="0D6214AA"/>
    <w:rsid w:val="0D646FD0"/>
    <w:rsid w:val="0D6B65B1"/>
    <w:rsid w:val="0D701E19"/>
    <w:rsid w:val="0D71793F"/>
    <w:rsid w:val="0D73168E"/>
    <w:rsid w:val="0D735465"/>
    <w:rsid w:val="0D7511DD"/>
    <w:rsid w:val="0D7A67F4"/>
    <w:rsid w:val="0D7C3B01"/>
    <w:rsid w:val="0D892919"/>
    <w:rsid w:val="0D892EDB"/>
    <w:rsid w:val="0D93340D"/>
    <w:rsid w:val="0D961154"/>
    <w:rsid w:val="0D9773A6"/>
    <w:rsid w:val="0D9B708A"/>
    <w:rsid w:val="0D9C49BC"/>
    <w:rsid w:val="0DA05C1B"/>
    <w:rsid w:val="0DA10224"/>
    <w:rsid w:val="0DAC2BE0"/>
    <w:rsid w:val="0DAD6BC9"/>
    <w:rsid w:val="0DB42355"/>
    <w:rsid w:val="0DB51118"/>
    <w:rsid w:val="0DBA3094"/>
    <w:rsid w:val="0DBA7538"/>
    <w:rsid w:val="0DBD2424"/>
    <w:rsid w:val="0DC108C7"/>
    <w:rsid w:val="0DC3421D"/>
    <w:rsid w:val="0DC45CC1"/>
    <w:rsid w:val="0DC53105"/>
    <w:rsid w:val="0DC932D7"/>
    <w:rsid w:val="0DC9777B"/>
    <w:rsid w:val="0DCD445C"/>
    <w:rsid w:val="0DD028B8"/>
    <w:rsid w:val="0DD26630"/>
    <w:rsid w:val="0DD34156"/>
    <w:rsid w:val="0DD423A8"/>
    <w:rsid w:val="0DD73C46"/>
    <w:rsid w:val="0DD8176C"/>
    <w:rsid w:val="0DDC057E"/>
    <w:rsid w:val="0DDE4FD5"/>
    <w:rsid w:val="0DE545B5"/>
    <w:rsid w:val="0DE72AC0"/>
    <w:rsid w:val="0DEE2D3E"/>
    <w:rsid w:val="0DF06AB6"/>
    <w:rsid w:val="0DF31D2F"/>
    <w:rsid w:val="0DF447F8"/>
    <w:rsid w:val="0DF465A6"/>
    <w:rsid w:val="0DF77E44"/>
    <w:rsid w:val="0DFC545B"/>
    <w:rsid w:val="0DFD5C6B"/>
    <w:rsid w:val="0E0524D4"/>
    <w:rsid w:val="0E0662D9"/>
    <w:rsid w:val="0E0B5706"/>
    <w:rsid w:val="0E0D7668"/>
    <w:rsid w:val="0E100F06"/>
    <w:rsid w:val="0E110D06"/>
    <w:rsid w:val="0E15476E"/>
    <w:rsid w:val="0E1C78AB"/>
    <w:rsid w:val="0E214EC1"/>
    <w:rsid w:val="0E2873B4"/>
    <w:rsid w:val="0E2A646C"/>
    <w:rsid w:val="0E2D7D0A"/>
    <w:rsid w:val="0E301273"/>
    <w:rsid w:val="0E303356"/>
    <w:rsid w:val="0E320723"/>
    <w:rsid w:val="0E364E11"/>
    <w:rsid w:val="0E3746E5"/>
    <w:rsid w:val="0E386ACC"/>
    <w:rsid w:val="0E3A0F99"/>
    <w:rsid w:val="0E3A5F83"/>
    <w:rsid w:val="0E3C04AA"/>
    <w:rsid w:val="0E4376A8"/>
    <w:rsid w:val="0E4A08BC"/>
    <w:rsid w:val="0E4A4418"/>
    <w:rsid w:val="0E4E52E2"/>
    <w:rsid w:val="0E4F1A2E"/>
    <w:rsid w:val="0E520C4B"/>
    <w:rsid w:val="0E552DBD"/>
    <w:rsid w:val="0E574D87"/>
    <w:rsid w:val="0E715E49"/>
    <w:rsid w:val="0E72510F"/>
    <w:rsid w:val="0E790B75"/>
    <w:rsid w:val="0E7B2823"/>
    <w:rsid w:val="0E7B6CC7"/>
    <w:rsid w:val="0E7C47EE"/>
    <w:rsid w:val="0E8042DE"/>
    <w:rsid w:val="0E811E04"/>
    <w:rsid w:val="0E820056"/>
    <w:rsid w:val="0E8518F4"/>
    <w:rsid w:val="0E8F4521"/>
    <w:rsid w:val="0E903DF5"/>
    <w:rsid w:val="0E905A81"/>
    <w:rsid w:val="0E912047"/>
    <w:rsid w:val="0E927B6D"/>
    <w:rsid w:val="0E9D17C6"/>
    <w:rsid w:val="0E9E29B6"/>
    <w:rsid w:val="0E9E6512"/>
    <w:rsid w:val="0EA004DC"/>
    <w:rsid w:val="0EA37FCC"/>
    <w:rsid w:val="0EAB6D9A"/>
    <w:rsid w:val="0EB83A78"/>
    <w:rsid w:val="0EBE4E06"/>
    <w:rsid w:val="0EC85224"/>
    <w:rsid w:val="0ECA07E3"/>
    <w:rsid w:val="0ECB1C73"/>
    <w:rsid w:val="0ECC12D1"/>
    <w:rsid w:val="0ECD1453"/>
    <w:rsid w:val="0ED168E7"/>
    <w:rsid w:val="0ED4462A"/>
    <w:rsid w:val="0ED9228C"/>
    <w:rsid w:val="0EDF1579"/>
    <w:rsid w:val="0EE526EA"/>
    <w:rsid w:val="0EE7120F"/>
    <w:rsid w:val="0EE83C31"/>
    <w:rsid w:val="0EE859DF"/>
    <w:rsid w:val="0EEA79A9"/>
    <w:rsid w:val="0EEE56EB"/>
    <w:rsid w:val="0EF10D38"/>
    <w:rsid w:val="0EF1655F"/>
    <w:rsid w:val="0EF80E8F"/>
    <w:rsid w:val="0EFC21E2"/>
    <w:rsid w:val="0F022F45"/>
    <w:rsid w:val="0F0262C1"/>
    <w:rsid w:val="0F046CBD"/>
    <w:rsid w:val="0F0F67BD"/>
    <w:rsid w:val="0F111837"/>
    <w:rsid w:val="0F113188"/>
    <w:rsid w:val="0F13775A"/>
    <w:rsid w:val="0F1A028E"/>
    <w:rsid w:val="0F1A64E0"/>
    <w:rsid w:val="0F202C8D"/>
    <w:rsid w:val="0F205C7F"/>
    <w:rsid w:val="0F2B249C"/>
    <w:rsid w:val="0F2E09A0"/>
    <w:rsid w:val="0F317386"/>
    <w:rsid w:val="0F3375A2"/>
    <w:rsid w:val="0F346E76"/>
    <w:rsid w:val="0F390A43"/>
    <w:rsid w:val="0F3C025F"/>
    <w:rsid w:val="0F3D21CF"/>
    <w:rsid w:val="0F3E6EA4"/>
    <w:rsid w:val="0F3F5F47"/>
    <w:rsid w:val="0F3F5FF6"/>
    <w:rsid w:val="0F3F7CF5"/>
    <w:rsid w:val="0F452E31"/>
    <w:rsid w:val="0F4672D5"/>
    <w:rsid w:val="0F490B74"/>
    <w:rsid w:val="0F580DB7"/>
    <w:rsid w:val="0F620288"/>
    <w:rsid w:val="0F6634D4"/>
    <w:rsid w:val="0F676B13"/>
    <w:rsid w:val="0F713C26"/>
    <w:rsid w:val="0F7200CA"/>
    <w:rsid w:val="0F732BD1"/>
    <w:rsid w:val="0F7A0D2D"/>
    <w:rsid w:val="0F7B4AA5"/>
    <w:rsid w:val="0F7C2CF7"/>
    <w:rsid w:val="0F7D25CB"/>
    <w:rsid w:val="0F824086"/>
    <w:rsid w:val="0F87169C"/>
    <w:rsid w:val="0F8B4CE8"/>
    <w:rsid w:val="0F932BA2"/>
    <w:rsid w:val="0F9928EF"/>
    <w:rsid w:val="0F9A050E"/>
    <w:rsid w:val="0F9A112B"/>
    <w:rsid w:val="0FA07BF0"/>
    <w:rsid w:val="0FA1275E"/>
    <w:rsid w:val="0FA20284"/>
    <w:rsid w:val="0FAB0EE6"/>
    <w:rsid w:val="0FAD1102"/>
    <w:rsid w:val="0FAF2E3E"/>
    <w:rsid w:val="0FAF4135"/>
    <w:rsid w:val="0FB01208"/>
    <w:rsid w:val="0FB51D65"/>
    <w:rsid w:val="0FB56209"/>
    <w:rsid w:val="0FB57FB7"/>
    <w:rsid w:val="0FBC1346"/>
    <w:rsid w:val="0FBD0C1A"/>
    <w:rsid w:val="0FBD6E6C"/>
    <w:rsid w:val="0FC54AD9"/>
    <w:rsid w:val="0FD04DF1"/>
    <w:rsid w:val="0FD22917"/>
    <w:rsid w:val="0FDF3286"/>
    <w:rsid w:val="0FE8038D"/>
    <w:rsid w:val="0FED14FF"/>
    <w:rsid w:val="0FED59A3"/>
    <w:rsid w:val="0FED7687"/>
    <w:rsid w:val="0FF02D9D"/>
    <w:rsid w:val="0FF1044E"/>
    <w:rsid w:val="0FF7237E"/>
    <w:rsid w:val="0FFF7484"/>
    <w:rsid w:val="10022AD1"/>
    <w:rsid w:val="10086339"/>
    <w:rsid w:val="100910F7"/>
    <w:rsid w:val="100920B1"/>
    <w:rsid w:val="10093E5F"/>
    <w:rsid w:val="100D1BA1"/>
    <w:rsid w:val="100F5919"/>
    <w:rsid w:val="101051ED"/>
    <w:rsid w:val="10153D18"/>
    <w:rsid w:val="10172A20"/>
    <w:rsid w:val="10202516"/>
    <w:rsid w:val="10251AC8"/>
    <w:rsid w:val="10282537"/>
    <w:rsid w:val="10284C2D"/>
    <w:rsid w:val="10294501"/>
    <w:rsid w:val="102B2027"/>
    <w:rsid w:val="103274FC"/>
    <w:rsid w:val="103435D2"/>
    <w:rsid w:val="103449ED"/>
    <w:rsid w:val="1034712E"/>
    <w:rsid w:val="10360127"/>
    <w:rsid w:val="1037079D"/>
    <w:rsid w:val="103A58B2"/>
    <w:rsid w:val="104355C3"/>
    <w:rsid w:val="1045758D"/>
    <w:rsid w:val="104A4BA3"/>
    <w:rsid w:val="10507CE0"/>
    <w:rsid w:val="10525131"/>
    <w:rsid w:val="10532F3B"/>
    <w:rsid w:val="105968CE"/>
    <w:rsid w:val="105A46BB"/>
    <w:rsid w:val="1066305F"/>
    <w:rsid w:val="106D2F64"/>
    <w:rsid w:val="106F0166"/>
    <w:rsid w:val="10720430"/>
    <w:rsid w:val="10790FE5"/>
    <w:rsid w:val="10795489"/>
    <w:rsid w:val="107D1AA2"/>
    <w:rsid w:val="107E2A9F"/>
    <w:rsid w:val="107E65FB"/>
    <w:rsid w:val="10853E2D"/>
    <w:rsid w:val="10856F1B"/>
    <w:rsid w:val="10881228"/>
    <w:rsid w:val="108B0D18"/>
    <w:rsid w:val="108F6861"/>
    <w:rsid w:val="10933A8A"/>
    <w:rsid w:val="10944070"/>
    <w:rsid w:val="10991559"/>
    <w:rsid w:val="109C5456"/>
    <w:rsid w:val="10A5002C"/>
    <w:rsid w:val="10A832F4"/>
    <w:rsid w:val="10A83678"/>
    <w:rsid w:val="10AA3894"/>
    <w:rsid w:val="10AD0C8E"/>
    <w:rsid w:val="10AF1D60"/>
    <w:rsid w:val="10B05EDD"/>
    <w:rsid w:val="10B4201D"/>
    <w:rsid w:val="10B63710"/>
    <w:rsid w:val="10B63FE7"/>
    <w:rsid w:val="10BA1AAE"/>
    <w:rsid w:val="10BB33AB"/>
    <w:rsid w:val="10BC7123"/>
    <w:rsid w:val="10C77FA2"/>
    <w:rsid w:val="10CA5CE4"/>
    <w:rsid w:val="10CD30DE"/>
    <w:rsid w:val="10CF355A"/>
    <w:rsid w:val="10D10E21"/>
    <w:rsid w:val="10D821AF"/>
    <w:rsid w:val="10D8227B"/>
    <w:rsid w:val="10D95F27"/>
    <w:rsid w:val="10DB1C9F"/>
    <w:rsid w:val="10E072B6"/>
    <w:rsid w:val="10E16B8A"/>
    <w:rsid w:val="10E675D1"/>
    <w:rsid w:val="10E70644"/>
    <w:rsid w:val="10ED3781"/>
    <w:rsid w:val="10EF574B"/>
    <w:rsid w:val="10F863AD"/>
    <w:rsid w:val="10FB33EF"/>
    <w:rsid w:val="10FC5772"/>
    <w:rsid w:val="10FE14EA"/>
    <w:rsid w:val="10FF6CE8"/>
    <w:rsid w:val="11005262"/>
    <w:rsid w:val="11056D1C"/>
    <w:rsid w:val="11143B39"/>
    <w:rsid w:val="111451B1"/>
    <w:rsid w:val="111C2F7A"/>
    <w:rsid w:val="111D4066"/>
    <w:rsid w:val="1126606F"/>
    <w:rsid w:val="112C24FB"/>
    <w:rsid w:val="112C6057"/>
    <w:rsid w:val="112E1DCF"/>
    <w:rsid w:val="113008C4"/>
    <w:rsid w:val="113013DE"/>
    <w:rsid w:val="11342C8E"/>
    <w:rsid w:val="11380EA0"/>
    <w:rsid w:val="11447845"/>
    <w:rsid w:val="1145536B"/>
    <w:rsid w:val="114A0BD3"/>
    <w:rsid w:val="114E421F"/>
    <w:rsid w:val="115770D7"/>
    <w:rsid w:val="115929AD"/>
    <w:rsid w:val="115D4462"/>
    <w:rsid w:val="115E4495"/>
    <w:rsid w:val="115F6467"/>
    <w:rsid w:val="11660972"/>
    <w:rsid w:val="116A6B7F"/>
    <w:rsid w:val="116E6670"/>
    <w:rsid w:val="11717F0E"/>
    <w:rsid w:val="117618C6"/>
    <w:rsid w:val="11763776"/>
    <w:rsid w:val="1178129C"/>
    <w:rsid w:val="117A5014"/>
    <w:rsid w:val="117D68B3"/>
    <w:rsid w:val="117E185E"/>
    <w:rsid w:val="117F6ACF"/>
    <w:rsid w:val="11811732"/>
    <w:rsid w:val="118A6CA0"/>
    <w:rsid w:val="118E0AC0"/>
    <w:rsid w:val="1193257A"/>
    <w:rsid w:val="119C5AA8"/>
    <w:rsid w:val="11A05CA3"/>
    <w:rsid w:val="11A16A45"/>
    <w:rsid w:val="11A2456B"/>
    <w:rsid w:val="11A32AB7"/>
    <w:rsid w:val="11A41E98"/>
    <w:rsid w:val="11B04EDA"/>
    <w:rsid w:val="11B232FE"/>
    <w:rsid w:val="11C049F1"/>
    <w:rsid w:val="11C269BB"/>
    <w:rsid w:val="11C450E6"/>
    <w:rsid w:val="11C52008"/>
    <w:rsid w:val="11C54C7E"/>
    <w:rsid w:val="11C73FD2"/>
    <w:rsid w:val="11C75D80"/>
    <w:rsid w:val="11CC15E8"/>
    <w:rsid w:val="11CE710E"/>
    <w:rsid w:val="11CE752D"/>
    <w:rsid w:val="11D010D8"/>
    <w:rsid w:val="11D02E86"/>
    <w:rsid w:val="11D230A2"/>
    <w:rsid w:val="11D62156"/>
    <w:rsid w:val="11D84431"/>
    <w:rsid w:val="11DD37F5"/>
    <w:rsid w:val="11DF30C9"/>
    <w:rsid w:val="11E06E41"/>
    <w:rsid w:val="11E44B84"/>
    <w:rsid w:val="11E46AD9"/>
    <w:rsid w:val="11EB0C04"/>
    <w:rsid w:val="11EE77B0"/>
    <w:rsid w:val="11F0177A"/>
    <w:rsid w:val="11F47FFB"/>
    <w:rsid w:val="11F72B09"/>
    <w:rsid w:val="11F76665"/>
    <w:rsid w:val="11F969CD"/>
    <w:rsid w:val="11FA6155"/>
    <w:rsid w:val="11FC1ECD"/>
    <w:rsid w:val="11FC3E71"/>
    <w:rsid w:val="12042B30"/>
    <w:rsid w:val="12072620"/>
    <w:rsid w:val="120D40DA"/>
    <w:rsid w:val="120E7E53"/>
    <w:rsid w:val="12152F8F"/>
    <w:rsid w:val="121865DB"/>
    <w:rsid w:val="121A67F7"/>
    <w:rsid w:val="121C431D"/>
    <w:rsid w:val="121E62E8"/>
    <w:rsid w:val="121F796A"/>
    <w:rsid w:val="122B06C2"/>
    <w:rsid w:val="122D7F4C"/>
    <w:rsid w:val="122E5DFF"/>
    <w:rsid w:val="12327017"/>
    <w:rsid w:val="1232769D"/>
    <w:rsid w:val="12331667"/>
    <w:rsid w:val="12380A2C"/>
    <w:rsid w:val="12394ECF"/>
    <w:rsid w:val="1240313D"/>
    <w:rsid w:val="12411FD6"/>
    <w:rsid w:val="12445622"/>
    <w:rsid w:val="12463148"/>
    <w:rsid w:val="124B4C03"/>
    <w:rsid w:val="124D2729"/>
    <w:rsid w:val="12575478"/>
    <w:rsid w:val="125A7AA6"/>
    <w:rsid w:val="125D0492"/>
    <w:rsid w:val="12635AA8"/>
    <w:rsid w:val="126A321F"/>
    <w:rsid w:val="126D2DCB"/>
    <w:rsid w:val="126D6927"/>
    <w:rsid w:val="127001C5"/>
    <w:rsid w:val="12706417"/>
    <w:rsid w:val="127140EA"/>
    <w:rsid w:val="12744159"/>
    <w:rsid w:val="12771554"/>
    <w:rsid w:val="127759F8"/>
    <w:rsid w:val="12791770"/>
    <w:rsid w:val="127A1044"/>
    <w:rsid w:val="127B49BD"/>
    <w:rsid w:val="127C6B6A"/>
    <w:rsid w:val="127E6D86"/>
    <w:rsid w:val="127F48AC"/>
    <w:rsid w:val="12810624"/>
    <w:rsid w:val="12844F29"/>
    <w:rsid w:val="12863E8D"/>
    <w:rsid w:val="128679E9"/>
    <w:rsid w:val="1289734F"/>
    <w:rsid w:val="128B3251"/>
    <w:rsid w:val="12994E87"/>
    <w:rsid w:val="129E4D32"/>
    <w:rsid w:val="129F0AAB"/>
    <w:rsid w:val="129F5B09"/>
    <w:rsid w:val="12A143E4"/>
    <w:rsid w:val="12A40CC7"/>
    <w:rsid w:val="12A604AE"/>
    <w:rsid w:val="12AB56A1"/>
    <w:rsid w:val="12AE3240"/>
    <w:rsid w:val="12B04A66"/>
    <w:rsid w:val="12B5308E"/>
    <w:rsid w:val="12B91B6C"/>
    <w:rsid w:val="12BA4BDF"/>
    <w:rsid w:val="12C05E31"/>
    <w:rsid w:val="12C30D5F"/>
    <w:rsid w:val="12C50511"/>
    <w:rsid w:val="12C81DAF"/>
    <w:rsid w:val="12D138EB"/>
    <w:rsid w:val="12D44BF8"/>
    <w:rsid w:val="12D746E8"/>
    <w:rsid w:val="12DB7D35"/>
    <w:rsid w:val="12DC179C"/>
    <w:rsid w:val="12DD1CFF"/>
    <w:rsid w:val="12E267A6"/>
    <w:rsid w:val="12E34E3B"/>
    <w:rsid w:val="12E7492B"/>
    <w:rsid w:val="12EA61CA"/>
    <w:rsid w:val="12EB3CF0"/>
    <w:rsid w:val="12ED7A68"/>
    <w:rsid w:val="12F2507E"/>
    <w:rsid w:val="12F36DB2"/>
    <w:rsid w:val="12F6691D"/>
    <w:rsid w:val="12F708E7"/>
    <w:rsid w:val="130059ED"/>
    <w:rsid w:val="130152C1"/>
    <w:rsid w:val="130354DD"/>
    <w:rsid w:val="13071CE4"/>
    <w:rsid w:val="13076D7C"/>
    <w:rsid w:val="13097217"/>
    <w:rsid w:val="130A23C8"/>
    <w:rsid w:val="130C25E4"/>
    <w:rsid w:val="130C4392"/>
    <w:rsid w:val="130C5FE0"/>
    <w:rsid w:val="130F5C30"/>
    <w:rsid w:val="130F79DE"/>
    <w:rsid w:val="131119A8"/>
    <w:rsid w:val="13141499"/>
    <w:rsid w:val="13171F28"/>
    <w:rsid w:val="13182D37"/>
    <w:rsid w:val="131836D1"/>
    <w:rsid w:val="1319260B"/>
    <w:rsid w:val="13196AAF"/>
    <w:rsid w:val="131C5101"/>
    <w:rsid w:val="13201BEB"/>
    <w:rsid w:val="13223BB5"/>
    <w:rsid w:val="13225964"/>
    <w:rsid w:val="132536A6"/>
    <w:rsid w:val="13272F7A"/>
    <w:rsid w:val="13275128"/>
    <w:rsid w:val="13294F44"/>
    <w:rsid w:val="132963A2"/>
    <w:rsid w:val="132C233E"/>
    <w:rsid w:val="1331204B"/>
    <w:rsid w:val="13370CE3"/>
    <w:rsid w:val="133D279D"/>
    <w:rsid w:val="133D3E1D"/>
    <w:rsid w:val="133E6515"/>
    <w:rsid w:val="13460082"/>
    <w:rsid w:val="13495C7E"/>
    <w:rsid w:val="134A310C"/>
    <w:rsid w:val="134E49AB"/>
    <w:rsid w:val="134F427F"/>
    <w:rsid w:val="135D4BEE"/>
    <w:rsid w:val="13620456"/>
    <w:rsid w:val="13637D2A"/>
    <w:rsid w:val="136917E4"/>
    <w:rsid w:val="13702B73"/>
    <w:rsid w:val="13722A67"/>
    <w:rsid w:val="137361BF"/>
    <w:rsid w:val="13743CE5"/>
    <w:rsid w:val="1377358E"/>
    <w:rsid w:val="137B0136"/>
    <w:rsid w:val="137B5074"/>
    <w:rsid w:val="137D34C8"/>
    <w:rsid w:val="13857CA0"/>
    <w:rsid w:val="13871C6A"/>
    <w:rsid w:val="13893C35"/>
    <w:rsid w:val="138C102F"/>
    <w:rsid w:val="138C54D3"/>
    <w:rsid w:val="13914897"/>
    <w:rsid w:val="139254CE"/>
    <w:rsid w:val="13951726"/>
    <w:rsid w:val="13A66F92"/>
    <w:rsid w:val="13A7230D"/>
    <w:rsid w:val="13B14F39"/>
    <w:rsid w:val="13B32A60"/>
    <w:rsid w:val="13B660AC"/>
    <w:rsid w:val="13B862C8"/>
    <w:rsid w:val="13BD38DE"/>
    <w:rsid w:val="13C133CE"/>
    <w:rsid w:val="13C1400A"/>
    <w:rsid w:val="13C277AD"/>
    <w:rsid w:val="13C30AFC"/>
    <w:rsid w:val="13CE4568"/>
    <w:rsid w:val="13CE7DBD"/>
    <w:rsid w:val="13E16F11"/>
    <w:rsid w:val="13E250F3"/>
    <w:rsid w:val="13E64BE3"/>
    <w:rsid w:val="13EB137C"/>
    <w:rsid w:val="13F05A62"/>
    <w:rsid w:val="13FA243C"/>
    <w:rsid w:val="13FA68E0"/>
    <w:rsid w:val="14076907"/>
    <w:rsid w:val="14103A0E"/>
    <w:rsid w:val="14186D67"/>
    <w:rsid w:val="14197487"/>
    <w:rsid w:val="141C6857"/>
    <w:rsid w:val="141E70C5"/>
    <w:rsid w:val="14213FC1"/>
    <w:rsid w:val="14215C1B"/>
    <w:rsid w:val="14221EEF"/>
    <w:rsid w:val="142474B9"/>
    <w:rsid w:val="14261483"/>
    <w:rsid w:val="14270D58"/>
    <w:rsid w:val="142D2812"/>
    <w:rsid w:val="142E5135"/>
    <w:rsid w:val="143771ED"/>
    <w:rsid w:val="14396509"/>
    <w:rsid w:val="143E4A1F"/>
    <w:rsid w:val="143F3336"/>
    <w:rsid w:val="143F60A1"/>
    <w:rsid w:val="1441006B"/>
    <w:rsid w:val="1447165C"/>
    <w:rsid w:val="1448144A"/>
    <w:rsid w:val="144B713C"/>
    <w:rsid w:val="145002AE"/>
    <w:rsid w:val="14504752"/>
    <w:rsid w:val="14515DD5"/>
    <w:rsid w:val="14575AE1"/>
    <w:rsid w:val="14592FC7"/>
    <w:rsid w:val="145A737F"/>
    <w:rsid w:val="145C4EA5"/>
    <w:rsid w:val="145E6E6F"/>
    <w:rsid w:val="14611454"/>
    <w:rsid w:val="14612B95"/>
    <w:rsid w:val="14643D5A"/>
    <w:rsid w:val="14691370"/>
    <w:rsid w:val="146C1B76"/>
    <w:rsid w:val="146D0E60"/>
    <w:rsid w:val="146E4BD8"/>
    <w:rsid w:val="146E5199"/>
    <w:rsid w:val="147026FF"/>
    <w:rsid w:val="14733F9D"/>
    <w:rsid w:val="14756348"/>
    <w:rsid w:val="14795A57"/>
    <w:rsid w:val="147E16A4"/>
    <w:rsid w:val="14860174"/>
    <w:rsid w:val="14877AD9"/>
    <w:rsid w:val="14885C9A"/>
    <w:rsid w:val="148A7C64"/>
    <w:rsid w:val="148C7CBF"/>
    <w:rsid w:val="148F0807"/>
    <w:rsid w:val="14902DA1"/>
    <w:rsid w:val="149503B7"/>
    <w:rsid w:val="14952165"/>
    <w:rsid w:val="14A16D5C"/>
    <w:rsid w:val="14A300D8"/>
    <w:rsid w:val="14A40884"/>
    <w:rsid w:val="14A960ED"/>
    <w:rsid w:val="14AD5701"/>
    <w:rsid w:val="14B06F9F"/>
    <w:rsid w:val="14B20F69"/>
    <w:rsid w:val="14B91001"/>
    <w:rsid w:val="14BA1BCC"/>
    <w:rsid w:val="14C1721D"/>
    <w:rsid w:val="14C667C2"/>
    <w:rsid w:val="14C842E9"/>
    <w:rsid w:val="14C91E0F"/>
    <w:rsid w:val="14D05CA0"/>
    <w:rsid w:val="14D47131"/>
    <w:rsid w:val="14D709D0"/>
    <w:rsid w:val="14D94748"/>
    <w:rsid w:val="14DA6A78"/>
    <w:rsid w:val="14DC7D94"/>
    <w:rsid w:val="14E05AD6"/>
    <w:rsid w:val="14E07D19"/>
    <w:rsid w:val="14E1184E"/>
    <w:rsid w:val="14E12169"/>
    <w:rsid w:val="14E31122"/>
    <w:rsid w:val="14E8498B"/>
    <w:rsid w:val="14E9477F"/>
    <w:rsid w:val="14ED1FA1"/>
    <w:rsid w:val="14EF1875"/>
    <w:rsid w:val="14F1476F"/>
    <w:rsid w:val="14F65E5A"/>
    <w:rsid w:val="14F9337C"/>
    <w:rsid w:val="15007F26"/>
    <w:rsid w:val="15054F9B"/>
    <w:rsid w:val="1505553D"/>
    <w:rsid w:val="150712B5"/>
    <w:rsid w:val="15080B89"/>
    <w:rsid w:val="150D619F"/>
    <w:rsid w:val="150F1F18"/>
    <w:rsid w:val="151B539B"/>
    <w:rsid w:val="151C63E2"/>
    <w:rsid w:val="151E215B"/>
    <w:rsid w:val="15202377"/>
    <w:rsid w:val="15205ED3"/>
    <w:rsid w:val="1526228F"/>
    <w:rsid w:val="15344AB2"/>
    <w:rsid w:val="15346E8F"/>
    <w:rsid w:val="1537146E"/>
    <w:rsid w:val="153B2D0D"/>
    <w:rsid w:val="15451DDD"/>
    <w:rsid w:val="154871D8"/>
    <w:rsid w:val="154A11A2"/>
    <w:rsid w:val="154A73F4"/>
    <w:rsid w:val="154C6CC8"/>
    <w:rsid w:val="154D0C92"/>
    <w:rsid w:val="154D2A40"/>
    <w:rsid w:val="154E022A"/>
    <w:rsid w:val="15521101"/>
    <w:rsid w:val="15542020"/>
    <w:rsid w:val="155618F4"/>
    <w:rsid w:val="15570834"/>
    <w:rsid w:val="15595889"/>
    <w:rsid w:val="155C4C28"/>
    <w:rsid w:val="15624F26"/>
    <w:rsid w:val="15634011"/>
    <w:rsid w:val="15695ACC"/>
    <w:rsid w:val="156D5C71"/>
    <w:rsid w:val="15744B16"/>
    <w:rsid w:val="15791A87"/>
    <w:rsid w:val="157D4738"/>
    <w:rsid w:val="15804BC3"/>
    <w:rsid w:val="158741A4"/>
    <w:rsid w:val="15877D00"/>
    <w:rsid w:val="15883A78"/>
    <w:rsid w:val="15897F1C"/>
    <w:rsid w:val="158C17BA"/>
    <w:rsid w:val="158C2634"/>
    <w:rsid w:val="159468C1"/>
    <w:rsid w:val="159E329B"/>
    <w:rsid w:val="15A40BEE"/>
    <w:rsid w:val="15A5287C"/>
    <w:rsid w:val="15A779A4"/>
    <w:rsid w:val="15A85EC8"/>
    <w:rsid w:val="15A9236C"/>
    <w:rsid w:val="15AC59B8"/>
    <w:rsid w:val="15AE34DE"/>
    <w:rsid w:val="15B30AF5"/>
    <w:rsid w:val="15BB209F"/>
    <w:rsid w:val="15BD5E17"/>
    <w:rsid w:val="15C03212"/>
    <w:rsid w:val="15C72C7C"/>
    <w:rsid w:val="15C90318"/>
    <w:rsid w:val="15CA4090"/>
    <w:rsid w:val="15CB06E2"/>
    <w:rsid w:val="15D33DF0"/>
    <w:rsid w:val="15D46CBD"/>
    <w:rsid w:val="15D76017"/>
    <w:rsid w:val="15DD0268"/>
    <w:rsid w:val="15DD5B72"/>
    <w:rsid w:val="15E05662"/>
    <w:rsid w:val="15E46F00"/>
    <w:rsid w:val="15EF58A5"/>
    <w:rsid w:val="15F44823"/>
    <w:rsid w:val="15F66C34"/>
    <w:rsid w:val="15F917DF"/>
    <w:rsid w:val="15FA2BC8"/>
    <w:rsid w:val="15FA6724"/>
    <w:rsid w:val="15FF1F8C"/>
    <w:rsid w:val="15FF3D3A"/>
    <w:rsid w:val="16027CCE"/>
    <w:rsid w:val="160457F4"/>
    <w:rsid w:val="16070E41"/>
    <w:rsid w:val="16077A7C"/>
    <w:rsid w:val="160A26DF"/>
    <w:rsid w:val="160B0931"/>
    <w:rsid w:val="160B1CC9"/>
    <w:rsid w:val="160C46A9"/>
    <w:rsid w:val="160E0421"/>
    <w:rsid w:val="160E696E"/>
    <w:rsid w:val="16126189"/>
    <w:rsid w:val="16131283"/>
    <w:rsid w:val="16135A37"/>
    <w:rsid w:val="1615355E"/>
    <w:rsid w:val="16175528"/>
    <w:rsid w:val="161C0D90"/>
    <w:rsid w:val="161C2B3E"/>
    <w:rsid w:val="161F262E"/>
    <w:rsid w:val="162419F3"/>
    <w:rsid w:val="162C6AF9"/>
    <w:rsid w:val="162E2871"/>
    <w:rsid w:val="162F5EEB"/>
    <w:rsid w:val="16302145"/>
    <w:rsid w:val="16380A5A"/>
    <w:rsid w:val="16386068"/>
    <w:rsid w:val="163F4A7E"/>
    <w:rsid w:val="16411730"/>
    <w:rsid w:val="164707FC"/>
    <w:rsid w:val="1649352F"/>
    <w:rsid w:val="16504596"/>
    <w:rsid w:val="165266F1"/>
    <w:rsid w:val="16531DCD"/>
    <w:rsid w:val="165B2F3A"/>
    <w:rsid w:val="165B64DD"/>
    <w:rsid w:val="165C73DE"/>
    <w:rsid w:val="16617428"/>
    <w:rsid w:val="166B7621"/>
    <w:rsid w:val="166D55CB"/>
    <w:rsid w:val="166E0EC0"/>
    <w:rsid w:val="167364D6"/>
    <w:rsid w:val="16753FFC"/>
    <w:rsid w:val="16777D74"/>
    <w:rsid w:val="167B7C4B"/>
    <w:rsid w:val="167C44F8"/>
    <w:rsid w:val="16826719"/>
    <w:rsid w:val="16872A35"/>
    <w:rsid w:val="168B7CC4"/>
    <w:rsid w:val="168D57EA"/>
    <w:rsid w:val="168D7598"/>
    <w:rsid w:val="16900E36"/>
    <w:rsid w:val="1694148D"/>
    <w:rsid w:val="1695469E"/>
    <w:rsid w:val="16976668"/>
    <w:rsid w:val="169C5A2D"/>
    <w:rsid w:val="169D3553"/>
    <w:rsid w:val="169E79F7"/>
    <w:rsid w:val="169F551D"/>
    <w:rsid w:val="169F72CB"/>
    <w:rsid w:val="16A36DBB"/>
    <w:rsid w:val="16A81790"/>
    <w:rsid w:val="16A82624"/>
    <w:rsid w:val="16AB2114"/>
    <w:rsid w:val="16AB3EC2"/>
    <w:rsid w:val="16AD19E8"/>
    <w:rsid w:val="16AF115E"/>
    <w:rsid w:val="16B014D8"/>
    <w:rsid w:val="16B207CA"/>
    <w:rsid w:val="16B338BD"/>
    <w:rsid w:val="16B9038D"/>
    <w:rsid w:val="16BB3C28"/>
    <w:rsid w:val="16BC5986"/>
    <w:rsid w:val="16C44AD8"/>
    <w:rsid w:val="16C4566D"/>
    <w:rsid w:val="16D276A1"/>
    <w:rsid w:val="16D451C7"/>
    <w:rsid w:val="16DA6555"/>
    <w:rsid w:val="16DF3B6C"/>
    <w:rsid w:val="16DF591A"/>
    <w:rsid w:val="16E82A20"/>
    <w:rsid w:val="16F2564D"/>
    <w:rsid w:val="16F45869"/>
    <w:rsid w:val="16F615E1"/>
    <w:rsid w:val="16FB4332"/>
    <w:rsid w:val="1704557F"/>
    <w:rsid w:val="17066928"/>
    <w:rsid w:val="17084E91"/>
    <w:rsid w:val="17171557"/>
    <w:rsid w:val="171F2C3F"/>
    <w:rsid w:val="172120C7"/>
    <w:rsid w:val="17215F32"/>
    <w:rsid w:val="17221F62"/>
    <w:rsid w:val="17285513"/>
    <w:rsid w:val="17300D77"/>
    <w:rsid w:val="17312619"/>
    <w:rsid w:val="17312D11"/>
    <w:rsid w:val="17345C65"/>
    <w:rsid w:val="1735378C"/>
    <w:rsid w:val="17374439"/>
    <w:rsid w:val="173B3498"/>
    <w:rsid w:val="173C34E8"/>
    <w:rsid w:val="1740285C"/>
    <w:rsid w:val="174165D4"/>
    <w:rsid w:val="17465999"/>
    <w:rsid w:val="17471E3D"/>
    <w:rsid w:val="174C7453"/>
    <w:rsid w:val="17525B6D"/>
    <w:rsid w:val="17563E2E"/>
    <w:rsid w:val="175653EE"/>
    <w:rsid w:val="17577BA6"/>
    <w:rsid w:val="175956CC"/>
    <w:rsid w:val="175C6F6A"/>
    <w:rsid w:val="17602EFE"/>
    <w:rsid w:val="17666845"/>
    <w:rsid w:val="176A1687"/>
    <w:rsid w:val="176C4AB8"/>
    <w:rsid w:val="176C7FAF"/>
    <w:rsid w:val="176D1177"/>
    <w:rsid w:val="1770386E"/>
    <w:rsid w:val="177235B3"/>
    <w:rsid w:val="17735226"/>
    <w:rsid w:val="177D49C9"/>
    <w:rsid w:val="177D585E"/>
    <w:rsid w:val="17832749"/>
    <w:rsid w:val="17842AD0"/>
    <w:rsid w:val="178564C1"/>
    <w:rsid w:val="1787048B"/>
    <w:rsid w:val="17887D5F"/>
    <w:rsid w:val="178B7795"/>
    <w:rsid w:val="178C784F"/>
    <w:rsid w:val="178D1819"/>
    <w:rsid w:val="178F7340"/>
    <w:rsid w:val="179606CE"/>
    <w:rsid w:val="17994519"/>
    <w:rsid w:val="17994B59"/>
    <w:rsid w:val="179C49C1"/>
    <w:rsid w:val="179E7583"/>
    <w:rsid w:val="17A06CE7"/>
    <w:rsid w:val="17A10E21"/>
    <w:rsid w:val="17A56B63"/>
    <w:rsid w:val="17A728DB"/>
    <w:rsid w:val="17A75F91"/>
    <w:rsid w:val="17A80401"/>
    <w:rsid w:val="17A95D96"/>
    <w:rsid w:val="17AA23CB"/>
    <w:rsid w:val="17AA4179"/>
    <w:rsid w:val="17AC1CA0"/>
    <w:rsid w:val="17B15508"/>
    <w:rsid w:val="17B41E54"/>
    <w:rsid w:val="17B631A7"/>
    <w:rsid w:val="17B80644"/>
    <w:rsid w:val="17B91FA2"/>
    <w:rsid w:val="17B9260F"/>
    <w:rsid w:val="17BB3400"/>
    <w:rsid w:val="17C074F9"/>
    <w:rsid w:val="17C52D61"/>
    <w:rsid w:val="17C76AD9"/>
    <w:rsid w:val="17D43BE0"/>
    <w:rsid w:val="17DA4A5F"/>
    <w:rsid w:val="17DE55A1"/>
    <w:rsid w:val="17E21B65"/>
    <w:rsid w:val="17E72CD8"/>
    <w:rsid w:val="17EE5317"/>
    <w:rsid w:val="17EF6030"/>
    <w:rsid w:val="17F12BE8"/>
    <w:rsid w:val="17F324AA"/>
    <w:rsid w:val="18055854"/>
    <w:rsid w:val="18057602"/>
    <w:rsid w:val="18094A7F"/>
    <w:rsid w:val="18095344"/>
    <w:rsid w:val="180A2E6A"/>
    <w:rsid w:val="180D7C95"/>
    <w:rsid w:val="18100480"/>
    <w:rsid w:val="18117D55"/>
    <w:rsid w:val="18134CAA"/>
    <w:rsid w:val="18147845"/>
    <w:rsid w:val="18165F03"/>
    <w:rsid w:val="182201B4"/>
    <w:rsid w:val="18226406"/>
    <w:rsid w:val="18295F5F"/>
    <w:rsid w:val="18297794"/>
    <w:rsid w:val="182C4B8E"/>
    <w:rsid w:val="182E0907"/>
    <w:rsid w:val="18325562"/>
    <w:rsid w:val="1833416F"/>
    <w:rsid w:val="18351C95"/>
    <w:rsid w:val="18363C40"/>
    <w:rsid w:val="18363C5F"/>
    <w:rsid w:val="183879D7"/>
    <w:rsid w:val="183A60CC"/>
    <w:rsid w:val="183D6D9C"/>
    <w:rsid w:val="183E57A4"/>
    <w:rsid w:val="183F2B14"/>
    <w:rsid w:val="183F48C2"/>
    <w:rsid w:val="1840063A"/>
    <w:rsid w:val="1840688C"/>
    <w:rsid w:val="184243B2"/>
    <w:rsid w:val="18477C1A"/>
    <w:rsid w:val="185540E5"/>
    <w:rsid w:val="18581E27"/>
    <w:rsid w:val="18673E19"/>
    <w:rsid w:val="1869193F"/>
    <w:rsid w:val="186B56B7"/>
    <w:rsid w:val="186F23AF"/>
    <w:rsid w:val="18714C97"/>
    <w:rsid w:val="187529D9"/>
    <w:rsid w:val="187A1D9E"/>
    <w:rsid w:val="187C3D68"/>
    <w:rsid w:val="187F1162"/>
    <w:rsid w:val="18826EA4"/>
    <w:rsid w:val="18833979"/>
    <w:rsid w:val="1888270D"/>
    <w:rsid w:val="1888635B"/>
    <w:rsid w:val="188B5D59"/>
    <w:rsid w:val="18954E2A"/>
    <w:rsid w:val="18956899"/>
    <w:rsid w:val="18982224"/>
    <w:rsid w:val="18A46E1B"/>
    <w:rsid w:val="18AA6B24"/>
    <w:rsid w:val="18AE0D2F"/>
    <w:rsid w:val="18AF5EEB"/>
    <w:rsid w:val="18B0756E"/>
    <w:rsid w:val="18B13D26"/>
    <w:rsid w:val="18B21538"/>
    <w:rsid w:val="18B232E6"/>
    <w:rsid w:val="18B43502"/>
    <w:rsid w:val="18B51028"/>
    <w:rsid w:val="18B90B18"/>
    <w:rsid w:val="18BA4890"/>
    <w:rsid w:val="18BC23B6"/>
    <w:rsid w:val="18BF12FA"/>
    <w:rsid w:val="18C13529"/>
    <w:rsid w:val="18C179CD"/>
    <w:rsid w:val="18C63235"/>
    <w:rsid w:val="18C64FE3"/>
    <w:rsid w:val="18C66D91"/>
    <w:rsid w:val="18C87522"/>
    <w:rsid w:val="18C94AD3"/>
    <w:rsid w:val="18C96881"/>
    <w:rsid w:val="18CD45C3"/>
    <w:rsid w:val="18CE20EA"/>
    <w:rsid w:val="18D07C10"/>
    <w:rsid w:val="18D72D4C"/>
    <w:rsid w:val="18DD40DB"/>
    <w:rsid w:val="18E35B95"/>
    <w:rsid w:val="18E86685"/>
    <w:rsid w:val="18E86D07"/>
    <w:rsid w:val="18EB67F8"/>
    <w:rsid w:val="18ED08AB"/>
    <w:rsid w:val="18F179C4"/>
    <w:rsid w:val="18FA6A3B"/>
    <w:rsid w:val="18FC0A05"/>
    <w:rsid w:val="18FC6C57"/>
    <w:rsid w:val="18FE29CF"/>
    <w:rsid w:val="190470B1"/>
    <w:rsid w:val="19047787"/>
    <w:rsid w:val="19067AD5"/>
    <w:rsid w:val="190873AA"/>
    <w:rsid w:val="19094547"/>
    <w:rsid w:val="190B6E9A"/>
    <w:rsid w:val="19103908"/>
    <w:rsid w:val="1910625E"/>
    <w:rsid w:val="19130CA3"/>
    <w:rsid w:val="19185113"/>
    <w:rsid w:val="191A0E8B"/>
    <w:rsid w:val="191A70DD"/>
    <w:rsid w:val="191C2E55"/>
    <w:rsid w:val="192341E3"/>
    <w:rsid w:val="192A37C4"/>
    <w:rsid w:val="192D79FD"/>
    <w:rsid w:val="192F4936"/>
    <w:rsid w:val="193208CA"/>
    <w:rsid w:val="19371A3D"/>
    <w:rsid w:val="19436634"/>
    <w:rsid w:val="194B54E8"/>
    <w:rsid w:val="194D74B2"/>
    <w:rsid w:val="194F7E45"/>
    <w:rsid w:val="19520625"/>
    <w:rsid w:val="19550115"/>
    <w:rsid w:val="195645B9"/>
    <w:rsid w:val="19570331"/>
    <w:rsid w:val="19572D68"/>
    <w:rsid w:val="195C1FE7"/>
    <w:rsid w:val="195C49A7"/>
    <w:rsid w:val="195D6EAA"/>
    <w:rsid w:val="19650358"/>
    <w:rsid w:val="196842EC"/>
    <w:rsid w:val="1968518A"/>
    <w:rsid w:val="1968609A"/>
    <w:rsid w:val="196A0064"/>
    <w:rsid w:val="196F11D7"/>
    <w:rsid w:val="19713BDF"/>
    <w:rsid w:val="1973708C"/>
    <w:rsid w:val="197762DD"/>
    <w:rsid w:val="19793E03"/>
    <w:rsid w:val="197C1B46"/>
    <w:rsid w:val="198253AE"/>
    <w:rsid w:val="198B3B37"/>
    <w:rsid w:val="1990114D"/>
    <w:rsid w:val="199109E2"/>
    <w:rsid w:val="19940C3D"/>
    <w:rsid w:val="199E386A"/>
    <w:rsid w:val="199E50E5"/>
    <w:rsid w:val="19A05834"/>
    <w:rsid w:val="19A31463"/>
    <w:rsid w:val="19A52E4A"/>
    <w:rsid w:val="19A74E14"/>
    <w:rsid w:val="19AA66B3"/>
    <w:rsid w:val="19AC41D9"/>
    <w:rsid w:val="19AC5F87"/>
    <w:rsid w:val="19AF7825"/>
    <w:rsid w:val="19B22744"/>
    <w:rsid w:val="19B337B9"/>
    <w:rsid w:val="19B65058"/>
    <w:rsid w:val="19BB441C"/>
    <w:rsid w:val="19BD63E6"/>
    <w:rsid w:val="19BE4A93"/>
    <w:rsid w:val="19BE5CBA"/>
    <w:rsid w:val="19C07C84"/>
    <w:rsid w:val="19C257AA"/>
    <w:rsid w:val="19CA465F"/>
    <w:rsid w:val="19CF1C75"/>
    <w:rsid w:val="19D35C0A"/>
    <w:rsid w:val="19D63004"/>
    <w:rsid w:val="19D90D46"/>
    <w:rsid w:val="19E03E83"/>
    <w:rsid w:val="19E41BC5"/>
    <w:rsid w:val="19E96351"/>
    <w:rsid w:val="19ED659F"/>
    <w:rsid w:val="19F25F57"/>
    <w:rsid w:val="19F30585"/>
    <w:rsid w:val="19F31E08"/>
    <w:rsid w:val="19F33BB6"/>
    <w:rsid w:val="19F45B80"/>
    <w:rsid w:val="19F4792E"/>
    <w:rsid w:val="19F93196"/>
    <w:rsid w:val="19FA7950"/>
    <w:rsid w:val="19FF69FF"/>
    <w:rsid w:val="1A00069C"/>
    <w:rsid w:val="1A027F67"/>
    <w:rsid w:val="1A0538E9"/>
    <w:rsid w:val="1A057D8D"/>
    <w:rsid w:val="1A09138C"/>
    <w:rsid w:val="1A0C2EC9"/>
    <w:rsid w:val="1A18361C"/>
    <w:rsid w:val="1A187AC0"/>
    <w:rsid w:val="1A1C66C0"/>
    <w:rsid w:val="1A1F0E4F"/>
    <w:rsid w:val="1A240213"/>
    <w:rsid w:val="1A27385F"/>
    <w:rsid w:val="1A293A7B"/>
    <w:rsid w:val="1A2B77F4"/>
    <w:rsid w:val="1A2D1611"/>
    <w:rsid w:val="1A2E4BEE"/>
    <w:rsid w:val="1A367F46"/>
    <w:rsid w:val="1A3F5F9B"/>
    <w:rsid w:val="1A404921"/>
    <w:rsid w:val="1A42393B"/>
    <w:rsid w:val="1A4268EB"/>
    <w:rsid w:val="1A435F0A"/>
    <w:rsid w:val="1A441CBC"/>
    <w:rsid w:val="1A4A527E"/>
    <w:rsid w:val="1A4A57A0"/>
    <w:rsid w:val="1A4B1C44"/>
    <w:rsid w:val="1A4E34E2"/>
    <w:rsid w:val="1A4E4600"/>
    <w:rsid w:val="1A516B2E"/>
    <w:rsid w:val="1A526911"/>
    <w:rsid w:val="1A58610F"/>
    <w:rsid w:val="1A5A4033"/>
    <w:rsid w:val="1A5E6E65"/>
    <w:rsid w:val="1A670100"/>
    <w:rsid w:val="1A6745A4"/>
    <w:rsid w:val="1A6751A7"/>
    <w:rsid w:val="1A693E78"/>
    <w:rsid w:val="1A6C1BBA"/>
    <w:rsid w:val="1A6E5932"/>
    <w:rsid w:val="1A7016AA"/>
    <w:rsid w:val="1A7036F0"/>
    <w:rsid w:val="1A75606A"/>
    <w:rsid w:val="1A766595"/>
    <w:rsid w:val="1A780499"/>
    <w:rsid w:val="1A7A42D7"/>
    <w:rsid w:val="1A7A5E19"/>
    <w:rsid w:val="1A7A7E33"/>
    <w:rsid w:val="1A7D2C10"/>
    <w:rsid w:val="1A7D5B75"/>
    <w:rsid w:val="1A7D7923"/>
    <w:rsid w:val="1A7E53C6"/>
    <w:rsid w:val="1A8011C2"/>
    <w:rsid w:val="1A824F3A"/>
    <w:rsid w:val="1A8A7F67"/>
    <w:rsid w:val="1A8C7B66"/>
    <w:rsid w:val="1A8E38DF"/>
    <w:rsid w:val="1A907657"/>
    <w:rsid w:val="1A924679"/>
    <w:rsid w:val="1A9475CB"/>
    <w:rsid w:val="1A9D4337"/>
    <w:rsid w:val="1A9D6217"/>
    <w:rsid w:val="1A9F5AEC"/>
    <w:rsid w:val="1AA66E7A"/>
    <w:rsid w:val="1AAE5D2F"/>
    <w:rsid w:val="1AB05F4B"/>
    <w:rsid w:val="1AB33345"/>
    <w:rsid w:val="1AB833B2"/>
    <w:rsid w:val="1AB86E8B"/>
    <w:rsid w:val="1AB94A4F"/>
    <w:rsid w:val="1ABF08C1"/>
    <w:rsid w:val="1AC15A62"/>
    <w:rsid w:val="1AC60017"/>
    <w:rsid w:val="1AC840ED"/>
    <w:rsid w:val="1AC94917"/>
    <w:rsid w:val="1ACD2659"/>
    <w:rsid w:val="1ACE4623"/>
    <w:rsid w:val="1ADB5522"/>
    <w:rsid w:val="1AE027CB"/>
    <w:rsid w:val="1AE6196C"/>
    <w:rsid w:val="1AE856E5"/>
    <w:rsid w:val="1AE94FB9"/>
    <w:rsid w:val="1AEB35C0"/>
    <w:rsid w:val="1AEE7796"/>
    <w:rsid w:val="1AF220BF"/>
    <w:rsid w:val="1AF5395E"/>
    <w:rsid w:val="1AF851FC"/>
    <w:rsid w:val="1AFB27F7"/>
    <w:rsid w:val="1AFF47DC"/>
    <w:rsid w:val="1B010952"/>
    <w:rsid w:val="1B03607B"/>
    <w:rsid w:val="1B040045"/>
    <w:rsid w:val="1B046F80"/>
    <w:rsid w:val="1B063DBD"/>
    <w:rsid w:val="1B122762"/>
    <w:rsid w:val="1B1C0EEA"/>
    <w:rsid w:val="1B1C713C"/>
    <w:rsid w:val="1B1D7B9C"/>
    <w:rsid w:val="1B1F6C2C"/>
    <w:rsid w:val="1B222279"/>
    <w:rsid w:val="1B267FBB"/>
    <w:rsid w:val="1B2E0C1E"/>
    <w:rsid w:val="1B2F50C2"/>
    <w:rsid w:val="1B324BB2"/>
    <w:rsid w:val="1B3267B5"/>
    <w:rsid w:val="1B3501FE"/>
    <w:rsid w:val="1B3705F1"/>
    <w:rsid w:val="1B3E3557"/>
    <w:rsid w:val="1B410951"/>
    <w:rsid w:val="1B4346C9"/>
    <w:rsid w:val="1B440441"/>
    <w:rsid w:val="1B466DA8"/>
    <w:rsid w:val="1B4A1EFB"/>
    <w:rsid w:val="1B4F12C0"/>
    <w:rsid w:val="1B551BB4"/>
    <w:rsid w:val="1B55264E"/>
    <w:rsid w:val="1B5728FE"/>
    <w:rsid w:val="1B5763C6"/>
    <w:rsid w:val="1B5E59A7"/>
    <w:rsid w:val="1B610FF3"/>
    <w:rsid w:val="1B617DDC"/>
    <w:rsid w:val="1B642891"/>
    <w:rsid w:val="1B650AE3"/>
    <w:rsid w:val="1B6805D3"/>
    <w:rsid w:val="1B684130"/>
    <w:rsid w:val="1B6B62AA"/>
    <w:rsid w:val="1B6E246A"/>
    <w:rsid w:val="1B776A68"/>
    <w:rsid w:val="1B7A20B5"/>
    <w:rsid w:val="1B8371BB"/>
    <w:rsid w:val="1B8917F2"/>
    <w:rsid w:val="1B917546"/>
    <w:rsid w:val="1B917B2A"/>
    <w:rsid w:val="1B9238A2"/>
    <w:rsid w:val="1B974A15"/>
    <w:rsid w:val="1B9B4505"/>
    <w:rsid w:val="1BA55CFC"/>
    <w:rsid w:val="1BA809D0"/>
    <w:rsid w:val="1BAA0CF5"/>
    <w:rsid w:val="1BAB04C0"/>
    <w:rsid w:val="1BB2184F"/>
    <w:rsid w:val="1BB249FC"/>
    <w:rsid w:val="1BB35DA2"/>
    <w:rsid w:val="1BBB4BA7"/>
    <w:rsid w:val="1BBE1FA1"/>
    <w:rsid w:val="1BC25DC8"/>
    <w:rsid w:val="1BC66BE3"/>
    <w:rsid w:val="1BC752FA"/>
    <w:rsid w:val="1BCA3093"/>
    <w:rsid w:val="1BCC2910"/>
    <w:rsid w:val="1BCD48DA"/>
    <w:rsid w:val="1BCD6688"/>
    <w:rsid w:val="1BCF3EC0"/>
    <w:rsid w:val="1BD05CC3"/>
    <w:rsid w:val="1BD25A4D"/>
    <w:rsid w:val="1BDD4B1E"/>
    <w:rsid w:val="1BDF119A"/>
    <w:rsid w:val="1BE13EE2"/>
    <w:rsid w:val="1BE67209"/>
    <w:rsid w:val="1BEA548C"/>
    <w:rsid w:val="1BF9122C"/>
    <w:rsid w:val="1BF9747E"/>
    <w:rsid w:val="1BFE4A94"/>
    <w:rsid w:val="1C032DB0"/>
    <w:rsid w:val="1C177904"/>
    <w:rsid w:val="1C187CE4"/>
    <w:rsid w:val="1C1918CE"/>
    <w:rsid w:val="1C1F5136"/>
    <w:rsid w:val="1C1F6AB3"/>
    <w:rsid w:val="1C204A0A"/>
    <w:rsid w:val="1C280A6A"/>
    <w:rsid w:val="1C2942AF"/>
    <w:rsid w:val="1C297D63"/>
    <w:rsid w:val="1C2C1601"/>
    <w:rsid w:val="1C2E35CB"/>
    <w:rsid w:val="1C2F69EB"/>
    <w:rsid w:val="1C316C17"/>
    <w:rsid w:val="1C3256D2"/>
    <w:rsid w:val="1C3D380E"/>
    <w:rsid w:val="1C3D43D1"/>
    <w:rsid w:val="1C3D55BC"/>
    <w:rsid w:val="1C495A9D"/>
    <w:rsid w:val="1C4C57FF"/>
    <w:rsid w:val="1C4E0B38"/>
    <w:rsid w:val="1C4E1577"/>
    <w:rsid w:val="1C5341C9"/>
    <w:rsid w:val="1C574F78"/>
    <w:rsid w:val="1C5D5C5E"/>
    <w:rsid w:val="1C5D7A0C"/>
    <w:rsid w:val="1C5E227A"/>
    <w:rsid w:val="1C5E7925"/>
    <w:rsid w:val="1C5F71C6"/>
    <w:rsid w:val="1C6777DD"/>
    <w:rsid w:val="1C6A3ED7"/>
    <w:rsid w:val="1C6E1C1A"/>
    <w:rsid w:val="1C7020CB"/>
    <w:rsid w:val="1C704EFA"/>
    <w:rsid w:val="1C712CA5"/>
    <w:rsid w:val="1C735482"/>
    <w:rsid w:val="1C780121"/>
    <w:rsid w:val="1C784846"/>
    <w:rsid w:val="1C821221"/>
    <w:rsid w:val="1C827473"/>
    <w:rsid w:val="1C8615F4"/>
    <w:rsid w:val="1C887FC8"/>
    <w:rsid w:val="1C8E7BC6"/>
    <w:rsid w:val="1C9553F8"/>
    <w:rsid w:val="1C97240B"/>
    <w:rsid w:val="1C9B0535"/>
    <w:rsid w:val="1CA13D9D"/>
    <w:rsid w:val="1CA636C0"/>
    <w:rsid w:val="1CA76006"/>
    <w:rsid w:val="1CA94A00"/>
    <w:rsid w:val="1CAC44F0"/>
    <w:rsid w:val="1CB02232"/>
    <w:rsid w:val="1CBA6C0D"/>
    <w:rsid w:val="1CBF06C7"/>
    <w:rsid w:val="1CC17F9B"/>
    <w:rsid w:val="1CC614DF"/>
    <w:rsid w:val="1CC63804"/>
    <w:rsid w:val="1CC730D8"/>
    <w:rsid w:val="1CCE090A"/>
    <w:rsid w:val="1CCE7662"/>
    <w:rsid w:val="1CD06827"/>
    <w:rsid w:val="1CD11779"/>
    <w:rsid w:val="1CD777BF"/>
    <w:rsid w:val="1CD83537"/>
    <w:rsid w:val="1CDD0B4D"/>
    <w:rsid w:val="1CE27F12"/>
    <w:rsid w:val="1CE56751"/>
    <w:rsid w:val="1CEE4B08"/>
    <w:rsid w:val="1CF163A7"/>
    <w:rsid w:val="1CF33ECD"/>
    <w:rsid w:val="1CF739BD"/>
    <w:rsid w:val="1CF7783C"/>
    <w:rsid w:val="1CFC0FD3"/>
    <w:rsid w:val="1D0221D5"/>
    <w:rsid w:val="1D037E77"/>
    <w:rsid w:val="1D0B5412"/>
    <w:rsid w:val="1D0D1432"/>
    <w:rsid w:val="1D13631D"/>
    <w:rsid w:val="1D1502E7"/>
    <w:rsid w:val="1D1638A0"/>
    <w:rsid w:val="1D1B1F70"/>
    <w:rsid w:val="1D1E53EE"/>
    <w:rsid w:val="1D1E587E"/>
    <w:rsid w:val="1D230C56"/>
    <w:rsid w:val="1D2422D8"/>
    <w:rsid w:val="1D28776C"/>
    <w:rsid w:val="1D2B5F1E"/>
    <w:rsid w:val="1D320E99"/>
    <w:rsid w:val="1D3369BF"/>
    <w:rsid w:val="1D343C6E"/>
    <w:rsid w:val="1D3764AF"/>
    <w:rsid w:val="1D3C5874"/>
    <w:rsid w:val="1D3F5364"/>
    <w:rsid w:val="1D4110DC"/>
    <w:rsid w:val="1D436C02"/>
    <w:rsid w:val="1D454590"/>
    <w:rsid w:val="1D4551DD"/>
    <w:rsid w:val="1D4604A0"/>
    <w:rsid w:val="1D496BFF"/>
    <w:rsid w:val="1D4B5AB7"/>
    <w:rsid w:val="1D4E6AE2"/>
    <w:rsid w:val="1D4F1A4B"/>
    <w:rsid w:val="1D50131F"/>
    <w:rsid w:val="1D5030CD"/>
    <w:rsid w:val="1D57445C"/>
    <w:rsid w:val="1D5C4168"/>
    <w:rsid w:val="1D5D57EA"/>
    <w:rsid w:val="1D5F6196"/>
    <w:rsid w:val="1D6132A5"/>
    <w:rsid w:val="1D631052"/>
    <w:rsid w:val="1D686669"/>
    <w:rsid w:val="1D6D0123"/>
    <w:rsid w:val="1D701DA4"/>
    <w:rsid w:val="1D721295"/>
    <w:rsid w:val="1D757536"/>
    <w:rsid w:val="1D813BCE"/>
    <w:rsid w:val="1D85652A"/>
    <w:rsid w:val="1D8611E5"/>
    <w:rsid w:val="1D8E56D5"/>
    <w:rsid w:val="1D903E12"/>
    <w:rsid w:val="1D943902"/>
    <w:rsid w:val="1D9E208B"/>
    <w:rsid w:val="1D9E279F"/>
    <w:rsid w:val="1DA376A1"/>
    <w:rsid w:val="1DA5166B"/>
    <w:rsid w:val="1DB541DC"/>
    <w:rsid w:val="1DB814F0"/>
    <w:rsid w:val="1DB96EC4"/>
    <w:rsid w:val="1DBE44DB"/>
    <w:rsid w:val="1DC064A5"/>
    <w:rsid w:val="1DC6338F"/>
    <w:rsid w:val="1DC835AB"/>
    <w:rsid w:val="1DC87107"/>
    <w:rsid w:val="1DCA2E80"/>
    <w:rsid w:val="1DCA3975"/>
    <w:rsid w:val="1DCA7323"/>
    <w:rsid w:val="1DCF66E8"/>
    <w:rsid w:val="1DD0420E"/>
    <w:rsid w:val="1DD26E1C"/>
    <w:rsid w:val="1DD72298"/>
    <w:rsid w:val="1DD737EE"/>
    <w:rsid w:val="1DD7559C"/>
    <w:rsid w:val="1DD849C1"/>
    <w:rsid w:val="1DDB32DF"/>
    <w:rsid w:val="1DDF4DA5"/>
    <w:rsid w:val="1DE005BB"/>
    <w:rsid w:val="1DE76E33"/>
    <w:rsid w:val="1DEA6122"/>
    <w:rsid w:val="1DEB1048"/>
    <w:rsid w:val="1DEC729A"/>
    <w:rsid w:val="1DED6B6E"/>
    <w:rsid w:val="1DEE3DF0"/>
    <w:rsid w:val="1DF234E7"/>
    <w:rsid w:val="1DF47922"/>
    <w:rsid w:val="1DF61EC7"/>
    <w:rsid w:val="1DF63C75"/>
    <w:rsid w:val="1DFC3255"/>
    <w:rsid w:val="1DFE001E"/>
    <w:rsid w:val="1DFE521F"/>
    <w:rsid w:val="1E022BB7"/>
    <w:rsid w:val="1E087E4C"/>
    <w:rsid w:val="1E0F0A85"/>
    <w:rsid w:val="1E1503D5"/>
    <w:rsid w:val="1E1B192D"/>
    <w:rsid w:val="1E1B36DB"/>
    <w:rsid w:val="1E1D7157"/>
    <w:rsid w:val="1E214A6A"/>
    <w:rsid w:val="1E222CBC"/>
    <w:rsid w:val="1E22594E"/>
    <w:rsid w:val="1E2307E2"/>
    <w:rsid w:val="1E2C3B3A"/>
    <w:rsid w:val="1E320A25"/>
    <w:rsid w:val="1E326C77"/>
    <w:rsid w:val="1E37428D"/>
    <w:rsid w:val="1E3E386E"/>
    <w:rsid w:val="1E400B16"/>
    <w:rsid w:val="1E450758"/>
    <w:rsid w:val="1E4A0464"/>
    <w:rsid w:val="1E4D585F"/>
    <w:rsid w:val="1E521E5C"/>
    <w:rsid w:val="1E560BB7"/>
    <w:rsid w:val="1E5A31BE"/>
    <w:rsid w:val="1E5A7901"/>
    <w:rsid w:val="1E5D655D"/>
    <w:rsid w:val="1E601A36"/>
    <w:rsid w:val="1E62755C"/>
    <w:rsid w:val="1E690E12"/>
    <w:rsid w:val="1E693DBB"/>
    <w:rsid w:val="1E6A01BF"/>
    <w:rsid w:val="1E6A6411"/>
    <w:rsid w:val="1E6E4153"/>
    <w:rsid w:val="1E6E627A"/>
    <w:rsid w:val="1E71154D"/>
    <w:rsid w:val="1E7159F1"/>
    <w:rsid w:val="1E763007"/>
    <w:rsid w:val="1E780D78"/>
    <w:rsid w:val="1E7A43DA"/>
    <w:rsid w:val="1E7B6870"/>
    <w:rsid w:val="1E7C4581"/>
    <w:rsid w:val="1E803E86"/>
    <w:rsid w:val="1E83147F"/>
    <w:rsid w:val="1E85324A"/>
    <w:rsid w:val="1E875215"/>
    <w:rsid w:val="1E881EAE"/>
    <w:rsid w:val="1E894AFB"/>
    <w:rsid w:val="1E895F8B"/>
    <w:rsid w:val="1E8E20FF"/>
    <w:rsid w:val="1E960FB4"/>
    <w:rsid w:val="1E967206"/>
    <w:rsid w:val="1E9A6CF6"/>
    <w:rsid w:val="1E9F255E"/>
    <w:rsid w:val="1EA01E32"/>
    <w:rsid w:val="1EA36355"/>
    <w:rsid w:val="1EA47B74"/>
    <w:rsid w:val="1EAE7EC3"/>
    <w:rsid w:val="1EAF2075"/>
    <w:rsid w:val="1EB277FE"/>
    <w:rsid w:val="1EB31B66"/>
    <w:rsid w:val="1EB51D82"/>
    <w:rsid w:val="1EBA2EF4"/>
    <w:rsid w:val="1EC22CE6"/>
    <w:rsid w:val="1EC2624D"/>
    <w:rsid w:val="1EC5276A"/>
    <w:rsid w:val="1EC91389"/>
    <w:rsid w:val="1EC93137"/>
    <w:rsid w:val="1ECC0E79"/>
    <w:rsid w:val="1ECE2E43"/>
    <w:rsid w:val="1ECE699F"/>
    <w:rsid w:val="1ED02718"/>
    <w:rsid w:val="1ED41ADC"/>
    <w:rsid w:val="1ED470A1"/>
    <w:rsid w:val="1ED815CC"/>
    <w:rsid w:val="1EDB10BC"/>
    <w:rsid w:val="1EDD3086"/>
    <w:rsid w:val="1EE52A7C"/>
    <w:rsid w:val="1EE9589D"/>
    <w:rsid w:val="1EF26B32"/>
    <w:rsid w:val="1EFA027C"/>
    <w:rsid w:val="1EFA1543"/>
    <w:rsid w:val="1EFB52BB"/>
    <w:rsid w:val="1EFC19B9"/>
    <w:rsid w:val="1EFD1033"/>
    <w:rsid w:val="1EFD3C62"/>
    <w:rsid w:val="1EFF124F"/>
    <w:rsid w:val="1EFF4DAB"/>
    <w:rsid w:val="1F0028D1"/>
    <w:rsid w:val="1F007446"/>
    <w:rsid w:val="1F010B23"/>
    <w:rsid w:val="1F0625DD"/>
    <w:rsid w:val="1F074B01"/>
    <w:rsid w:val="1F0B19A2"/>
    <w:rsid w:val="1F0C2860"/>
    <w:rsid w:val="1F0E3240"/>
    <w:rsid w:val="1F122D30"/>
    <w:rsid w:val="1F15637C"/>
    <w:rsid w:val="1F213ABA"/>
    <w:rsid w:val="1F262338"/>
    <w:rsid w:val="1F2729AA"/>
    <w:rsid w:val="1F29007A"/>
    <w:rsid w:val="1F2C36C6"/>
    <w:rsid w:val="1F2E3015"/>
    <w:rsid w:val="1F306CF2"/>
    <w:rsid w:val="1F38206B"/>
    <w:rsid w:val="1F394761"/>
    <w:rsid w:val="1F4206BA"/>
    <w:rsid w:val="1F42113B"/>
    <w:rsid w:val="1F464788"/>
    <w:rsid w:val="1F477846"/>
    <w:rsid w:val="1F4924CA"/>
    <w:rsid w:val="1F4E5D32"/>
    <w:rsid w:val="1F5419C7"/>
    <w:rsid w:val="1F555A28"/>
    <w:rsid w:val="1F5563A3"/>
    <w:rsid w:val="1F5844BB"/>
    <w:rsid w:val="1F642E60"/>
    <w:rsid w:val="1F647002"/>
    <w:rsid w:val="1F684FAA"/>
    <w:rsid w:val="1F6B0692"/>
    <w:rsid w:val="1F6B1689"/>
    <w:rsid w:val="1F7363E0"/>
    <w:rsid w:val="1F7C289F"/>
    <w:rsid w:val="1F7C63FB"/>
    <w:rsid w:val="1F83778A"/>
    <w:rsid w:val="1F845B16"/>
    <w:rsid w:val="1F847365"/>
    <w:rsid w:val="1F8654CC"/>
    <w:rsid w:val="1F8710F0"/>
    <w:rsid w:val="1F880587"/>
    <w:rsid w:val="1F8A1EBA"/>
    <w:rsid w:val="1F914C18"/>
    <w:rsid w:val="1F923E71"/>
    <w:rsid w:val="1F947BE9"/>
    <w:rsid w:val="1F9D6372"/>
    <w:rsid w:val="1FA2402F"/>
    <w:rsid w:val="1FA31BDA"/>
    <w:rsid w:val="1FA47700"/>
    <w:rsid w:val="1FA94D17"/>
    <w:rsid w:val="1FB37987"/>
    <w:rsid w:val="1FB45B95"/>
    <w:rsid w:val="1FB93ACF"/>
    <w:rsid w:val="1FC075B8"/>
    <w:rsid w:val="1FC446C3"/>
    <w:rsid w:val="1FC85AE5"/>
    <w:rsid w:val="1FCF0C21"/>
    <w:rsid w:val="1FD04999"/>
    <w:rsid w:val="1FD55B0C"/>
    <w:rsid w:val="1FD75D28"/>
    <w:rsid w:val="1FD955FC"/>
    <w:rsid w:val="1FDF5A2B"/>
    <w:rsid w:val="1FE25C23"/>
    <w:rsid w:val="1FE7539E"/>
    <w:rsid w:val="1FF24910"/>
    <w:rsid w:val="1FF468DA"/>
    <w:rsid w:val="1FF71F26"/>
    <w:rsid w:val="1FFC12EA"/>
    <w:rsid w:val="1FFD6F39"/>
    <w:rsid w:val="2005311A"/>
    <w:rsid w:val="20054643"/>
    <w:rsid w:val="20084133"/>
    <w:rsid w:val="20087C8F"/>
    <w:rsid w:val="20104D96"/>
    <w:rsid w:val="20146634"/>
    <w:rsid w:val="201E5705"/>
    <w:rsid w:val="201E74B3"/>
    <w:rsid w:val="20216FA3"/>
    <w:rsid w:val="20230F6D"/>
    <w:rsid w:val="202F16C0"/>
    <w:rsid w:val="202F346E"/>
    <w:rsid w:val="20370574"/>
    <w:rsid w:val="2040567B"/>
    <w:rsid w:val="204333BD"/>
    <w:rsid w:val="204A2ABA"/>
    <w:rsid w:val="204A3E24"/>
    <w:rsid w:val="204C4020"/>
    <w:rsid w:val="204D3B51"/>
    <w:rsid w:val="204F1D62"/>
    <w:rsid w:val="20515ADA"/>
    <w:rsid w:val="20541126"/>
    <w:rsid w:val="2059673D"/>
    <w:rsid w:val="205C7FDB"/>
    <w:rsid w:val="206155F1"/>
    <w:rsid w:val="20623843"/>
    <w:rsid w:val="20631369"/>
    <w:rsid w:val="20642787"/>
    <w:rsid w:val="206770AC"/>
    <w:rsid w:val="206A26F8"/>
    <w:rsid w:val="206A5744"/>
    <w:rsid w:val="206C2914"/>
    <w:rsid w:val="206C46C2"/>
    <w:rsid w:val="206F41B2"/>
    <w:rsid w:val="207277FE"/>
    <w:rsid w:val="20735A50"/>
    <w:rsid w:val="20745325"/>
    <w:rsid w:val="20796DDF"/>
    <w:rsid w:val="207B2B57"/>
    <w:rsid w:val="207D46DD"/>
    <w:rsid w:val="207D4F96"/>
    <w:rsid w:val="2080016D"/>
    <w:rsid w:val="20816EC3"/>
    <w:rsid w:val="208211C5"/>
    <w:rsid w:val="208512E0"/>
    <w:rsid w:val="208569AA"/>
    <w:rsid w:val="20860302"/>
    <w:rsid w:val="208D2370"/>
    <w:rsid w:val="208E4638"/>
    <w:rsid w:val="20913FE3"/>
    <w:rsid w:val="2094622D"/>
    <w:rsid w:val="20963CB8"/>
    <w:rsid w:val="209A56C0"/>
    <w:rsid w:val="209E23A2"/>
    <w:rsid w:val="20A7400A"/>
    <w:rsid w:val="20A8477C"/>
    <w:rsid w:val="20A92DD4"/>
    <w:rsid w:val="20AA6F98"/>
    <w:rsid w:val="20AD0837"/>
    <w:rsid w:val="20B07FB6"/>
    <w:rsid w:val="20B15C43"/>
    <w:rsid w:val="20B240CD"/>
    <w:rsid w:val="20B61A5F"/>
    <w:rsid w:val="20C04A0E"/>
    <w:rsid w:val="20C22534"/>
    <w:rsid w:val="20C33369"/>
    <w:rsid w:val="20C41A43"/>
    <w:rsid w:val="20C53DD2"/>
    <w:rsid w:val="20C95670"/>
    <w:rsid w:val="20CF4C51"/>
    <w:rsid w:val="20D504B9"/>
    <w:rsid w:val="20D52267"/>
    <w:rsid w:val="20DA5ACF"/>
    <w:rsid w:val="20DA7812"/>
    <w:rsid w:val="20DD111C"/>
    <w:rsid w:val="20DD55C0"/>
    <w:rsid w:val="20E029BA"/>
    <w:rsid w:val="20E424AA"/>
    <w:rsid w:val="20E73D48"/>
    <w:rsid w:val="20EA55E7"/>
    <w:rsid w:val="20EE50D7"/>
    <w:rsid w:val="20F12E19"/>
    <w:rsid w:val="20F3403C"/>
    <w:rsid w:val="20F36B91"/>
    <w:rsid w:val="20FA198E"/>
    <w:rsid w:val="20FB5A46"/>
    <w:rsid w:val="20FD356C"/>
    <w:rsid w:val="20FD531A"/>
    <w:rsid w:val="2100305C"/>
    <w:rsid w:val="21022930"/>
    <w:rsid w:val="210C1A01"/>
    <w:rsid w:val="210F504D"/>
    <w:rsid w:val="211014F1"/>
    <w:rsid w:val="2110329F"/>
    <w:rsid w:val="211508B6"/>
    <w:rsid w:val="211663DC"/>
    <w:rsid w:val="21182154"/>
    <w:rsid w:val="211C60E8"/>
    <w:rsid w:val="211F239D"/>
    <w:rsid w:val="211F7986"/>
    <w:rsid w:val="21246D4B"/>
    <w:rsid w:val="21333432"/>
    <w:rsid w:val="213827F6"/>
    <w:rsid w:val="213A544A"/>
    <w:rsid w:val="213B74B1"/>
    <w:rsid w:val="213C22E6"/>
    <w:rsid w:val="213E1301"/>
    <w:rsid w:val="2144119B"/>
    <w:rsid w:val="21455F13"/>
    <w:rsid w:val="214742B5"/>
    <w:rsid w:val="214E5B76"/>
    <w:rsid w:val="21507B40"/>
    <w:rsid w:val="21537DD8"/>
    <w:rsid w:val="21562C7C"/>
    <w:rsid w:val="215869F4"/>
    <w:rsid w:val="215A2310"/>
    <w:rsid w:val="215A6C10"/>
    <w:rsid w:val="215C2F2C"/>
    <w:rsid w:val="21604585"/>
    <w:rsid w:val="216474C2"/>
    <w:rsid w:val="21661111"/>
    <w:rsid w:val="21696E53"/>
    <w:rsid w:val="216B6728"/>
    <w:rsid w:val="216C4D8D"/>
    <w:rsid w:val="216E7FC6"/>
    <w:rsid w:val="21717AB6"/>
    <w:rsid w:val="2174620A"/>
    <w:rsid w:val="21747135"/>
    <w:rsid w:val="21787096"/>
    <w:rsid w:val="21817CF9"/>
    <w:rsid w:val="21823A71"/>
    <w:rsid w:val="21852C8B"/>
    <w:rsid w:val="218B5160"/>
    <w:rsid w:val="219007B1"/>
    <w:rsid w:val="219263AA"/>
    <w:rsid w:val="21933ED0"/>
    <w:rsid w:val="21957C48"/>
    <w:rsid w:val="2197576F"/>
    <w:rsid w:val="21A460DD"/>
    <w:rsid w:val="21A734D8"/>
    <w:rsid w:val="21AE2AB8"/>
    <w:rsid w:val="21B04A82"/>
    <w:rsid w:val="21B14C75"/>
    <w:rsid w:val="21B856E5"/>
    <w:rsid w:val="21BA76AF"/>
    <w:rsid w:val="21BF0821"/>
    <w:rsid w:val="21C34E99"/>
    <w:rsid w:val="21C4758D"/>
    <w:rsid w:val="21C661A1"/>
    <w:rsid w:val="21CB366A"/>
    <w:rsid w:val="21CB5418"/>
    <w:rsid w:val="21CC3CDF"/>
    <w:rsid w:val="21CF1302"/>
    <w:rsid w:val="21D3043D"/>
    <w:rsid w:val="21D342CD"/>
    <w:rsid w:val="21DA565B"/>
    <w:rsid w:val="21DC74DE"/>
    <w:rsid w:val="21DE318A"/>
    <w:rsid w:val="21DE339D"/>
    <w:rsid w:val="21E03C1E"/>
    <w:rsid w:val="21E13187"/>
    <w:rsid w:val="21E40288"/>
    <w:rsid w:val="21E94948"/>
    <w:rsid w:val="21E965D1"/>
    <w:rsid w:val="21ED0E6A"/>
    <w:rsid w:val="21EF5B80"/>
    <w:rsid w:val="21F4496F"/>
    <w:rsid w:val="21F66F4C"/>
    <w:rsid w:val="21FA58CD"/>
    <w:rsid w:val="21FC7CC7"/>
    <w:rsid w:val="2201708C"/>
    <w:rsid w:val="220B1CB9"/>
    <w:rsid w:val="220B7F0B"/>
    <w:rsid w:val="2217065D"/>
    <w:rsid w:val="221B56B0"/>
    <w:rsid w:val="221D1128"/>
    <w:rsid w:val="22205764"/>
    <w:rsid w:val="222608A0"/>
    <w:rsid w:val="222C1C9F"/>
    <w:rsid w:val="222C235B"/>
    <w:rsid w:val="222D26E1"/>
    <w:rsid w:val="22342FBD"/>
    <w:rsid w:val="22347461"/>
    <w:rsid w:val="223631D9"/>
    <w:rsid w:val="22396826"/>
    <w:rsid w:val="223E5BEA"/>
    <w:rsid w:val="223F04E2"/>
    <w:rsid w:val="2241392C"/>
    <w:rsid w:val="22464F27"/>
    <w:rsid w:val="224D0523"/>
    <w:rsid w:val="224E3F10"/>
    <w:rsid w:val="224F1189"/>
    <w:rsid w:val="22511DC1"/>
    <w:rsid w:val="22560A16"/>
    <w:rsid w:val="22576990"/>
    <w:rsid w:val="22596EC8"/>
    <w:rsid w:val="225A0088"/>
    <w:rsid w:val="225B2C40"/>
    <w:rsid w:val="225B7477"/>
    <w:rsid w:val="226338A3"/>
    <w:rsid w:val="2265761B"/>
    <w:rsid w:val="226C6BFB"/>
    <w:rsid w:val="226E2973"/>
    <w:rsid w:val="22723AE6"/>
    <w:rsid w:val="22753050"/>
    <w:rsid w:val="227E06DD"/>
    <w:rsid w:val="22806203"/>
    <w:rsid w:val="2283199D"/>
    <w:rsid w:val="228F28EA"/>
    <w:rsid w:val="22911081"/>
    <w:rsid w:val="22925F36"/>
    <w:rsid w:val="22943A5C"/>
    <w:rsid w:val="22963C78"/>
    <w:rsid w:val="22993768"/>
    <w:rsid w:val="229C4EAB"/>
    <w:rsid w:val="229E48DB"/>
    <w:rsid w:val="22AA6604"/>
    <w:rsid w:val="22AC2B5D"/>
    <w:rsid w:val="22AC524A"/>
    <w:rsid w:val="22AF0896"/>
    <w:rsid w:val="22B660C8"/>
    <w:rsid w:val="22B674CB"/>
    <w:rsid w:val="22B70195"/>
    <w:rsid w:val="22BD1205"/>
    <w:rsid w:val="22BF62A8"/>
    <w:rsid w:val="22C02AA3"/>
    <w:rsid w:val="22C03D22"/>
    <w:rsid w:val="22C2681B"/>
    <w:rsid w:val="22C2713B"/>
    <w:rsid w:val="22C32593"/>
    <w:rsid w:val="22CA1B74"/>
    <w:rsid w:val="22CB70E1"/>
    <w:rsid w:val="22CE51C0"/>
    <w:rsid w:val="22D14F59"/>
    <w:rsid w:val="22D50B4C"/>
    <w:rsid w:val="22D84291"/>
    <w:rsid w:val="22DB168B"/>
    <w:rsid w:val="22DD3655"/>
    <w:rsid w:val="22E03145"/>
    <w:rsid w:val="22E370DD"/>
    <w:rsid w:val="22E444B8"/>
    <w:rsid w:val="22E5075C"/>
    <w:rsid w:val="22E76282"/>
    <w:rsid w:val="22E80401"/>
    <w:rsid w:val="22E9024C"/>
    <w:rsid w:val="22E91FFA"/>
    <w:rsid w:val="22EC0514"/>
    <w:rsid w:val="22EC618D"/>
    <w:rsid w:val="22EF3388"/>
    <w:rsid w:val="22EF5136"/>
    <w:rsid w:val="22F10325"/>
    <w:rsid w:val="22F12CE8"/>
    <w:rsid w:val="22F32E79"/>
    <w:rsid w:val="22F36224"/>
    <w:rsid w:val="22F41B2B"/>
    <w:rsid w:val="22F56BF1"/>
    <w:rsid w:val="22F72A56"/>
    <w:rsid w:val="22F87F01"/>
    <w:rsid w:val="22F95FB5"/>
    <w:rsid w:val="22FB3ADB"/>
    <w:rsid w:val="23005752"/>
    <w:rsid w:val="230230BC"/>
    <w:rsid w:val="230307BE"/>
    <w:rsid w:val="23035B1D"/>
    <w:rsid w:val="230706D2"/>
    <w:rsid w:val="2308383B"/>
    <w:rsid w:val="231057D9"/>
    <w:rsid w:val="23124597"/>
    <w:rsid w:val="23150953"/>
    <w:rsid w:val="23181CF2"/>
    <w:rsid w:val="23187C1A"/>
    <w:rsid w:val="23227153"/>
    <w:rsid w:val="23250B58"/>
    <w:rsid w:val="23264FFC"/>
    <w:rsid w:val="23270D74"/>
    <w:rsid w:val="232A43C0"/>
    <w:rsid w:val="232C1EE7"/>
    <w:rsid w:val="232D0BF2"/>
    <w:rsid w:val="232E2103"/>
    <w:rsid w:val="2331574F"/>
    <w:rsid w:val="23343401"/>
    <w:rsid w:val="23362D65"/>
    <w:rsid w:val="233C481F"/>
    <w:rsid w:val="23440CBE"/>
    <w:rsid w:val="2346744C"/>
    <w:rsid w:val="23476D20"/>
    <w:rsid w:val="234A05BF"/>
    <w:rsid w:val="234B6811"/>
    <w:rsid w:val="234F58A6"/>
    <w:rsid w:val="235002CB"/>
    <w:rsid w:val="2355768F"/>
    <w:rsid w:val="235A0D1F"/>
    <w:rsid w:val="23607DE2"/>
    <w:rsid w:val="23625212"/>
    <w:rsid w:val="23627FFE"/>
    <w:rsid w:val="23645B24"/>
    <w:rsid w:val="236A70E7"/>
    <w:rsid w:val="236E6522"/>
    <w:rsid w:val="23720241"/>
    <w:rsid w:val="23765646"/>
    <w:rsid w:val="2378512C"/>
    <w:rsid w:val="238166D6"/>
    <w:rsid w:val="238A2A88"/>
    <w:rsid w:val="2390120E"/>
    <w:rsid w:val="239051F6"/>
    <w:rsid w:val="23952182"/>
    <w:rsid w:val="23975438"/>
    <w:rsid w:val="23983A20"/>
    <w:rsid w:val="239D1036"/>
    <w:rsid w:val="239D2DE4"/>
    <w:rsid w:val="23A979DB"/>
    <w:rsid w:val="23B00D6A"/>
    <w:rsid w:val="23B24AE2"/>
    <w:rsid w:val="23B26890"/>
    <w:rsid w:val="23B4085A"/>
    <w:rsid w:val="23BA5744"/>
    <w:rsid w:val="23BE146B"/>
    <w:rsid w:val="23BE2382"/>
    <w:rsid w:val="23C05D79"/>
    <w:rsid w:val="23C10881"/>
    <w:rsid w:val="23C14D25"/>
    <w:rsid w:val="23C16AD3"/>
    <w:rsid w:val="23CA79B4"/>
    <w:rsid w:val="23CB5BA3"/>
    <w:rsid w:val="23CD191B"/>
    <w:rsid w:val="23CE11F0"/>
    <w:rsid w:val="23CE7442"/>
    <w:rsid w:val="23D22A8E"/>
    <w:rsid w:val="23D36806"/>
    <w:rsid w:val="23D42CAA"/>
    <w:rsid w:val="23D74548"/>
    <w:rsid w:val="23DC3528"/>
    <w:rsid w:val="23DD1433"/>
    <w:rsid w:val="23DD3EED"/>
    <w:rsid w:val="23DE15D6"/>
    <w:rsid w:val="23E17175"/>
    <w:rsid w:val="23E2215F"/>
    <w:rsid w:val="23E32EED"/>
    <w:rsid w:val="23E427C1"/>
    <w:rsid w:val="23E443FD"/>
    <w:rsid w:val="23E46282"/>
    <w:rsid w:val="23EB3172"/>
    <w:rsid w:val="23EF6DDD"/>
    <w:rsid w:val="23F24EDE"/>
    <w:rsid w:val="23F8626D"/>
    <w:rsid w:val="23FA1FE5"/>
    <w:rsid w:val="23FC4938"/>
    <w:rsid w:val="23FE6532"/>
    <w:rsid w:val="240115C5"/>
    <w:rsid w:val="24015121"/>
    <w:rsid w:val="2406098A"/>
    <w:rsid w:val="240B7CE8"/>
    <w:rsid w:val="240D1D18"/>
    <w:rsid w:val="2411341A"/>
    <w:rsid w:val="24174945"/>
    <w:rsid w:val="241A2687"/>
    <w:rsid w:val="24253391"/>
    <w:rsid w:val="24347A80"/>
    <w:rsid w:val="24373239"/>
    <w:rsid w:val="24383F19"/>
    <w:rsid w:val="24392B0D"/>
    <w:rsid w:val="24413208"/>
    <w:rsid w:val="24417C14"/>
    <w:rsid w:val="2443398C"/>
    <w:rsid w:val="24446896"/>
    <w:rsid w:val="244F2331"/>
    <w:rsid w:val="244F5070"/>
    <w:rsid w:val="245060A9"/>
    <w:rsid w:val="24547947"/>
    <w:rsid w:val="24561911"/>
    <w:rsid w:val="246456B0"/>
    <w:rsid w:val="24653902"/>
    <w:rsid w:val="24661642"/>
    <w:rsid w:val="246B4C91"/>
    <w:rsid w:val="246B4E01"/>
    <w:rsid w:val="246C3C2F"/>
    <w:rsid w:val="246F4781"/>
    <w:rsid w:val="247052DC"/>
    <w:rsid w:val="247509BC"/>
    <w:rsid w:val="247578BD"/>
    <w:rsid w:val="24773635"/>
    <w:rsid w:val="247955FF"/>
    <w:rsid w:val="247B4691"/>
    <w:rsid w:val="247E6188"/>
    <w:rsid w:val="24853FA4"/>
    <w:rsid w:val="24883A94"/>
    <w:rsid w:val="248A279D"/>
    <w:rsid w:val="248A3369"/>
    <w:rsid w:val="248F4E23"/>
    <w:rsid w:val="248F6BD1"/>
    <w:rsid w:val="249064A5"/>
    <w:rsid w:val="249441E7"/>
    <w:rsid w:val="24957A67"/>
    <w:rsid w:val="24A0493A"/>
    <w:rsid w:val="24A501A2"/>
    <w:rsid w:val="24A85EE5"/>
    <w:rsid w:val="24AA57B9"/>
    <w:rsid w:val="24AC7783"/>
    <w:rsid w:val="24B31DC2"/>
    <w:rsid w:val="24B634E8"/>
    <w:rsid w:val="24BB1774"/>
    <w:rsid w:val="24BB2C9E"/>
    <w:rsid w:val="24BB4180"/>
    <w:rsid w:val="24BB79C6"/>
    <w:rsid w:val="24C06D8A"/>
    <w:rsid w:val="24C148B0"/>
    <w:rsid w:val="24C20D54"/>
    <w:rsid w:val="24C21763"/>
    <w:rsid w:val="24C30629"/>
    <w:rsid w:val="24C70119"/>
    <w:rsid w:val="24CA6859"/>
    <w:rsid w:val="24CD76F9"/>
    <w:rsid w:val="24CF3471"/>
    <w:rsid w:val="24D171E9"/>
    <w:rsid w:val="24DB3BC4"/>
    <w:rsid w:val="24DF6C29"/>
    <w:rsid w:val="24E00466"/>
    <w:rsid w:val="24E16D01"/>
    <w:rsid w:val="24E61397"/>
    <w:rsid w:val="24E91459"/>
    <w:rsid w:val="24EC4023"/>
    <w:rsid w:val="24ED56A6"/>
    <w:rsid w:val="24EF30D3"/>
    <w:rsid w:val="24F25D15"/>
    <w:rsid w:val="24F609FE"/>
    <w:rsid w:val="24F627AC"/>
    <w:rsid w:val="24F66C50"/>
    <w:rsid w:val="24F84776"/>
    <w:rsid w:val="24FB4266"/>
    <w:rsid w:val="25015F9F"/>
    <w:rsid w:val="2503311B"/>
    <w:rsid w:val="250A44A9"/>
    <w:rsid w:val="250F7D12"/>
    <w:rsid w:val="25115838"/>
    <w:rsid w:val="25132A7F"/>
    <w:rsid w:val="25170F50"/>
    <w:rsid w:val="25186BC6"/>
    <w:rsid w:val="251F61A7"/>
    <w:rsid w:val="25203CCD"/>
    <w:rsid w:val="252D53FE"/>
    <w:rsid w:val="25302162"/>
    <w:rsid w:val="2530284B"/>
    <w:rsid w:val="253816FE"/>
    <w:rsid w:val="253B28B5"/>
    <w:rsid w:val="253D487F"/>
    <w:rsid w:val="253F0438"/>
    <w:rsid w:val="2540611D"/>
    <w:rsid w:val="25423C43"/>
    <w:rsid w:val="25467247"/>
    <w:rsid w:val="25493224"/>
    <w:rsid w:val="254E083A"/>
    <w:rsid w:val="254E4396"/>
    <w:rsid w:val="2551032A"/>
    <w:rsid w:val="255319AC"/>
    <w:rsid w:val="25552D38"/>
    <w:rsid w:val="2557798A"/>
    <w:rsid w:val="255A71DF"/>
    <w:rsid w:val="2562533C"/>
    <w:rsid w:val="256736AA"/>
    <w:rsid w:val="256E67E6"/>
    <w:rsid w:val="257638ED"/>
    <w:rsid w:val="25781413"/>
    <w:rsid w:val="25783B09"/>
    <w:rsid w:val="25787583"/>
    <w:rsid w:val="257A162F"/>
    <w:rsid w:val="257A33DD"/>
    <w:rsid w:val="257B0F03"/>
    <w:rsid w:val="257C53A7"/>
    <w:rsid w:val="258129BE"/>
    <w:rsid w:val="25820CEA"/>
    <w:rsid w:val="25822292"/>
    <w:rsid w:val="25826736"/>
    <w:rsid w:val="258424AE"/>
    <w:rsid w:val="25854EB2"/>
    <w:rsid w:val="258C1362"/>
    <w:rsid w:val="258C4EBE"/>
    <w:rsid w:val="258D2BFC"/>
    <w:rsid w:val="25916979"/>
    <w:rsid w:val="25950921"/>
    <w:rsid w:val="25956469"/>
    <w:rsid w:val="259721E1"/>
    <w:rsid w:val="259874E2"/>
    <w:rsid w:val="259A582D"/>
    <w:rsid w:val="259A75DB"/>
    <w:rsid w:val="259B0619"/>
    <w:rsid w:val="259C77F7"/>
    <w:rsid w:val="25A91F14"/>
    <w:rsid w:val="25B34B41"/>
    <w:rsid w:val="25B6018D"/>
    <w:rsid w:val="25B70377"/>
    <w:rsid w:val="25B95E84"/>
    <w:rsid w:val="25BD776E"/>
    <w:rsid w:val="25C1100C"/>
    <w:rsid w:val="25C1725E"/>
    <w:rsid w:val="25C97EC1"/>
    <w:rsid w:val="25D074A1"/>
    <w:rsid w:val="25D7082F"/>
    <w:rsid w:val="25D725DE"/>
    <w:rsid w:val="25D961D0"/>
    <w:rsid w:val="25DB4156"/>
    <w:rsid w:val="25DC5E46"/>
    <w:rsid w:val="25DD396C"/>
    <w:rsid w:val="25DE1BBE"/>
    <w:rsid w:val="25E60A73"/>
    <w:rsid w:val="25EB42DB"/>
    <w:rsid w:val="25EC2D81"/>
    <w:rsid w:val="25F022C2"/>
    <w:rsid w:val="25F0369F"/>
    <w:rsid w:val="25F30BE6"/>
    <w:rsid w:val="25F34F3E"/>
    <w:rsid w:val="25F52A64"/>
    <w:rsid w:val="25F7330A"/>
    <w:rsid w:val="25F74973"/>
    <w:rsid w:val="25FA4ABC"/>
    <w:rsid w:val="25FC13BE"/>
    <w:rsid w:val="25FD5DBC"/>
    <w:rsid w:val="26022290"/>
    <w:rsid w:val="26040EF9"/>
    <w:rsid w:val="260809E9"/>
    <w:rsid w:val="26086C3B"/>
    <w:rsid w:val="2609650F"/>
    <w:rsid w:val="260D24A3"/>
    <w:rsid w:val="260D4251"/>
    <w:rsid w:val="26110E6F"/>
    <w:rsid w:val="26112CDF"/>
    <w:rsid w:val="26121868"/>
    <w:rsid w:val="261730FD"/>
    <w:rsid w:val="261849A4"/>
    <w:rsid w:val="26192BF6"/>
    <w:rsid w:val="261F21D6"/>
    <w:rsid w:val="262072FB"/>
    <w:rsid w:val="2624159B"/>
    <w:rsid w:val="2627191F"/>
    <w:rsid w:val="262A4E03"/>
    <w:rsid w:val="262C1DCB"/>
    <w:rsid w:val="262D48F3"/>
    <w:rsid w:val="262E5F76"/>
    <w:rsid w:val="26323CB8"/>
    <w:rsid w:val="26377839"/>
    <w:rsid w:val="26413EFB"/>
    <w:rsid w:val="26423AB5"/>
    <w:rsid w:val="2644502B"/>
    <w:rsid w:val="26451C3D"/>
    <w:rsid w:val="264528BD"/>
    <w:rsid w:val="26515721"/>
    <w:rsid w:val="26526108"/>
    <w:rsid w:val="26591245"/>
    <w:rsid w:val="265C0D35"/>
    <w:rsid w:val="26606A77"/>
    <w:rsid w:val="26645926"/>
    <w:rsid w:val="26681488"/>
    <w:rsid w:val="266F6CBA"/>
    <w:rsid w:val="26760048"/>
    <w:rsid w:val="2677791D"/>
    <w:rsid w:val="267E6EFD"/>
    <w:rsid w:val="2681079B"/>
    <w:rsid w:val="268465AB"/>
    <w:rsid w:val="268828FF"/>
    <w:rsid w:val="268E1A5B"/>
    <w:rsid w:val="268F2EB8"/>
    <w:rsid w:val="268F6768"/>
    <w:rsid w:val="269229A8"/>
    <w:rsid w:val="26955FF5"/>
    <w:rsid w:val="26992656"/>
    <w:rsid w:val="269C3827"/>
    <w:rsid w:val="269E759F"/>
    <w:rsid w:val="26A12BEB"/>
    <w:rsid w:val="26A36964"/>
    <w:rsid w:val="26AA5F44"/>
    <w:rsid w:val="26AB5818"/>
    <w:rsid w:val="26AD1F5C"/>
    <w:rsid w:val="26AF5308"/>
    <w:rsid w:val="26B20955"/>
    <w:rsid w:val="26B7240F"/>
    <w:rsid w:val="26BE72FA"/>
    <w:rsid w:val="26C07516"/>
    <w:rsid w:val="26C37006"/>
    <w:rsid w:val="26C568DA"/>
    <w:rsid w:val="26CB3A94"/>
    <w:rsid w:val="26D0702D"/>
    <w:rsid w:val="26D42FC1"/>
    <w:rsid w:val="26D554F4"/>
    <w:rsid w:val="26D62895"/>
    <w:rsid w:val="26D94133"/>
    <w:rsid w:val="26DC6C91"/>
    <w:rsid w:val="26E14D5A"/>
    <w:rsid w:val="26E33204"/>
    <w:rsid w:val="26E47D34"/>
    <w:rsid w:val="26E52AD8"/>
    <w:rsid w:val="26E72CF4"/>
    <w:rsid w:val="26E74AA2"/>
    <w:rsid w:val="26ED035B"/>
    <w:rsid w:val="26EF7DFB"/>
    <w:rsid w:val="26F15921"/>
    <w:rsid w:val="26F40F6D"/>
    <w:rsid w:val="26F60CAF"/>
    <w:rsid w:val="26F61189"/>
    <w:rsid w:val="26F94249"/>
    <w:rsid w:val="26FD2518"/>
    <w:rsid w:val="2700492A"/>
    <w:rsid w:val="27035654"/>
    <w:rsid w:val="27054F28"/>
    <w:rsid w:val="270A6E8A"/>
    <w:rsid w:val="270D202F"/>
    <w:rsid w:val="270F7B55"/>
    <w:rsid w:val="27181100"/>
    <w:rsid w:val="271967C0"/>
    <w:rsid w:val="271B0BF0"/>
    <w:rsid w:val="27233601"/>
    <w:rsid w:val="272445CF"/>
    <w:rsid w:val="27260CC1"/>
    <w:rsid w:val="272D447F"/>
    <w:rsid w:val="273306F3"/>
    <w:rsid w:val="27341B83"/>
    <w:rsid w:val="27363334"/>
    <w:rsid w:val="27377A67"/>
    <w:rsid w:val="27391076"/>
    <w:rsid w:val="273B6B9C"/>
    <w:rsid w:val="27433CA3"/>
    <w:rsid w:val="274C0DA9"/>
    <w:rsid w:val="2753038A"/>
    <w:rsid w:val="27533EE6"/>
    <w:rsid w:val="275814FC"/>
    <w:rsid w:val="27585A15"/>
    <w:rsid w:val="2758774E"/>
    <w:rsid w:val="27592132"/>
    <w:rsid w:val="275B2D9A"/>
    <w:rsid w:val="275D6B12"/>
    <w:rsid w:val="2762237B"/>
    <w:rsid w:val="276240A9"/>
    <w:rsid w:val="27651E6B"/>
    <w:rsid w:val="276A7481"/>
    <w:rsid w:val="276E0D20"/>
    <w:rsid w:val="27716A62"/>
    <w:rsid w:val="277976C4"/>
    <w:rsid w:val="277B0D7F"/>
    <w:rsid w:val="277B343D"/>
    <w:rsid w:val="277F117F"/>
    <w:rsid w:val="27826579"/>
    <w:rsid w:val="27871DE1"/>
    <w:rsid w:val="278E278E"/>
    <w:rsid w:val="27905EE6"/>
    <w:rsid w:val="279D7857"/>
    <w:rsid w:val="279F193A"/>
    <w:rsid w:val="27A504B9"/>
    <w:rsid w:val="27A60C72"/>
    <w:rsid w:val="27AD6260"/>
    <w:rsid w:val="27AD638E"/>
    <w:rsid w:val="27AF6B8F"/>
    <w:rsid w:val="27B01338"/>
    <w:rsid w:val="27B30E28"/>
    <w:rsid w:val="27BA5D13"/>
    <w:rsid w:val="27BC5F2F"/>
    <w:rsid w:val="27C052F3"/>
    <w:rsid w:val="27C1173F"/>
    <w:rsid w:val="27C2106B"/>
    <w:rsid w:val="27D15DD1"/>
    <w:rsid w:val="27D6739B"/>
    <w:rsid w:val="27D74B17"/>
    <w:rsid w:val="27E014F2"/>
    <w:rsid w:val="27E25DE6"/>
    <w:rsid w:val="27E40FE2"/>
    <w:rsid w:val="27E64D5A"/>
    <w:rsid w:val="27E72880"/>
    <w:rsid w:val="27EB1D1A"/>
    <w:rsid w:val="27EB411E"/>
    <w:rsid w:val="27EC60E8"/>
    <w:rsid w:val="27EE09E2"/>
    <w:rsid w:val="27F473D8"/>
    <w:rsid w:val="27FA6426"/>
    <w:rsid w:val="27FC632B"/>
    <w:rsid w:val="27FF7BCA"/>
    <w:rsid w:val="280478D6"/>
    <w:rsid w:val="280653FC"/>
    <w:rsid w:val="28096C9A"/>
    <w:rsid w:val="280B7BC3"/>
    <w:rsid w:val="280C5ECE"/>
    <w:rsid w:val="28164F13"/>
    <w:rsid w:val="281A2C55"/>
    <w:rsid w:val="281F201A"/>
    <w:rsid w:val="28212236"/>
    <w:rsid w:val="28213FE4"/>
    <w:rsid w:val="2822210B"/>
    <w:rsid w:val="28277120"/>
    <w:rsid w:val="28304CAC"/>
    <w:rsid w:val="28333D17"/>
    <w:rsid w:val="2833567F"/>
    <w:rsid w:val="28335AC5"/>
    <w:rsid w:val="28337E41"/>
    <w:rsid w:val="28355CE1"/>
    <w:rsid w:val="283755B5"/>
    <w:rsid w:val="28396011"/>
    <w:rsid w:val="283D06F2"/>
    <w:rsid w:val="283F26BC"/>
    <w:rsid w:val="283F66B5"/>
    <w:rsid w:val="28425D08"/>
    <w:rsid w:val="284321AC"/>
    <w:rsid w:val="284C02A7"/>
    <w:rsid w:val="284E28FF"/>
    <w:rsid w:val="28520641"/>
    <w:rsid w:val="28551EE0"/>
    <w:rsid w:val="28572430"/>
    <w:rsid w:val="285919D0"/>
    <w:rsid w:val="285C501C"/>
    <w:rsid w:val="285D2B42"/>
    <w:rsid w:val="285E6D69"/>
    <w:rsid w:val="28650375"/>
    <w:rsid w:val="28652321"/>
    <w:rsid w:val="28687E65"/>
    <w:rsid w:val="2869172C"/>
    <w:rsid w:val="28695417"/>
    <w:rsid w:val="286B34B1"/>
    <w:rsid w:val="286C33DB"/>
    <w:rsid w:val="28702875"/>
    <w:rsid w:val="2870640F"/>
    <w:rsid w:val="287560DE"/>
    <w:rsid w:val="2876639C"/>
    <w:rsid w:val="287A1946"/>
    <w:rsid w:val="287F0D0A"/>
    <w:rsid w:val="28813F71"/>
    <w:rsid w:val="28814A83"/>
    <w:rsid w:val="28892427"/>
    <w:rsid w:val="288C0DA8"/>
    <w:rsid w:val="288C7C5A"/>
    <w:rsid w:val="28924EE2"/>
    <w:rsid w:val="289447B6"/>
    <w:rsid w:val="2895052E"/>
    <w:rsid w:val="289651BD"/>
    <w:rsid w:val="289E5635"/>
    <w:rsid w:val="28A025BE"/>
    <w:rsid w:val="28A1297A"/>
    <w:rsid w:val="28A569C3"/>
    <w:rsid w:val="28A76295"/>
    <w:rsid w:val="28A864B3"/>
    <w:rsid w:val="28AB1AFF"/>
    <w:rsid w:val="28AB7D51"/>
    <w:rsid w:val="28AF7842"/>
    <w:rsid w:val="28B430AA"/>
    <w:rsid w:val="28B8366A"/>
    <w:rsid w:val="28BC5ABB"/>
    <w:rsid w:val="28BC7129"/>
    <w:rsid w:val="28C11538"/>
    <w:rsid w:val="28C17575"/>
    <w:rsid w:val="28C36E49"/>
    <w:rsid w:val="28C606E7"/>
    <w:rsid w:val="28CA01D8"/>
    <w:rsid w:val="28CB212A"/>
    <w:rsid w:val="28CC21F1"/>
    <w:rsid w:val="28D6244E"/>
    <w:rsid w:val="28D76D98"/>
    <w:rsid w:val="28DB32AB"/>
    <w:rsid w:val="28DE3C83"/>
    <w:rsid w:val="28DF3C8D"/>
    <w:rsid w:val="28E54BC4"/>
    <w:rsid w:val="28EA087A"/>
    <w:rsid w:val="28ED71FF"/>
    <w:rsid w:val="28F45255"/>
    <w:rsid w:val="28FF5FE7"/>
    <w:rsid w:val="29017971"/>
    <w:rsid w:val="290B259E"/>
    <w:rsid w:val="290D27BA"/>
    <w:rsid w:val="29143B49"/>
    <w:rsid w:val="2916166F"/>
    <w:rsid w:val="291D0C4F"/>
    <w:rsid w:val="29206EB8"/>
    <w:rsid w:val="292136CE"/>
    <w:rsid w:val="29246A24"/>
    <w:rsid w:val="292518B2"/>
    <w:rsid w:val="292813A2"/>
    <w:rsid w:val="292A511A"/>
    <w:rsid w:val="292D4147"/>
    <w:rsid w:val="292E034E"/>
    <w:rsid w:val="292F2731"/>
    <w:rsid w:val="292F67EE"/>
    <w:rsid w:val="29324F91"/>
    <w:rsid w:val="29373393"/>
    <w:rsid w:val="29387837"/>
    <w:rsid w:val="2939710B"/>
    <w:rsid w:val="2944442E"/>
    <w:rsid w:val="29471828"/>
    <w:rsid w:val="294A1318"/>
    <w:rsid w:val="294A3CD7"/>
    <w:rsid w:val="294C22A1"/>
    <w:rsid w:val="294C5091"/>
    <w:rsid w:val="295372BB"/>
    <w:rsid w:val="295876D6"/>
    <w:rsid w:val="295E2F75"/>
    <w:rsid w:val="295E3016"/>
    <w:rsid w:val="29606D8E"/>
    <w:rsid w:val="296C128F"/>
    <w:rsid w:val="296C4BAC"/>
    <w:rsid w:val="29763A79"/>
    <w:rsid w:val="297A7E50"/>
    <w:rsid w:val="297C5914"/>
    <w:rsid w:val="297C7C3F"/>
    <w:rsid w:val="29852351"/>
    <w:rsid w:val="29890093"/>
    <w:rsid w:val="29932CBF"/>
    <w:rsid w:val="29967E2D"/>
    <w:rsid w:val="29982084"/>
    <w:rsid w:val="299D3B3E"/>
    <w:rsid w:val="299F1664"/>
    <w:rsid w:val="29A46557"/>
    <w:rsid w:val="29A50C45"/>
    <w:rsid w:val="29A529F3"/>
    <w:rsid w:val="29AA1DB7"/>
    <w:rsid w:val="29B175E9"/>
    <w:rsid w:val="29B82726"/>
    <w:rsid w:val="29BD08F2"/>
    <w:rsid w:val="29BD5F8E"/>
    <w:rsid w:val="29BF1D06"/>
    <w:rsid w:val="29C11250"/>
    <w:rsid w:val="29C410CB"/>
    <w:rsid w:val="29C63095"/>
    <w:rsid w:val="29C66D43"/>
    <w:rsid w:val="29CC7F7F"/>
    <w:rsid w:val="29D55086"/>
    <w:rsid w:val="29D63102"/>
    <w:rsid w:val="29D67050"/>
    <w:rsid w:val="29DD30FB"/>
    <w:rsid w:val="29DF0CA5"/>
    <w:rsid w:val="29E325E0"/>
    <w:rsid w:val="29E51041"/>
    <w:rsid w:val="29EB48A9"/>
    <w:rsid w:val="29EB7E9F"/>
    <w:rsid w:val="29EC0622"/>
    <w:rsid w:val="29EC23D0"/>
    <w:rsid w:val="29EF43E8"/>
    <w:rsid w:val="29F00112"/>
    <w:rsid w:val="29F53B22"/>
    <w:rsid w:val="29F5538C"/>
    <w:rsid w:val="29F574D6"/>
    <w:rsid w:val="29F64FFC"/>
    <w:rsid w:val="29F924A3"/>
    <w:rsid w:val="29F958A0"/>
    <w:rsid w:val="29FB2071"/>
    <w:rsid w:val="29FD638B"/>
    <w:rsid w:val="29FF2103"/>
    <w:rsid w:val="2A047719"/>
    <w:rsid w:val="2A06545A"/>
    <w:rsid w:val="2A0911D4"/>
    <w:rsid w:val="2A0A3428"/>
    <w:rsid w:val="2A0A5FF9"/>
    <w:rsid w:val="2A0C6676"/>
    <w:rsid w:val="2A0D0CC4"/>
    <w:rsid w:val="2A0E0B36"/>
    <w:rsid w:val="2A103111"/>
    <w:rsid w:val="2A125012"/>
    <w:rsid w:val="2A1536D4"/>
    <w:rsid w:val="2A163DA4"/>
    <w:rsid w:val="2A1738F0"/>
    <w:rsid w:val="2A1D07DB"/>
    <w:rsid w:val="2A1F27A5"/>
    <w:rsid w:val="2A2102CB"/>
    <w:rsid w:val="2A263B34"/>
    <w:rsid w:val="2A2A2060"/>
    <w:rsid w:val="2A2B114A"/>
    <w:rsid w:val="2A2D05FF"/>
    <w:rsid w:val="2A3224D8"/>
    <w:rsid w:val="2A353D77"/>
    <w:rsid w:val="2A366DD9"/>
    <w:rsid w:val="2A375D41"/>
    <w:rsid w:val="2A3873C3"/>
    <w:rsid w:val="2A3A00AE"/>
    <w:rsid w:val="2A3D2C2B"/>
    <w:rsid w:val="2A3F3258"/>
    <w:rsid w:val="2A4346E5"/>
    <w:rsid w:val="2A452503"/>
    <w:rsid w:val="2A465F84"/>
    <w:rsid w:val="2A4E308A"/>
    <w:rsid w:val="2A524929"/>
    <w:rsid w:val="2A571F3F"/>
    <w:rsid w:val="2A581813"/>
    <w:rsid w:val="2A585CB7"/>
    <w:rsid w:val="2A5C57A7"/>
    <w:rsid w:val="2A61691A"/>
    <w:rsid w:val="2A6428AE"/>
    <w:rsid w:val="2A643B57"/>
    <w:rsid w:val="2A697EC4"/>
    <w:rsid w:val="2A6B1334"/>
    <w:rsid w:val="2A6D3510"/>
    <w:rsid w:val="2A6F54DA"/>
    <w:rsid w:val="2A73489F"/>
    <w:rsid w:val="2A742AF1"/>
    <w:rsid w:val="2A756869"/>
    <w:rsid w:val="2A78062B"/>
    <w:rsid w:val="2A791292"/>
    <w:rsid w:val="2A7B6309"/>
    <w:rsid w:val="2A7F4FF2"/>
    <w:rsid w:val="2A801755"/>
    <w:rsid w:val="2A81520E"/>
    <w:rsid w:val="2A88659C"/>
    <w:rsid w:val="2A8E3487"/>
    <w:rsid w:val="2A8F72B6"/>
    <w:rsid w:val="2A9211C9"/>
    <w:rsid w:val="2A924FCC"/>
    <w:rsid w:val="2A930A9D"/>
    <w:rsid w:val="2A991149"/>
    <w:rsid w:val="2A9C2048"/>
    <w:rsid w:val="2A9D15F2"/>
    <w:rsid w:val="2A9F5694"/>
    <w:rsid w:val="2AA1140C"/>
    <w:rsid w:val="2AA2188F"/>
    <w:rsid w:val="2AA2529F"/>
    <w:rsid w:val="2AA77E46"/>
    <w:rsid w:val="2AAB5DE7"/>
    <w:rsid w:val="2AAD7DB1"/>
    <w:rsid w:val="2AAF3B29"/>
    <w:rsid w:val="2AB00919"/>
    <w:rsid w:val="2AB23619"/>
    <w:rsid w:val="2AB24AC6"/>
    <w:rsid w:val="2AB56C65"/>
    <w:rsid w:val="2AB90504"/>
    <w:rsid w:val="2ABA24CE"/>
    <w:rsid w:val="2ABD6460"/>
    <w:rsid w:val="2AC450FA"/>
    <w:rsid w:val="2AC66B4F"/>
    <w:rsid w:val="2ACE4132"/>
    <w:rsid w:val="2ACF41CB"/>
    <w:rsid w:val="2AD57308"/>
    <w:rsid w:val="2AD757E4"/>
    <w:rsid w:val="2AD905D3"/>
    <w:rsid w:val="2ADB79D1"/>
    <w:rsid w:val="2ADC28A4"/>
    <w:rsid w:val="2ADC41F2"/>
    <w:rsid w:val="2AE31A25"/>
    <w:rsid w:val="2AEA21EB"/>
    <w:rsid w:val="2AEE02BE"/>
    <w:rsid w:val="2AEF03C9"/>
    <w:rsid w:val="2AF43C32"/>
    <w:rsid w:val="2AF7102C"/>
    <w:rsid w:val="2AFA28CA"/>
    <w:rsid w:val="2B033E75"/>
    <w:rsid w:val="2B0A5203"/>
    <w:rsid w:val="2B0B5E2F"/>
    <w:rsid w:val="2B0C0FDF"/>
    <w:rsid w:val="2B0E3784"/>
    <w:rsid w:val="2B157704"/>
    <w:rsid w:val="2B1971F4"/>
    <w:rsid w:val="2B1E71B6"/>
    <w:rsid w:val="2B1F70A8"/>
    <w:rsid w:val="2B204A27"/>
    <w:rsid w:val="2B253DEB"/>
    <w:rsid w:val="2B277B63"/>
    <w:rsid w:val="2B2838DB"/>
    <w:rsid w:val="2B2C517A"/>
    <w:rsid w:val="2B2D2CA0"/>
    <w:rsid w:val="2B3265FA"/>
    <w:rsid w:val="2B373B1E"/>
    <w:rsid w:val="2B3758CC"/>
    <w:rsid w:val="2B395AE8"/>
    <w:rsid w:val="2B3A3F64"/>
    <w:rsid w:val="2B3B11AE"/>
    <w:rsid w:val="2B3B360F"/>
    <w:rsid w:val="2B3C0AF2"/>
    <w:rsid w:val="2B3E6C5B"/>
    <w:rsid w:val="2B435C33"/>
    <w:rsid w:val="2B473D61"/>
    <w:rsid w:val="2B481888"/>
    <w:rsid w:val="2B485D2C"/>
    <w:rsid w:val="2B492D8D"/>
    <w:rsid w:val="2B4F2C16"/>
    <w:rsid w:val="2B522706"/>
    <w:rsid w:val="2B54022C"/>
    <w:rsid w:val="2B5B780D"/>
    <w:rsid w:val="2B604E23"/>
    <w:rsid w:val="2B612949"/>
    <w:rsid w:val="2B620B9B"/>
    <w:rsid w:val="2B634913"/>
    <w:rsid w:val="2B69017C"/>
    <w:rsid w:val="2B6C62CF"/>
    <w:rsid w:val="2B6C7C6C"/>
    <w:rsid w:val="2B6D12EE"/>
    <w:rsid w:val="2B74267D"/>
    <w:rsid w:val="2B764647"/>
    <w:rsid w:val="2B7B7EAF"/>
    <w:rsid w:val="2B7E34FB"/>
    <w:rsid w:val="2B8723B0"/>
    <w:rsid w:val="2B8C3E6A"/>
    <w:rsid w:val="2B8F5708"/>
    <w:rsid w:val="2B936FA7"/>
    <w:rsid w:val="2B9B0113"/>
    <w:rsid w:val="2B9B22FF"/>
    <w:rsid w:val="2BA936A8"/>
    <w:rsid w:val="2BAA609E"/>
    <w:rsid w:val="2BAE2033"/>
    <w:rsid w:val="2BAE6156"/>
    <w:rsid w:val="2BB45CC1"/>
    <w:rsid w:val="2BB533C1"/>
    <w:rsid w:val="2BBA5CF7"/>
    <w:rsid w:val="2BBD13CD"/>
    <w:rsid w:val="2BBD4A6B"/>
    <w:rsid w:val="2BC01D66"/>
    <w:rsid w:val="2BC30558"/>
    <w:rsid w:val="2BC442AE"/>
    <w:rsid w:val="2BC74EA2"/>
    <w:rsid w:val="2BCA04EF"/>
    <w:rsid w:val="2BCA4992"/>
    <w:rsid w:val="2BD96984"/>
    <w:rsid w:val="2BDB26FC"/>
    <w:rsid w:val="2BDB6BA0"/>
    <w:rsid w:val="2BE30E54"/>
    <w:rsid w:val="2BE733F6"/>
    <w:rsid w:val="2BEA71D2"/>
    <w:rsid w:val="2BEF7F55"/>
    <w:rsid w:val="2BFF4499"/>
    <w:rsid w:val="2BFF63EA"/>
    <w:rsid w:val="2BFF77EC"/>
    <w:rsid w:val="2C0003B4"/>
    <w:rsid w:val="2C013063"/>
    <w:rsid w:val="2C025EDA"/>
    <w:rsid w:val="2C0504DF"/>
    <w:rsid w:val="2C063C1D"/>
    <w:rsid w:val="2C077995"/>
    <w:rsid w:val="2C0B2FE1"/>
    <w:rsid w:val="2C0E2AD1"/>
    <w:rsid w:val="2C1300E8"/>
    <w:rsid w:val="2C1520B2"/>
    <w:rsid w:val="2C183950"/>
    <w:rsid w:val="2C1874AC"/>
    <w:rsid w:val="2C1945BB"/>
    <w:rsid w:val="2C1A1476"/>
    <w:rsid w:val="2C245E51"/>
    <w:rsid w:val="2C251BC9"/>
    <w:rsid w:val="2C296E55"/>
    <w:rsid w:val="2C297706"/>
    <w:rsid w:val="2C2C2F57"/>
    <w:rsid w:val="2C2C3DE8"/>
    <w:rsid w:val="2C2C7879"/>
    <w:rsid w:val="2C2F2050"/>
    <w:rsid w:val="2C302A48"/>
    <w:rsid w:val="2C31218A"/>
    <w:rsid w:val="2C315A5A"/>
    <w:rsid w:val="2C327883"/>
    <w:rsid w:val="2C3C763E"/>
    <w:rsid w:val="2C464019"/>
    <w:rsid w:val="2C471B3F"/>
    <w:rsid w:val="2C484235"/>
    <w:rsid w:val="2C487FD5"/>
    <w:rsid w:val="2C496CF0"/>
    <w:rsid w:val="2C50426F"/>
    <w:rsid w:val="2C534988"/>
    <w:rsid w:val="2C571A8D"/>
    <w:rsid w:val="2C5D5807"/>
    <w:rsid w:val="2C6426F1"/>
    <w:rsid w:val="2C644CC2"/>
    <w:rsid w:val="2C652EE7"/>
    <w:rsid w:val="2C6754A3"/>
    <w:rsid w:val="2C693389"/>
    <w:rsid w:val="2C6D55AF"/>
    <w:rsid w:val="2C6E531E"/>
    <w:rsid w:val="2C707634"/>
    <w:rsid w:val="2C772424"/>
    <w:rsid w:val="2C7A3CC3"/>
    <w:rsid w:val="2C7F39CF"/>
    <w:rsid w:val="2C815051"/>
    <w:rsid w:val="2C825740"/>
    <w:rsid w:val="2C8608B9"/>
    <w:rsid w:val="2C8763E0"/>
    <w:rsid w:val="2C8903AA"/>
    <w:rsid w:val="2C8C13C3"/>
    <w:rsid w:val="2C8E6B1A"/>
    <w:rsid w:val="2C914308"/>
    <w:rsid w:val="2C985B8A"/>
    <w:rsid w:val="2C9A63AD"/>
    <w:rsid w:val="2C9E20A7"/>
    <w:rsid w:val="2CA64AB8"/>
    <w:rsid w:val="2CA70830"/>
    <w:rsid w:val="2CA86A82"/>
    <w:rsid w:val="2CAE3CDD"/>
    <w:rsid w:val="2CAE7E10"/>
    <w:rsid w:val="2CB01DDA"/>
    <w:rsid w:val="2CB34EDA"/>
    <w:rsid w:val="2CB90C8F"/>
    <w:rsid w:val="2CBD0053"/>
    <w:rsid w:val="2CBF0ACA"/>
    <w:rsid w:val="2CC213E0"/>
    <w:rsid w:val="2CC413E2"/>
    <w:rsid w:val="2CC66F08"/>
    <w:rsid w:val="2CCE2260"/>
    <w:rsid w:val="2CCE400E"/>
    <w:rsid w:val="2CD05FD9"/>
    <w:rsid w:val="2CD07D87"/>
    <w:rsid w:val="2CD45AC9"/>
    <w:rsid w:val="2CD629A7"/>
    <w:rsid w:val="2CD77367"/>
    <w:rsid w:val="2CD979CA"/>
    <w:rsid w:val="2CDA0C05"/>
    <w:rsid w:val="2CDD51B6"/>
    <w:rsid w:val="2CE11F94"/>
    <w:rsid w:val="2CE455E0"/>
    <w:rsid w:val="2CE850D0"/>
    <w:rsid w:val="2CEB696E"/>
    <w:rsid w:val="2CED26E7"/>
    <w:rsid w:val="2CF4294C"/>
    <w:rsid w:val="2CFC0B7C"/>
    <w:rsid w:val="2CFF066C"/>
    <w:rsid w:val="2D0143E4"/>
    <w:rsid w:val="2D053ED4"/>
    <w:rsid w:val="2D0D4B37"/>
    <w:rsid w:val="2D105B15"/>
    <w:rsid w:val="2D12214D"/>
    <w:rsid w:val="2D122D03"/>
    <w:rsid w:val="2D142369"/>
    <w:rsid w:val="2D151C3D"/>
    <w:rsid w:val="2D1934DC"/>
    <w:rsid w:val="2D2325AC"/>
    <w:rsid w:val="2D232822"/>
    <w:rsid w:val="2D242F9D"/>
    <w:rsid w:val="2D2A1671"/>
    <w:rsid w:val="2D2A393B"/>
    <w:rsid w:val="2D2A56E9"/>
    <w:rsid w:val="2D2C2E15"/>
    <w:rsid w:val="2D2D51D9"/>
    <w:rsid w:val="2D2E3032"/>
    <w:rsid w:val="2D306A77"/>
    <w:rsid w:val="2D355E3C"/>
    <w:rsid w:val="2D360531"/>
    <w:rsid w:val="2D3A4195"/>
    <w:rsid w:val="2D3C366E"/>
    <w:rsid w:val="2D3E1194"/>
    <w:rsid w:val="2D452523"/>
    <w:rsid w:val="2D4708BF"/>
    <w:rsid w:val="2D4B1056"/>
    <w:rsid w:val="2D4B38B1"/>
    <w:rsid w:val="2D5409B8"/>
    <w:rsid w:val="2D616C31"/>
    <w:rsid w:val="2D6741DC"/>
    <w:rsid w:val="2D687AB5"/>
    <w:rsid w:val="2D6C1150"/>
    <w:rsid w:val="2D71156A"/>
    <w:rsid w:val="2D7352E2"/>
    <w:rsid w:val="2D76092E"/>
    <w:rsid w:val="2D793729"/>
    <w:rsid w:val="2D796670"/>
    <w:rsid w:val="2D7B7EC6"/>
    <w:rsid w:val="2D890E96"/>
    <w:rsid w:val="2D8D5C78"/>
    <w:rsid w:val="2D9139BA"/>
    <w:rsid w:val="2D940DB4"/>
    <w:rsid w:val="2D956126"/>
    <w:rsid w:val="2D9D4E4A"/>
    <w:rsid w:val="2D9E56F5"/>
    <w:rsid w:val="2D9E60D7"/>
    <w:rsid w:val="2D9F7EF6"/>
    <w:rsid w:val="2DA03BFD"/>
    <w:rsid w:val="2DA37249"/>
    <w:rsid w:val="2DA82AB1"/>
    <w:rsid w:val="2DAC07F4"/>
    <w:rsid w:val="2DAC392E"/>
    <w:rsid w:val="2DAD00C8"/>
    <w:rsid w:val="2DAE631A"/>
    <w:rsid w:val="2DB41456"/>
    <w:rsid w:val="2DB43204"/>
    <w:rsid w:val="2DB444AD"/>
    <w:rsid w:val="2DB80F46"/>
    <w:rsid w:val="2DB94CBF"/>
    <w:rsid w:val="2DBC1F60"/>
    <w:rsid w:val="2DBE22D5"/>
    <w:rsid w:val="2DBF4B12"/>
    <w:rsid w:val="2DC72F38"/>
    <w:rsid w:val="2DCD775F"/>
    <w:rsid w:val="2DCE4DDE"/>
    <w:rsid w:val="2DCF003E"/>
    <w:rsid w:val="2DCF214E"/>
    <w:rsid w:val="2DD11160"/>
    <w:rsid w:val="2DE27D71"/>
    <w:rsid w:val="2DE41D3C"/>
    <w:rsid w:val="2DE47F8D"/>
    <w:rsid w:val="2DE57862"/>
    <w:rsid w:val="2DEA30CA"/>
    <w:rsid w:val="2DF06932"/>
    <w:rsid w:val="2DF6381D"/>
    <w:rsid w:val="2DF8162E"/>
    <w:rsid w:val="2DF91E34"/>
    <w:rsid w:val="2DFA1A5F"/>
    <w:rsid w:val="2DFC2F3E"/>
    <w:rsid w:val="2E051CB2"/>
    <w:rsid w:val="2E053A60"/>
    <w:rsid w:val="2E075A2A"/>
    <w:rsid w:val="2E087164"/>
    <w:rsid w:val="2E0E6DB8"/>
    <w:rsid w:val="2E0F48DF"/>
    <w:rsid w:val="2E150147"/>
    <w:rsid w:val="2E187C37"/>
    <w:rsid w:val="2E1D6FFC"/>
    <w:rsid w:val="2E220AB6"/>
    <w:rsid w:val="2E262354"/>
    <w:rsid w:val="2E271C28"/>
    <w:rsid w:val="2E291E44"/>
    <w:rsid w:val="2E2C5491"/>
    <w:rsid w:val="2E304F81"/>
    <w:rsid w:val="2E352597"/>
    <w:rsid w:val="2E3572C5"/>
    <w:rsid w:val="2E385BE3"/>
    <w:rsid w:val="2E450300"/>
    <w:rsid w:val="2E456552"/>
    <w:rsid w:val="2E4647E1"/>
    <w:rsid w:val="2E47051C"/>
    <w:rsid w:val="2E474078"/>
    <w:rsid w:val="2E491A3F"/>
    <w:rsid w:val="2E495111"/>
    <w:rsid w:val="2E496043"/>
    <w:rsid w:val="2E4A4A48"/>
    <w:rsid w:val="2E4E18AB"/>
    <w:rsid w:val="2E4F2F2D"/>
    <w:rsid w:val="2E5642BC"/>
    <w:rsid w:val="2E575575"/>
    <w:rsid w:val="2E5D564A"/>
    <w:rsid w:val="2E6030FC"/>
    <w:rsid w:val="2E6031F7"/>
    <w:rsid w:val="2E6305ED"/>
    <w:rsid w:val="2E6469D8"/>
    <w:rsid w:val="2E652751"/>
    <w:rsid w:val="2E6609A2"/>
    <w:rsid w:val="2E667F96"/>
    <w:rsid w:val="2E67471B"/>
    <w:rsid w:val="2E6D585E"/>
    <w:rsid w:val="2E7117CD"/>
    <w:rsid w:val="2E73135D"/>
    <w:rsid w:val="2E772BB0"/>
    <w:rsid w:val="2E7A26A0"/>
    <w:rsid w:val="2E7A444E"/>
    <w:rsid w:val="2E7D3F3E"/>
    <w:rsid w:val="2E7F1A64"/>
    <w:rsid w:val="2E8226AB"/>
    <w:rsid w:val="2E8227CF"/>
    <w:rsid w:val="2E831067"/>
    <w:rsid w:val="2E840E29"/>
    <w:rsid w:val="2E860B9A"/>
    <w:rsid w:val="2E864BA1"/>
    <w:rsid w:val="2E8D2118"/>
    <w:rsid w:val="2E8E1840"/>
    <w:rsid w:val="2E913546"/>
    <w:rsid w:val="2E921798"/>
    <w:rsid w:val="2E933762"/>
    <w:rsid w:val="2E953036"/>
    <w:rsid w:val="2E954DE4"/>
    <w:rsid w:val="2E9A064C"/>
    <w:rsid w:val="2E9F5C62"/>
    <w:rsid w:val="2EA414CB"/>
    <w:rsid w:val="2EAD1279"/>
    <w:rsid w:val="2EB0560C"/>
    <w:rsid w:val="2EB060C2"/>
    <w:rsid w:val="2EB404F8"/>
    <w:rsid w:val="2EB711FE"/>
    <w:rsid w:val="2EBC05C2"/>
    <w:rsid w:val="2EC42C7A"/>
    <w:rsid w:val="2EC9206D"/>
    <w:rsid w:val="2ECB4CA9"/>
    <w:rsid w:val="2ECB6A58"/>
    <w:rsid w:val="2ECD6C74"/>
    <w:rsid w:val="2ED00512"/>
    <w:rsid w:val="2ED075DC"/>
    <w:rsid w:val="2ED1017B"/>
    <w:rsid w:val="2ED33B5E"/>
    <w:rsid w:val="2ED40002"/>
    <w:rsid w:val="2EDB31E4"/>
    <w:rsid w:val="2EDB5F3B"/>
    <w:rsid w:val="2EDC2A13"/>
    <w:rsid w:val="2EDC6EB7"/>
    <w:rsid w:val="2EDF2503"/>
    <w:rsid w:val="2EE443DB"/>
    <w:rsid w:val="2EE93382"/>
    <w:rsid w:val="2EED2E72"/>
    <w:rsid w:val="2EEE4F05"/>
    <w:rsid w:val="2EF04710"/>
    <w:rsid w:val="2EF139C1"/>
    <w:rsid w:val="2EF17594"/>
    <w:rsid w:val="2EF51D26"/>
    <w:rsid w:val="2EF57F78"/>
    <w:rsid w:val="2EF91817"/>
    <w:rsid w:val="2EFA10EB"/>
    <w:rsid w:val="2EFA733D"/>
    <w:rsid w:val="2F012479"/>
    <w:rsid w:val="2F091204"/>
    <w:rsid w:val="2F0B142F"/>
    <w:rsid w:val="2F0B154A"/>
    <w:rsid w:val="2F0C08F6"/>
    <w:rsid w:val="2F0E4B96"/>
    <w:rsid w:val="2F126434"/>
    <w:rsid w:val="2F21465F"/>
    <w:rsid w:val="2F2A7C22"/>
    <w:rsid w:val="2F2F5238"/>
    <w:rsid w:val="2F300FB0"/>
    <w:rsid w:val="2F340AA1"/>
    <w:rsid w:val="2F3D0CEE"/>
    <w:rsid w:val="2F3E191F"/>
    <w:rsid w:val="2F3F11F4"/>
    <w:rsid w:val="2F407445"/>
    <w:rsid w:val="2F464330"/>
    <w:rsid w:val="2F4F461B"/>
    <w:rsid w:val="2F5051AF"/>
    <w:rsid w:val="2F544C9F"/>
    <w:rsid w:val="2F57027C"/>
    <w:rsid w:val="2F575B54"/>
    <w:rsid w:val="2F5F53F2"/>
    <w:rsid w:val="2F603644"/>
    <w:rsid w:val="2F640B79"/>
    <w:rsid w:val="2F64740E"/>
    <w:rsid w:val="2F6A44C2"/>
    <w:rsid w:val="2F6B12EF"/>
    <w:rsid w:val="2F6D3FB3"/>
    <w:rsid w:val="2F76779B"/>
    <w:rsid w:val="2F77098D"/>
    <w:rsid w:val="2F776BDF"/>
    <w:rsid w:val="2F7964B4"/>
    <w:rsid w:val="2F7D4F4A"/>
    <w:rsid w:val="2F832C79"/>
    <w:rsid w:val="2F835584"/>
    <w:rsid w:val="2F882B9B"/>
    <w:rsid w:val="2F8B61E7"/>
    <w:rsid w:val="2F8D6403"/>
    <w:rsid w:val="2F8F4328"/>
    <w:rsid w:val="2F9627A7"/>
    <w:rsid w:val="2F9652B7"/>
    <w:rsid w:val="2F967065"/>
    <w:rsid w:val="2F9E416C"/>
    <w:rsid w:val="2FA15A0A"/>
    <w:rsid w:val="2FA76FD1"/>
    <w:rsid w:val="2FAA0D63"/>
    <w:rsid w:val="2FB35E69"/>
    <w:rsid w:val="2FB41BE1"/>
    <w:rsid w:val="2FB4573E"/>
    <w:rsid w:val="2FB92D54"/>
    <w:rsid w:val="2FC00586"/>
    <w:rsid w:val="2FC30453"/>
    <w:rsid w:val="2FC35981"/>
    <w:rsid w:val="2FCC0CD9"/>
    <w:rsid w:val="2FCD67FF"/>
    <w:rsid w:val="2FCF07C9"/>
    <w:rsid w:val="2FCF0858"/>
    <w:rsid w:val="2FD45DE0"/>
    <w:rsid w:val="2FD64419"/>
    <w:rsid w:val="2FD7142C"/>
    <w:rsid w:val="2FD8767E"/>
    <w:rsid w:val="2FD944DB"/>
    <w:rsid w:val="2FDE0A0C"/>
    <w:rsid w:val="2FDE33B6"/>
    <w:rsid w:val="2FE83639"/>
    <w:rsid w:val="2FEC137B"/>
    <w:rsid w:val="2FEE50F3"/>
    <w:rsid w:val="2FEF2D58"/>
    <w:rsid w:val="2FF2263C"/>
    <w:rsid w:val="2FF344B8"/>
    <w:rsid w:val="2FF74010"/>
    <w:rsid w:val="2FFB15BE"/>
    <w:rsid w:val="2FFD0DFC"/>
    <w:rsid w:val="3002033D"/>
    <w:rsid w:val="30030473"/>
    <w:rsid w:val="30055F99"/>
    <w:rsid w:val="30077F63"/>
    <w:rsid w:val="300D4E4E"/>
    <w:rsid w:val="300F0BC6"/>
    <w:rsid w:val="30102A86"/>
    <w:rsid w:val="301306B6"/>
    <w:rsid w:val="3014442E"/>
    <w:rsid w:val="301B5877"/>
    <w:rsid w:val="301F52AD"/>
    <w:rsid w:val="30314D95"/>
    <w:rsid w:val="30335C3C"/>
    <w:rsid w:val="30356461"/>
    <w:rsid w:val="303643A5"/>
    <w:rsid w:val="303A20E7"/>
    <w:rsid w:val="303C4D07"/>
    <w:rsid w:val="303D1BD7"/>
    <w:rsid w:val="303E4FB3"/>
    <w:rsid w:val="30416A1A"/>
    <w:rsid w:val="30442F65"/>
    <w:rsid w:val="30443C64"/>
    <w:rsid w:val="30444D13"/>
    <w:rsid w:val="3045283A"/>
    <w:rsid w:val="3046098A"/>
    <w:rsid w:val="3049057C"/>
    <w:rsid w:val="304A7E50"/>
    <w:rsid w:val="304C1E1A"/>
    <w:rsid w:val="304C5976"/>
    <w:rsid w:val="304E0112"/>
    <w:rsid w:val="304E0CC8"/>
    <w:rsid w:val="305331A8"/>
    <w:rsid w:val="30536D05"/>
    <w:rsid w:val="30556F21"/>
    <w:rsid w:val="3056544F"/>
    <w:rsid w:val="305667F5"/>
    <w:rsid w:val="30580BC9"/>
    <w:rsid w:val="305F1B4D"/>
    <w:rsid w:val="305F38FB"/>
    <w:rsid w:val="305F4D62"/>
    <w:rsid w:val="30657FDD"/>
    <w:rsid w:val="30676C54"/>
    <w:rsid w:val="3069477A"/>
    <w:rsid w:val="306E1D90"/>
    <w:rsid w:val="307373A7"/>
    <w:rsid w:val="3075311F"/>
    <w:rsid w:val="30785D29"/>
    <w:rsid w:val="30845298"/>
    <w:rsid w:val="308B2942"/>
    <w:rsid w:val="30915A7F"/>
    <w:rsid w:val="309335A5"/>
    <w:rsid w:val="30963095"/>
    <w:rsid w:val="309655D5"/>
    <w:rsid w:val="309A2B85"/>
    <w:rsid w:val="309B1AA0"/>
    <w:rsid w:val="309D5228"/>
    <w:rsid w:val="309E2963"/>
    <w:rsid w:val="30A003C2"/>
    <w:rsid w:val="30A27C8C"/>
    <w:rsid w:val="30A43AF4"/>
    <w:rsid w:val="30A47560"/>
    <w:rsid w:val="30A65659"/>
    <w:rsid w:val="30A92DC8"/>
    <w:rsid w:val="30A9726C"/>
    <w:rsid w:val="30AF64B9"/>
    <w:rsid w:val="30B11C7D"/>
    <w:rsid w:val="30B30F92"/>
    <w:rsid w:val="30B33C47"/>
    <w:rsid w:val="30B442DC"/>
    <w:rsid w:val="30B577A3"/>
    <w:rsid w:val="30B74C4B"/>
    <w:rsid w:val="30BA3228"/>
    <w:rsid w:val="30BC6FA0"/>
    <w:rsid w:val="30C65728"/>
    <w:rsid w:val="30C9346B"/>
    <w:rsid w:val="30C96FC7"/>
    <w:rsid w:val="30D065A7"/>
    <w:rsid w:val="30D20112"/>
    <w:rsid w:val="30D81136"/>
    <w:rsid w:val="30DA5678"/>
    <w:rsid w:val="30DA6B89"/>
    <w:rsid w:val="30DC13F0"/>
    <w:rsid w:val="30DC4672"/>
    <w:rsid w:val="30DD6F16"/>
    <w:rsid w:val="30DE29C7"/>
    <w:rsid w:val="30DF231E"/>
    <w:rsid w:val="30DF4A3C"/>
    <w:rsid w:val="30E12562"/>
    <w:rsid w:val="30E20088"/>
    <w:rsid w:val="30E262DA"/>
    <w:rsid w:val="30E327D8"/>
    <w:rsid w:val="30E3452C"/>
    <w:rsid w:val="30E6401D"/>
    <w:rsid w:val="30E6748C"/>
    <w:rsid w:val="30E91417"/>
    <w:rsid w:val="30F57DBC"/>
    <w:rsid w:val="30F71D86"/>
    <w:rsid w:val="30F87556"/>
    <w:rsid w:val="30FB4325"/>
    <w:rsid w:val="3102072B"/>
    <w:rsid w:val="31032463"/>
    <w:rsid w:val="310426F5"/>
    <w:rsid w:val="3106646D"/>
    <w:rsid w:val="310821E5"/>
    <w:rsid w:val="31083F93"/>
    <w:rsid w:val="31085D41"/>
    <w:rsid w:val="310B5831"/>
    <w:rsid w:val="310D15A9"/>
    <w:rsid w:val="31164473"/>
    <w:rsid w:val="31167C85"/>
    <w:rsid w:val="31181346"/>
    <w:rsid w:val="311A7304"/>
    <w:rsid w:val="311B250B"/>
    <w:rsid w:val="311E2ED7"/>
    <w:rsid w:val="31216E03"/>
    <w:rsid w:val="3126266B"/>
    <w:rsid w:val="312B7C81"/>
    <w:rsid w:val="31336B36"/>
    <w:rsid w:val="31342FDA"/>
    <w:rsid w:val="313759B1"/>
    <w:rsid w:val="313C3C3D"/>
    <w:rsid w:val="313E4873"/>
    <w:rsid w:val="31411253"/>
    <w:rsid w:val="31413001"/>
    <w:rsid w:val="314A1279"/>
    <w:rsid w:val="315076E8"/>
    <w:rsid w:val="315216B2"/>
    <w:rsid w:val="31570A76"/>
    <w:rsid w:val="31572824"/>
    <w:rsid w:val="315C449C"/>
    <w:rsid w:val="315E3BB3"/>
    <w:rsid w:val="315F0158"/>
    <w:rsid w:val="31660CB9"/>
    <w:rsid w:val="31677457"/>
    <w:rsid w:val="31723B02"/>
    <w:rsid w:val="3174585C"/>
    <w:rsid w:val="317E6003"/>
    <w:rsid w:val="317F1D7B"/>
    <w:rsid w:val="317F1F89"/>
    <w:rsid w:val="31815AF3"/>
    <w:rsid w:val="31880C30"/>
    <w:rsid w:val="31894B5B"/>
    <w:rsid w:val="318B0720"/>
    <w:rsid w:val="318B0BE0"/>
    <w:rsid w:val="318D4B66"/>
    <w:rsid w:val="318D6246"/>
    <w:rsid w:val="31943A79"/>
    <w:rsid w:val="319475D5"/>
    <w:rsid w:val="3196684B"/>
    <w:rsid w:val="31980866"/>
    <w:rsid w:val="319A60FC"/>
    <w:rsid w:val="31A31F0E"/>
    <w:rsid w:val="31A5236F"/>
    <w:rsid w:val="31A677D0"/>
    <w:rsid w:val="31AA329C"/>
    <w:rsid w:val="31AA6DF8"/>
    <w:rsid w:val="31AF2660"/>
    <w:rsid w:val="31AF440F"/>
    <w:rsid w:val="31B25CAD"/>
    <w:rsid w:val="31B45209"/>
    <w:rsid w:val="31B71515"/>
    <w:rsid w:val="31B82709"/>
    <w:rsid w:val="31BB1005"/>
    <w:rsid w:val="31BC4D7D"/>
    <w:rsid w:val="31BE1862"/>
    <w:rsid w:val="31C12394"/>
    <w:rsid w:val="31C559E0"/>
    <w:rsid w:val="31C93EE5"/>
    <w:rsid w:val="31CB55CE"/>
    <w:rsid w:val="31CB6D6E"/>
    <w:rsid w:val="31CF4AB1"/>
    <w:rsid w:val="31CF7994"/>
    <w:rsid w:val="31D200FD"/>
    <w:rsid w:val="31D47C7D"/>
    <w:rsid w:val="31DA35B5"/>
    <w:rsid w:val="31DB3455"/>
    <w:rsid w:val="31DE6AA2"/>
    <w:rsid w:val="31E22A36"/>
    <w:rsid w:val="31E3055C"/>
    <w:rsid w:val="31E3230A"/>
    <w:rsid w:val="31E56082"/>
    <w:rsid w:val="31E7004C"/>
    <w:rsid w:val="31E76BD8"/>
    <w:rsid w:val="31EC0C04"/>
    <w:rsid w:val="31EE33F5"/>
    <w:rsid w:val="31F14A27"/>
    <w:rsid w:val="31F2254D"/>
    <w:rsid w:val="31FB7654"/>
    <w:rsid w:val="31FC4E6F"/>
    <w:rsid w:val="3200110E"/>
    <w:rsid w:val="32024E86"/>
    <w:rsid w:val="32036508"/>
    <w:rsid w:val="32087FC3"/>
    <w:rsid w:val="320D3AC5"/>
    <w:rsid w:val="32105036"/>
    <w:rsid w:val="32132BEF"/>
    <w:rsid w:val="32193C98"/>
    <w:rsid w:val="321B5F48"/>
    <w:rsid w:val="321D0063"/>
    <w:rsid w:val="32211625"/>
    <w:rsid w:val="322C3CB1"/>
    <w:rsid w:val="322D17D7"/>
    <w:rsid w:val="322E5C7B"/>
    <w:rsid w:val="32320699"/>
    <w:rsid w:val="32342B66"/>
    <w:rsid w:val="323D431C"/>
    <w:rsid w:val="323E5792"/>
    <w:rsid w:val="323F0A79"/>
    <w:rsid w:val="32400B34"/>
    <w:rsid w:val="32405B2A"/>
    <w:rsid w:val="324234D5"/>
    <w:rsid w:val="32432DA9"/>
    <w:rsid w:val="32452FC5"/>
    <w:rsid w:val="32454D73"/>
    <w:rsid w:val="32466B96"/>
    <w:rsid w:val="324F79A0"/>
    <w:rsid w:val="32534AFB"/>
    <w:rsid w:val="32562ADC"/>
    <w:rsid w:val="32591540"/>
    <w:rsid w:val="325B00F2"/>
    <w:rsid w:val="325B78A5"/>
    <w:rsid w:val="325E7BE3"/>
    <w:rsid w:val="326351F9"/>
    <w:rsid w:val="32642098"/>
    <w:rsid w:val="32650F71"/>
    <w:rsid w:val="3267118D"/>
    <w:rsid w:val="326E26B3"/>
    <w:rsid w:val="326F1DF0"/>
    <w:rsid w:val="32700042"/>
    <w:rsid w:val="3271793F"/>
    <w:rsid w:val="32737B32"/>
    <w:rsid w:val="32755658"/>
    <w:rsid w:val="32764F2C"/>
    <w:rsid w:val="327A2C6E"/>
    <w:rsid w:val="327D62BB"/>
    <w:rsid w:val="32803FFD"/>
    <w:rsid w:val="32821B23"/>
    <w:rsid w:val="3283501F"/>
    <w:rsid w:val="32870875"/>
    <w:rsid w:val="32891103"/>
    <w:rsid w:val="328C0BF4"/>
    <w:rsid w:val="32943604"/>
    <w:rsid w:val="32957AA8"/>
    <w:rsid w:val="32963820"/>
    <w:rsid w:val="32991471"/>
    <w:rsid w:val="329E6876"/>
    <w:rsid w:val="329F66F1"/>
    <w:rsid w:val="32A25D21"/>
    <w:rsid w:val="32A32356"/>
    <w:rsid w:val="32A41A99"/>
    <w:rsid w:val="32A95302"/>
    <w:rsid w:val="32AA2E28"/>
    <w:rsid w:val="32AB72CC"/>
    <w:rsid w:val="32AC094E"/>
    <w:rsid w:val="32AC6BA0"/>
    <w:rsid w:val="32AE0B6A"/>
    <w:rsid w:val="32B37F2E"/>
    <w:rsid w:val="32B53CA7"/>
    <w:rsid w:val="32B82A64"/>
    <w:rsid w:val="32B83797"/>
    <w:rsid w:val="32BF490D"/>
    <w:rsid w:val="32C46B15"/>
    <w:rsid w:val="32C65EB4"/>
    <w:rsid w:val="32C739DA"/>
    <w:rsid w:val="32CC0FF0"/>
    <w:rsid w:val="32CC1EED"/>
    <w:rsid w:val="32CE61B4"/>
    <w:rsid w:val="32D560F7"/>
    <w:rsid w:val="32DA370D"/>
    <w:rsid w:val="32DE2BCF"/>
    <w:rsid w:val="32E26A66"/>
    <w:rsid w:val="32E4633A"/>
    <w:rsid w:val="32E53E60"/>
    <w:rsid w:val="32E61066"/>
    <w:rsid w:val="32EC51EE"/>
    <w:rsid w:val="32F03BA4"/>
    <w:rsid w:val="32F32A21"/>
    <w:rsid w:val="32F522F5"/>
    <w:rsid w:val="32F6606D"/>
    <w:rsid w:val="32F81DE5"/>
    <w:rsid w:val="32FB3683"/>
    <w:rsid w:val="32FD73FC"/>
    <w:rsid w:val="3301513E"/>
    <w:rsid w:val="33072028"/>
    <w:rsid w:val="330864CC"/>
    <w:rsid w:val="330B7D6A"/>
    <w:rsid w:val="330C763F"/>
    <w:rsid w:val="330D3AE3"/>
    <w:rsid w:val="331035D3"/>
    <w:rsid w:val="33122EA7"/>
    <w:rsid w:val="33134E71"/>
    <w:rsid w:val="331704BD"/>
    <w:rsid w:val="33184235"/>
    <w:rsid w:val="3321758E"/>
    <w:rsid w:val="332215E4"/>
    <w:rsid w:val="33226375"/>
    <w:rsid w:val="33242BDA"/>
    <w:rsid w:val="3328091C"/>
    <w:rsid w:val="332967FC"/>
    <w:rsid w:val="332D1A72"/>
    <w:rsid w:val="332D7CE1"/>
    <w:rsid w:val="332E4F6B"/>
    <w:rsid w:val="333029D5"/>
    <w:rsid w:val="33305A23"/>
    <w:rsid w:val="33332E1D"/>
    <w:rsid w:val="33386686"/>
    <w:rsid w:val="333E57F9"/>
    <w:rsid w:val="33550FE6"/>
    <w:rsid w:val="3355548A"/>
    <w:rsid w:val="33582884"/>
    <w:rsid w:val="3358616F"/>
    <w:rsid w:val="3369683F"/>
    <w:rsid w:val="336F02F9"/>
    <w:rsid w:val="336F151A"/>
    <w:rsid w:val="337A6C9E"/>
    <w:rsid w:val="337C47C4"/>
    <w:rsid w:val="33811DDB"/>
    <w:rsid w:val="3381627F"/>
    <w:rsid w:val="33857B1D"/>
    <w:rsid w:val="3386325D"/>
    <w:rsid w:val="33866BEF"/>
    <w:rsid w:val="338813BB"/>
    <w:rsid w:val="33882539"/>
    <w:rsid w:val="338D4C23"/>
    <w:rsid w:val="339128A9"/>
    <w:rsid w:val="33953AD8"/>
    <w:rsid w:val="339B7340"/>
    <w:rsid w:val="33A7639F"/>
    <w:rsid w:val="33AD2BD0"/>
    <w:rsid w:val="33B201E6"/>
    <w:rsid w:val="33B26438"/>
    <w:rsid w:val="33B65F28"/>
    <w:rsid w:val="33B7710D"/>
    <w:rsid w:val="33C30645"/>
    <w:rsid w:val="33C63297"/>
    <w:rsid w:val="33CB12A8"/>
    <w:rsid w:val="33CD6DCE"/>
    <w:rsid w:val="33D60378"/>
    <w:rsid w:val="33D62126"/>
    <w:rsid w:val="33D934D4"/>
    <w:rsid w:val="33DC5263"/>
    <w:rsid w:val="33DF6B01"/>
    <w:rsid w:val="33E32A95"/>
    <w:rsid w:val="33E81E5A"/>
    <w:rsid w:val="33EA5BD2"/>
    <w:rsid w:val="33EB2AF5"/>
    <w:rsid w:val="33EB36F8"/>
    <w:rsid w:val="33F24A86"/>
    <w:rsid w:val="33F7209D"/>
    <w:rsid w:val="33F829BD"/>
    <w:rsid w:val="33F86541"/>
    <w:rsid w:val="33FB1B8D"/>
    <w:rsid w:val="33FE2F6A"/>
    <w:rsid w:val="33FF738F"/>
    <w:rsid w:val="340053F5"/>
    <w:rsid w:val="34063FAB"/>
    <w:rsid w:val="34076784"/>
    <w:rsid w:val="340A0022"/>
    <w:rsid w:val="340F5638"/>
    <w:rsid w:val="34190265"/>
    <w:rsid w:val="341C1B03"/>
    <w:rsid w:val="341E3ACD"/>
    <w:rsid w:val="342509B8"/>
    <w:rsid w:val="342563FC"/>
    <w:rsid w:val="34287731"/>
    <w:rsid w:val="342F1837"/>
    <w:rsid w:val="34313C5A"/>
    <w:rsid w:val="343155AF"/>
    <w:rsid w:val="3434509F"/>
    <w:rsid w:val="34362BC5"/>
    <w:rsid w:val="343706EB"/>
    <w:rsid w:val="34394463"/>
    <w:rsid w:val="343B2D13"/>
    <w:rsid w:val="343E47B7"/>
    <w:rsid w:val="344D6161"/>
    <w:rsid w:val="3451678A"/>
    <w:rsid w:val="34563267"/>
    <w:rsid w:val="34574764"/>
    <w:rsid w:val="3457548F"/>
    <w:rsid w:val="345B087E"/>
    <w:rsid w:val="34627928"/>
    <w:rsid w:val="34675474"/>
    <w:rsid w:val="34684D49"/>
    <w:rsid w:val="346911EC"/>
    <w:rsid w:val="346A0AC1"/>
    <w:rsid w:val="346E6803"/>
    <w:rsid w:val="346F4329"/>
    <w:rsid w:val="347150DC"/>
    <w:rsid w:val="34737FC2"/>
    <w:rsid w:val="347528E2"/>
    <w:rsid w:val="34761214"/>
    <w:rsid w:val="347C1C67"/>
    <w:rsid w:val="347D6A46"/>
    <w:rsid w:val="347E631A"/>
    <w:rsid w:val="347E7F4E"/>
    <w:rsid w:val="34807019"/>
    <w:rsid w:val="34822315"/>
    <w:rsid w:val="34825E0A"/>
    <w:rsid w:val="34853B4C"/>
    <w:rsid w:val="3489363D"/>
    <w:rsid w:val="348B76D9"/>
    <w:rsid w:val="348E1040"/>
    <w:rsid w:val="348F22D5"/>
    <w:rsid w:val="348F6779"/>
    <w:rsid w:val="34943D90"/>
    <w:rsid w:val="349618B6"/>
    <w:rsid w:val="34977E0F"/>
    <w:rsid w:val="34983880"/>
    <w:rsid w:val="349A13A6"/>
    <w:rsid w:val="349B2A17"/>
    <w:rsid w:val="349D49F2"/>
    <w:rsid w:val="34A044E2"/>
    <w:rsid w:val="34A35D81"/>
    <w:rsid w:val="34A43FD3"/>
    <w:rsid w:val="34A71D15"/>
    <w:rsid w:val="34AA710F"/>
    <w:rsid w:val="34AC10D9"/>
    <w:rsid w:val="34AE07E1"/>
    <w:rsid w:val="34AE6BFF"/>
    <w:rsid w:val="34B41D3C"/>
    <w:rsid w:val="34B42CD7"/>
    <w:rsid w:val="34B47F8E"/>
    <w:rsid w:val="34B561E0"/>
    <w:rsid w:val="34BB30CA"/>
    <w:rsid w:val="34C226AB"/>
    <w:rsid w:val="34C401D1"/>
    <w:rsid w:val="34CC3529"/>
    <w:rsid w:val="34CE7CA8"/>
    <w:rsid w:val="34D10B40"/>
    <w:rsid w:val="34D1727F"/>
    <w:rsid w:val="34D36666"/>
    <w:rsid w:val="34D643A8"/>
    <w:rsid w:val="34DF14AF"/>
    <w:rsid w:val="34EE524E"/>
    <w:rsid w:val="34F5482E"/>
    <w:rsid w:val="34FB5395"/>
    <w:rsid w:val="350360CB"/>
    <w:rsid w:val="350B5E00"/>
    <w:rsid w:val="350C3926"/>
    <w:rsid w:val="350E3B42"/>
    <w:rsid w:val="35123632"/>
    <w:rsid w:val="35131158"/>
    <w:rsid w:val="351331F9"/>
    <w:rsid w:val="35137050"/>
    <w:rsid w:val="35145978"/>
    <w:rsid w:val="35150A2C"/>
    <w:rsid w:val="35161C05"/>
    <w:rsid w:val="3518051D"/>
    <w:rsid w:val="351B4977"/>
    <w:rsid w:val="351D286D"/>
    <w:rsid w:val="351D5B33"/>
    <w:rsid w:val="35225DD1"/>
    <w:rsid w:val="35243365"/>
    <w:rsid w:val="352B31F5"/>
    <w:rsid w:val="35344874"/>
    <w:rsid w:val="35357321"/>
    <w:rsid w:val="353A0493"/>
    <w:rsid w:val="353C420B"/>
    <w:rsid w:val="353F1F4D"/>
    <w:rsid w:val="353F332F"/>
    <w:rsid w:val="35415CC5"/>
    <w:rsid w:val="35417A73"/>
    <w:rsid w:val="354237EC"/>
    <w:rsid w:val="35443D18"/>
    <w:rsid w:val="3546508A"/>
    <w:rsid w:val="354B6B44"/>
    <w:rsid w:val="35523A2F"/>
    <w:rsid w:val="35527ED3"/>
    <w:rsid w:val="355A28E3"/>
    <w:rsid w:val="355C2A85"/>
    <w:rsid w:val="3560331F"/>
    <w:rsid w:val="35611EC4"/>
    <w:rsid w:val="35631901"/>
    <w:rsid w:val="356419B4"/>
    <w:rsid w:val="35646BA9"/>
    <w:rsid w:val="356F59EC"/>
    <w:rsid w:val="357716E7"/>
    <w:rsid w:val="35777939"/>
    <w:rsid w:val="35794F7E"/>
    <w:rsid w:val="357A2F85"/>
    <w:rsid w:val="357A3B1C"/>
    <w:rsid w:val="357A4D33"/>
    <w:rsid w:val="357C0AAC"/>
    <w:rsid w:val="358768A1"/>
    <w:rsid w:val="358856A2"/>
    <w:rsid w:val="358931C8"/>
    <w:rsid w:val="359009FB"/>
    <w:rsid w:val="35944047"/>
    <w:rsid w:val="35977693"/>
    <w:rsid w:val="359A53D6"/>
    <w:rsid w:val="359A63C0"/>
    <w:rsid w:val="359D4169"/>
    <w:rsid w:val="359E6C74"/>
    <w:rsid w:val="359F0C3E"/>
    <w:rsid w:val="359F64F2"/>
    <w:rsid w:val="35A10512"/>
    <w:rsid w:val="35A239BC"/>
    <w:rsid w:val="35A324DC"/>
    <w:rsid w:val="35A46254"/>
    <w:rsid w:val="35A5691A"/>
    <w:rsid w:val="35A6206D"/>
    <w:rsid w:val="35A746CB"/>
    <w:rsid w:val="35AB313F"/>
    <w:rsid w:val="35AD5109"/>
    <w:rsid w:val="35AD6EB7"/>
    <w:rsid w:val="35BA15D4"/>
    <w:rsid w:val="35BC17F0"/>
    <w:rsid w:val="35BE2E72"/>
    <w:rsid w:val="35C04B91"/>
    <w:rsid w:val="35C30488"/>
    <w:rsid w:val="35C80195"/>
    <w:rsid w:val="35C91817"/>
    <w:rsid w:val="35CB558F"/>
    <w:rsid w:val="35CD1307"/>
    <w:rsid w:val="35CF1523"/>
    <w:rsid w:val="35CF6816"/>
    <w:rsid w:val="35D2691D"/>
    <w:rsid w:val="35D501BC"/>
    <w:rsid w:val="35D54660"/>
    <w:rsid w:val="35DC154A"/>
    <w:rsid w:val="35E13004"/>
    <w:rsid w:val="35E26CCF"/>
    <w:rsid w:val="35E46651"/>
    <w:rsid w:val="35E6686D"/>
    <w:rsid w:val="35EA7D42"/>
    <w:rsid w:val="35EB5CD8"/>
    <w:rsid w:val="35EF127D"/>
    <w:rsid w:val="35F24F62"/>
    <w:rsid w:val="35FF348B"/>
    <w:rsid w:val="3600792F"/>
    <w:rsid w:val="36015455"/>
    <w:rsid w:val="36034D29"/>
    <w:rsid w:val="36054F45"/>
    <w:rsid w:val="36074A7F"/>
    <w:rsid w:val="36080591"/>
    <w:rsid w:val="3608381A"/>
    <w:rsid w:val="360A255B"/>
    <w:rsid w:val="360A60B7"/>
    <w:rsid w:val="360B0081"/>
    <w:rsid w:val="360D3DFA"/>
    <w:rsid w:val="36105698"/>
    <w:rsid w:val="361231BE"/>
    <w:rsid w:val="36162CAE"/>
    <w:rsid w:val="361909F0"/>
    <w:rsid w:val="361E75B5"/>
    <w:rsid w:val="361F444A"/>
    <w:rsid w:val="36211653"/>
    <w:rsid w:val="36213401"/>
    <w:rsid w:val="36251143"/>
    <w:rsid w:val="3628478F"/>
    <w:rsid w:val="362C0724"/>
    <w:rsid w:val="362C2EF1"/>
    <w:rsid w:val="362F1FC2"/>
    <w:rsid w:val="3632560E"/>
    <w:rsid w:val="36372C24"/>
    <w:rsid w:val="363B44C3"/>
    <w:rsid w:val="363C023B"/>
    <w:rsid w:val="363C41B2"/>
    <w:rsid w:val="364202C1"/>
    <w:rsid w:val="3643115A"/>
    <w:rsid w:val="36432478"/>
    <w:rsid w:val="36462E68"/>
    <w:rsid w:val="364A2958"/>
    <w:rsid w:val="36530255"/>
    <w:rsid w:val="365437D6"/>
    <w:rsid w:val="36545584"/>
    <w:rsid w:val="36557C1C"/>
    <w:rsid w:val="365612FD"/>
    <w:rsid w:val="365732C7"/>
    <w:rsid w:val="36581519"/>
    <w:rsid w:val="36653C36"/>
    <w:rsid w:val="36681030"/>
    <w:rsid w:val="366D5927"/>
    <w:rsid w:val="366F76E7"/>
    <w:rsid w:val="367141CE"/>
    <w:rsid w:val="36745C27"/>
    <w:rsid w:val="3679148F"/>
    <w:rsid w:val="367B6FB5"/>
    <w:rsid w:val="36820344"/>
    <w:rsid w:val="368340BC"/>
    <w:rsid w:val="36871691"/>
    <w:rsid w:val="3687277C"/>
    <w:rsid w:val="36891FCF"/>
    <w:rsid w:val="36897924"/>
    <w:rsid w:val="368C4D1E"/>
    <w:rsid w:val="368F0CB2"/>
    <w:rsid w:val="36910587"/>
    <w:rsid w:val="369129F7"/>
    <w:rsid w:val="36923549"/>
    <w:rsid w:val="369352F7"/>
    <w:rsid w:val="36966D52"/>
    <w:rsid w:val="369736C3"/>
    <w:rsid w:val="36981915"/>
    <w:rsid w:val="369915A3"/>
    <w:rsid w:val="36A04C6E"/>
    <w:rsid w:val="36A21135"/>
    <w:rsid w:val="36B240C8"/>
    <w:rsid w:val="36B31729"/>
    <w:rsid w:val="36B60F67"/>
    <w:rsid w:val="36B727F9"/>
    <w:rsid w:val="36B75FBF"/>
    <w:rsid w:val="36BD312A"/>
    <w:rsid w:val="36C827C2"/>
    <w:rsid w:val="36C97D20"/>
    <w:rsid w:val="36CD6D52"/>
    <w:rsid w:val="36D14E27"/>
    <w:rsid w:val="36D16BD5"/>
    <w:rsid w:val="36D466C5"/>
    <w:rsid w:val="36D8764F"/>
    <w:rsid w:val="36DF5796"/>
    <w:rsid w:val="36E0150E"/>
    <w:rsid w:val="36E44B5A"/>
    <w:rsid w:val="36E7464B"/>
    <w:rsid w:val="36E903C3"/>
    <w:rsid w:val="36E94D26"/>
    <w:rsid w:val="36EA57B9"/>
    <w:rsid w:val="36EE7787"/>
    <w:rsid w:val="36F34D9D"/>
    <w:rsid w:val="36F80606"/>
    <w:rsid w:val="36F8396F"/>
    <w:rsid w:val="36FA437E"/>
    <w:rsid w:val="36FB4891"/>
    <w:rsid w:val="370C40B1"/>
    <w:rsid w:val="37103BA1"/>
    <w:rsid w:val="37107F95"/>
    <w:rsid w:val="37113475"/>
    <w:rsid w:val="37152F66"/>
    <w:rsid w:val="371A057C"/>
    <w:rsid w:val="371D1E1A"/>
    <w:rsid w:val="371F3DE4"/>
    <w:rsid w:val="37215DAE"/>
    <w:rsid w:val="37217B5C"/>
    <w:rsid w:val="37256F21"/>
    <w:rsid w:val="37257503"/>
    <w:rsid w:val="372C4753"/>
    <w:rsid w:val="372E04CB"/>
    <w:rsid w:val="372E4C5F"/>
    <w:rsid w:val="37305FF2"/>
    <w:rsid w:val="3735592F"/>
    <w:rsid w:val="373E0984"/>
    <w:rsid w:val="373F4487"/>
    <w:rsid w:val="37425D25"/>
    <w:rsid w:val="374455F9"/>
    <w:rsid w:val="37461371"/>
    <w:rsid w:val="37465815"/>
    <w:rsid w:val="37465A08"/>
    <w:rsid w:val="3748158D"/>
    <w:rsid w:val="374A567A"/>
    <w:rsid w:val="374B2E2B"/>
    <w:rsid w:val="374B6987"/>
    <w:rsid w:val="37500442"/>
    <w:rsid w:val="37503F9E"/>
    <w:rsid w:val="375241BA"/>
    <w:rsid w:val="37526EE7"/>
    <w:rsid w:val="375A4E1C"/>
    <w:rsid w:val="375C3AD3"/>
    <w:rsid w:val="375F0685"/>
    <w:rsid w:val="376161AB"/>
    <w:rsid w:val="37643EED"/>
    <w:rsid w:val="37667C65"/>
    <w:rsid w:val="376E73A5"/>
    <w:rsid w:val="37725830"/>
    <w:rsid w:val="37744822"/>
    <w:rsid w:val="37772B57"/>
    <w:rsid w:val="37773C20"/>
    <w:rsid w:val="37785DC5"/>
    <w:rsid w:val="377D6D5D"/>
    <w:rsid w:val="378123A9"/>
    <w:rsid w:val="37826121"/>
    <w:rsid w:val="378325C5"/>
    <w:rsid w:val="378835C5"/>
    <w:rsid w:val="378974B0"/>
    <w:rsid w:val="378C0D4E"/>
    <w:rsid w:val="379775C4"/>
    <w:rsid w:val="37977BBC"/>
    <w:rsid w:val="37983B97"/>
    <w:rsid w:val="379929F5"/>
    <w:rsid w:val="379B23DD"/>
    <w:rsid w:val="379E11AD"/>
    <w:rsid w:val="379E73FF"/>
    <w:rsid w:val="37AB5678"/>
    <w:rsid w:val="37B10249"/>
    <w:rsid w:val="37B7226F"/>
    <w:rsid w:val="37B90489"/>
    <w:rsid w:val="37B95FE7"/>
    <w:rsid w:val="37BC5AD7"/>
    <w:rsid w:val="37BE184F"/>
    <w:rsid w:val="37C30C14"/>
    <w:rsid w:val="37C52C3A"/>
    <w:rsid w:val="37C64260"/>
    <w:rsid w:val="37C8622A"/>
    <w:rsid w:val="37C93D50"/>
    <w:rsid w:val="37CD5B9C"/>
    <w:rsid w:val="37CE75B8"/>
    <w:rsid w:val="37D3697D"/>
    <w:rsid w:val="37DC7F27"/>
    <w:rsid w:val="37DF5322"/>
    <w:rsid w:val="37E128C2"/>
    <w:rsid w:val="37E33064"/>
    <w:rsid w:val="37E8177D"/>
    <w:rsid w:val="37EB1F18"/>
    <w:rsid w:val="37ED7A3F"/>
    <w:rsid w:val="37F012DD"/>
    <w:rsid w:val="37F232A7"/>
    <w:rsid w:val="37F76B0F"/>
    <w:rsid w:val="37FE3BFC"/>
    <w:rsid w:val="37FE7E9E"/>
    <w:rsid w:val="37FF59C4"/>
    <w:rsid w:val="38066D52"/>
    <w:rsid w:val="38086A4E"/>
    <w:rsid w:val="38163439"/>
    <w:rsid w:val="38170F5F"/>
    <w:rsid w:val="38172D0E"/>
    <w:rsid w:val="38196A86"/>
    <w:rsid w:val="381C20D2"/>
    <w:rsid w:val="3821593A"/>
    <w:rsid w:val="382316B2"/>
    <w:rsid w:val="3825542A"/>
    <w:rsid w:val="382673F4"/>
    <w:rsid w:val="382B67B9"/>
    <w:rsid w:val="382D42DF"/>
    <w:rsid w:val="38303DA7"/>
    <w:rsid w:val="3831064E"/>
    <w:rsid w:val="38325D99"/>
    <w:rsid w:val="38353194"/>
    <w:rsid w:val="3835486A"/>
    <w:rsid w:val="38376F0C"/>
    <w:rsid w:val="383C4522"/>
    <w:rsid w:val="383E029A"/>
    <w:rsid w:val="384229DF"/>
    <w:rsid w:val="384653A1"/>
    <w:rsid w:val="38467783"/>
    <w:rsid w:val="384A30E3"/>
    <w:rsid w:val="384E4FBD"/>
    <w:rsid w:val="384F204E"/>
    <w:rsid w:val="384F24A7"/>
    <w:rsid w:val="38547ABE"/>
    <w:rsid w:val="385555E4"/>
    <w:rsid w:val="385839D6"/>
    <w:rsid w:val="386046B4"/>
    <w:rsid w:val="38606463"/>
    <w:rsid w:val="38635F53"/>
    <w:rsid w:val="38657F1D"/>
    <w:rsid w:val="386A108F"/>
    <w:rsid w:val="386D5023"/>
    <w:rsid w:val="386D6DD1"/>
    <w:rsid w:val="386E59BE"/>
    <w:rsid w:val="386E654A"/>
    <w:rsid w:val="387463B2"/>
    <w:rsid w:val="3875408A"/>
    <w:rsid w:val="387D044B"/>
    <w:rsid w:val="38912AC0"/>
    <w:rsid w:val="38926838"/>
    <w:rsid w:val="389425B0"/>
    <w:rsid w:val="38972D3F"/>
    <w:rsid w:val="389B56ED"/>
    <w:rsid w:val="389E342F"/>
    <w:rsid w:val="389F78EA"/>
    <w:rsid w:val="38A04A09"/>
    <w:rsid w:val="38A547BD"/>
    <w:rsid w:val="38A65E3F"/>
    <w:rsid w:val="38AA5930"/>
    <w:rsid w:val="38AC5B4C"/>
    <w:rsid w:val="38B7004D"/>
    <w:rsid w:val="38B86F38"/>
    <w:rsid w:val="38B90459"/>
    <w:rsid w:val="38BA2623"/>
    <w:rsid w:val="38BB18EB"/>
    <w:rsid w:val="38BD1B07"/>
    <w:rsid w:val="38BD38B5"/>
    <w:rsid w:val="38C35493"/>
    <w:rsid w:val="38C42E95"/>
    <w:rsid w:val="38C70290"/>
    <w:rsid w:val="38D0417E"/>
    <w:rsid w:val="38D1110E"/>
    <w:rsid w:val="38E075A3"/>
    <w:rsid w:val="38E452E6"/>
    <w:rsid w:val="38E928FC"/>
    <w:rsid w:val="38E946AA"/>
    <w:rsid w:val="38EA21D0"/>
    <w:rsid w:val="38EE040E"/>
    <w:rsid w:val="38EE1CC0"/>
    <w:rsid w:val="38EF3C8A"/>
    <w:rsid w:val="38F12CD3"/>
    <w:rsid w:val="38F1355F"/>
    <w:rsid w:val="38F80D91"/>
    <w:rsid w:val="38F94775"/>
    <w:rsid w:val="390037A2"/>
    <w:rsid w:val="390246F3"/>
    <w:rsid w:val="39032DDB"/>
    <w:rsid w:val="390414E4"/>
    <w:rsid w:val="39070FD4"/>
    <w:rsid w:val="39074B30"/>
    <w:rsid w:val="39162FC5"/>
    <w:rsid w:val="3919532C"/>
    <w:rsid w:val="391B05DB"/>
    <w:rsid w:val="391D4354"/>
    <w:rsid w:val="39246EA0"/>
    <w:rsid w:val="39276F80"/>
    <w:rsid w:val="39290F4A"/>
    <w:rsid w:val="392971ED"/>
    <w:rsid w:val="392A6A70"/>
    <w:rsid w:val="393C7FB8"/>
    <w:rsid w:val="393D2C48"/>
    <w:rsid w:val="394226E9"/>
    <w:rsid w:val="39461AFC"/>
    <w:rsid w:val="39471E2C"/>
    <w:rsid w:val="39504729"/>
    <w:rsid w:val="39513FFD"/>
    <w:rsid w:val="3953226C"/>
    <w:rsid w:val="3953286E"/>
    <w:rsid w:val="39535FC7"/>
    <w:rsid w:val="39551D3F"/>
    <w:rsid w:val="39561614"/>
    <w:rsid w:val="39581830"/>
    <w:rsid w:val="395A55A8"/>
    <w:rsid w:val="396226AE"/>
    <w:rsid w:val="3962620A"/>
    <w:rsid w:val="39663F4D"/>
    <w:rsid w:val="396C52DB"/>
    <w:rsid w:val="396C7089"/>
    <w:rsid w:val="39706B79"/>
    <w:rsid w:val="397321C6"/>
    <w:rsid w:val="39736669"/>
    <w:rsid w:val="397B72CC"/>
    <w:rsid w:val="397D3044"/>
    <w:rsid w:val="398054B8"/>
    <w:rsid w:val="39810D86"/>
    <w:rsid w:val="3983274D"/>
    <w:rsid w:val="398B750F"/>
    <w:rsid w:val="398C590D"/>
    <w:rsid w:val="39902D77"/>
    <w:rsid w:val="399860D0"/>
    <w:rsid w:val="399F120C"/>
    <w:rsid w:val="39A14F85"/>
    <w:rsid w:val="39A46823"/>
    <w:rsid w:val="39A6259B"/>
    <w:rsid w:val="39A64349"/>
    <w:rsid w:val="39A86313"/>
    <w:rsid w:val="39AE76A2"/>
    <w:rsid w:val="39BC70BE"/>
    <w:rsid w:val="39BD18DE"/>
    <w:rsid w:val="39C15930"/>
    <w:rsid w:val="39CB3DB0"/>
    <w:rsid w:val="39CE3969"/>
    <w:rsid w:val="39CE6632"/>
    <w:rsid w:val="39D52E80"/>
    <w:rsid w:val="39D54C2E"/>
    <w:rsid w:val="39DF6898"/>
    <w:rsid w:val="39DF785B"/>
    <w:rsid w:val="39E6508D"/>
    <w:rsid w:val="39E758BD"/>
    <w:rsid w:val="39E97DA8"/>
    <w:rsid w:val="39ED01CA"/>
    <w:rsid w:val="39ED1F78"/>
    <w:rsid w:val="39EE5CF0"/>
    <w:rsid w:val="39F2758E"/>
    <w:rsid w:val="39F33306"/>
    <w:rsid w:val="39F350B4"/>
    <w:rsid w:val="39F552D0"/>
    <w:rsid w:val="39F94DC1"/>
    <w:rsid w:val="39FA4695"/>
    <w:rsid w:val="39FC040D"/>
    <w:rsid w:val="39FC26D0"/>
    <w:rsid w:val="39FE23D7"/>
    <w:rsid w:val="3A064DE8"/>
    <w:rsid w:val="3A0B0650"/>
    <w:rsid w:val="3A103EB8"/>
    <w:rsid w:val="3A155D47"/>
    <w:rsid w:val="3A192D6D"/>
    <w:rsid w:val="3A1A4D37"/>
    <w:rsid w:val="3A1B12AC"/>
    <w:rsid w:val="3A1B478A"/>
    <w:rsid w:val="3A1E073A"/>
    <w:rsid w:val="3A29194C"/>
    <w:rsid w:val="3A296D28"/>
    <w:rsid w:val="3A2B2AA0"/>
    <w:rsid w:val="3A2B3AE8"/>
    <w:rsid w:val="3A2E4B81"/>
    <w:rsid w:val="3A2E7EAC"/>
    <w:rsid w:val="3A306308"/>
    <w:rsid w:val="3A397156"/>
    <w:rsid w:val="3A3A2CE3"/>
    <w:rsid w:val="3A3C6A5B"/>
    <w:rsid w:val="3A410516"/>
    <w:rsid w:val="3A414072"/>
    <w:rsid w:val="3A465B2C"/>
    <w:rsid w:val="3A502507"/>
    <w:rsid w:val="3A53360C"/>
    <w:rsid w:val="3A5448AB"/>
    <w:rsid w:val="3A575643"/>
    <w:rsid w:val="3A59760D"/>
    <w:rsid w:val="3A614714"/>
    <w:rsid w:val="3A6462C9"/>
    <w:rsid w:val="3A663AD8"/>
    <w:rsid w:val="3A695377"/>
    <w:rsid w:val="3A7367C7"/>
    <w:rsid w:val="3A747BF2"/>
    <w:rsid w:val="3A751279"/>
    <w:rsid w:val="3A797CAF"/>
    <w:rsid w:val="3A7C4FBC"/>
    <w:rsid w:val="3A8723CC"/>
    <w:rsid w:val="3A887EF3"/>
    <w:rsid w:val="3A8B353F"/>
    <w:rsid w:val="3A8D5509"/>
    <w:rsid w:val="3A8D6676"/>
    <w:rsid w:val="3A8E336A"/>
    <w:rsid w:val="3A916DA7"/>
    <w:rsid w:val="3A995C5C"/>
    <w:rsid w:val="3AA26176"/>
    <w:rsid w:val="3AA60379"/>
    <w:rsid w:val="3AAF3DE4"/>
    <w:rsid w:val="3AB900AC"/>
    <w:rsid w:val="3ABC194A"/>
    <w:rsid w:val="3ABD5DEE"/>
    <w:rsid w:val="3AC52EF5"/>
    <w:rsid w:val="3AC56A51"/>
    <w:rsid w:val="3ACF167E"/>
    <w:rsid w:val="3AD1189A"/>
    <w:rsid w:val="3AD849D6"/>
    <w:rsid w:val="3ADA2030"/>
    <w:rsid w:val="3ADB14EF"/>
    <w:rsid w:val="3AE113B1"/>
    <w:rsid w:val="3AE25855"/>
    <w:rsid w:val="3AE852B6"/>
    <w:rsid w:val="3AF47336"/>
    <w:rsid w:val="3AF94C61"/>
    <w:rsid w:val="3AFC65EF"/>
    <w:rsid w:val="3AFD443D"/>
    <w:rsid w:val="3AFD4730"/>
    <w:rsid w:val="3AFD5E03"/>
    <w:rsid w:val="3AFD61EB"/>
    <w:rsid w:val="3B024BDF"/>
    <w:rsid w:val="3B082DE1"/>
    <w:rsid w:val="3B111C96"/>
    <w:rsid w:val="3B132EBB"/>
    <w:rsid w:val="3B141786"/>
    <w:rsid w:val="3B181276"/>
    <w:rsid w:val="3B1874C8"/>
    <w:rsid w:val="3B1B48C3"/>
    <w:rsid w:val="3B2A0FAA"/>
    <w:rsid w:val="3B312DF4"/>
    <w:rsid w:val="3B345984"/>
    <w:rsid w:val="3B3616FD"/>
    <w:rsid w:val="3B36794F"/>
    <w:rsid w:val="3B3763D1"/>
    <w:rsid w:val="3B4402BD"/>
    <w:rsid w:val="3B4406AD"/>
    <w:rsid w:val="3B5424B5"/>
    <w:rsid w:val="3B5C3046"/>
    <w:rsid w:val="3B5F50F7"/>
    <w:rsid w:val="3B625851"/>
    <w:rsid w:val="3B6444BC"/>
    <w:rsid w:val="3B675D5A"/>
    <w:rsid w:val="3B677B08"/>
    <w:rsid w:val="3B6B3A9C"/>
    <w:rsid w:val="3B6C15C2"/>
    <w:rsid w:val="3B6E0E96"/>
    <w:rsid w:val="3B6F4C0F"/>
    <w:rsid w:val="3B712735"/>
    <w:rsid w:val="3B783AC3"/>
    <w:rsid w:val="3B7A5A8D"/>
    <w:rsid w:val="3B81506E"/>
    <w:rsid w:val="3B862944"/>
    <w:rsid w:val="3B8738E2"/>
    <w:rsid w:val="3B8B7C9A"/>
    <w:rsid w:val="3B903503"/>
    <w:rsid w:val="3B905FB8"/>
    <w:rsid w:val="3B974891"/>
    <w:rsid w:val="3B9A7EDD"/>
    <w:rsid w:val="3B9D3163"/>
    <w:rsid w:val="3B9F54F4"/>
    <w:rsid w:val="3BA96372"/>
    <w:rsid w:val="3BAB7ADE"/>
    <w:rsid w:val="3BAD314F"/>
    <w:rsid w:val="3BAE24DA"/>
    <w:rsid w:val="3BB02112"/>
    <w:rsid w:val="3BB164CD"/>
    <w:rsid w:val="3BB84F4B"/>
    <w:rsid w:val="3BBE0D10"/>
    <w:rsid w:val="3BBF7944"/>
    <w:rsid w:val="3BC1190E"/>
    <w:rsid w:val="3BC136BC"/>
    <w:rsid w:val="3BC60CD2"/>
    <w:rsid w:val="3BCE7B87"/>
    <w:rsid w:val="3BD72366"/>
    <w:rsid w:val="3BD776DA"/>
    <w:rsid w:val="3BD80A06"/>
    <w:rsid w:val="3BDA29D0"/>
    <w:rsid w:val="3BDC22A4"/>
    <w:rsid w:val="3BDF1D94"/>
    <w:rsid w:val="3BE03287"/>
    <w:rsid w:val="3BEF55D0"/>
    <w:rsid w:val="3BF36DBD"/>
    <w:rsid w:val="3BF70E8C"/>
    <w:rsid w:val="3BF84C04"/>
    <w:rsid w:val="3BFD046C"/>
    <w:rsid w:val="3C070B8D"/>
    <w:rsid w:val="3C084498"/>
    <w:rsid w:val="3C1001A0"/>
    <w:rsid w:val="3C166A9C"/>
    <w:rsid w:val="3C1C4D96"/>
    <w:rsid w:val="3C261771"/>
    <w:rsid w:val="3C2854E9"/>
    <w:rsid w:val="3C2B4458"/>
    <w:rsid w:val="3C2B4FD9"/>
    <w:rsid w:val="3C2D2B00"/>
    <w:rsid w:val="3C3072F9"/>
    <w:rsid w:val="3C33736D"/>
    <w:rsid w:val="3C3A4B39"/>
    <w:rsid w:val="3C4165AB"/>
    <w:rsid w:val="3C430575"/>
    <w:rsid w:val="3C4D0211"/>
    <w:rsid w:val="3C4D13F4"/>
    <w:rsid w:val="3C4F06AE"/>
    <w:rsid w:val="3C504A40"/>
    <w:rsid w:val="3C552056"/>
    <w:rsid w:val="3C553E04"/>
    <w:rsid w:val="3C5750C0"/>
    <w:rsid w:val="3C5938F5"/>
    <w:rsid w:val="3C597D99"/>
    <w:rsid w:val="3C5A141B"/>
    <w:rsid w:val="3C6B3628"/>
    <w:rsid w:val="3C700C3E"/>
    <w:rsid w:val="3C7050E2"/>
    <w:rsid w:val="3C7C3A87"/>
    <w:rsid w:val="3C7E15AD"/>
    <w:rsid w:val="3C7E4C3C"/>
    <w:rsid w:val="3C7F0E81"/>
    <w:rsid w:val="3C7F11EE"/>
    <w:rsid w:val="3C805325"/>
    <w:rsid w:val="3C8B3CCA"/>
    <w:rsid w:val="3C8F5568"/>
    <w:rsid w:val="3C940DD1"/>
    <w:rsid w:val="3C990195"/>
    <w:rsid w:val="3C9C3DF5"/>
    <w:rsid w:val="3CA01523"/>
    <w:rsid w:val="3CA164D5"/>
    <w:rsid w:val="3CA1704A"/>
    <w:rsid w:val="3CA31F01"/>
    <w:rsid w:val="3CA37266"/>
    <w:rsid w:val="3CA71F6F"/>
    <w:rsid w:val="3CA863A8"/>
    <w:rsid w:val="3CAE4BAE"/>
    <w:rsid w:val="3CB308EA"/>
    <w:rsid w:val="3CBB45AF"/>
    <w:rsid w:val="3CBC20D5"/>
    <w:rsid w:val="3CBC5080"/>
    <w:rsid w:val="3CBE19AA"/>
    <w:rsid w:val="3CC03974"/>
    <w:rsid w:val="3CC05722"/>
    <w:rsid w:val="3CC316B6"/>
    <w:rsid w:val="3CC82828"/>
    <w:rsid w:val="3CCA65A0"/>
    <w:rsid w:val="3CCD3C8C"/>
    <w:rsid w:val="3CCF3BB7"/>
    <w:rsid w:val="3CD4741F"/>
    <w:rsid w:val="3CD94A35"/>
    <w:rsid w:val="3CDA0164"/>
    <w:rsid w:val="3CDA245A"/>
    <w:rsid w:val="3CDB69FF"/>
    <w:rsid w:val="3CE05DC4"/>
    <w:rsid w:val="3CE37662"/>
    <w:rsid w:val="3CE7185D"/>
    <w:rsid w:val="3CEA4A31"/>
    <w:rsid w:val="3CEC4769"/>
    <w:rsid w:val="3CEE0A37"/>
    <w:rsid w:val="3CF03B2D"/>
    <w:rsid w:val="3CF0711C"/>
    <w:rsid w:val="3CFA3924"/>
    <w:rsid w:val="3CFA5C50"/>
    <w:rsid w:val="3CFC735A"/>
    <w:rsid w:val="3CFE624A"/>
    <w:rsid w:val="3D011811"/>
    <w:rsid w:val="3D015D3A"/>
    <w:rsid w:val="3D053A7C"/>
    <w:rsid w:val="3D05582A"/>
    <w:rsid w:val="3D056A3F"/>
    <w:rsid w:val="3D0F48FB"/>
    <w:rsid w:val="3D10720F"/>
    <w:rsid w:val="3D115F7D"/>
    <w:rsid w:val="3D18555E"/>
    <w:rsid w:val="3D19014F"/>
    <w:rsid w:val="3D193084"/>
    <w:rsid w:val="3D1E4B3E"/>
    <w:rsid w:val="3D2008B6"/>
    <w:rsid w:val="3D254AFD"/>
    <w:rsid w:val="3D257C7B"/>
    <w:rsid w:val="3D271C45"/>
    <w:rsid w:val="3D2C1009"/>
    <w:rsid w:val="3D2F0AF9"/>
    <w:rsid w:val="3D3035F9"/>
    <w:rsid w:val="3D314871"/>
    <w:rsid w:val="3D3305EA"/>
    <w:rsid w:val="3D344362"/>
    <w:rsid w:val="3D3446A0"/>
    <w:rsid w:val="3D347EBE"/>
    <w:rsid w:val="3D363C36"/>
    <w:rsid w:val="3D393726"/>
    <w:rsid w:val="3D3B56F0"/>
    <w:rsid w:val="3D4201BB"/>
    <w:rsid w:val="3D4203D1"/>
    <w:rsid w:val="3D42082D"/>
    <w:rsid w:val="3D424389"/>
    <w:rsid w:val="3D4520CB"/>
    <w:rsid w:val="3D4C16AB"/>
    <w:rsid w:val="3D4D6987"/>
    <w:rsid w:val="3D4F2F4A"/>
    <w:rsid w:val="3D5347E8"/>
    <w:rsid w:val="3D54230E"/>
    <w:rsid w:val="3D5B369C"/>
    <w:rsid w:val="3D5B544A"/>
    <w:rsid w:val="3D5D7415"/>
    <w:rsid w:val="3D5F318D"/>
    <w:rsid w:val="3D605157"/>
    <w:rsid w:val="3D624A2B"/>
    <w:rsid w:val="3D6469F5"/>
    <w:rsid w:val="3D65276D"/>
    <w:rsid w:val="3D670293"/>
    <w:rsid w:val="3D672041"/>
    <w:rsid w:val="3D691975"/>
    <w:rsid w:val="3D6A7D83"/>
    <w:rsid w:val="3D6B6BFA"/>
    <w:rsid w:val="3D6E33D0"/>
    <w:rsid w:val="3D7309E6"/>
    <w:rsid w:val="3D736C38"/>
    <w:rsid w:val="3D785FFC"/>
    <w:rsid w:val="3D7B789B"/>
    <w:rsid w:val="3D7E17DF"/>
    <w:rsid w:val="3D842BF3"/>
    <w:rsid w:val="3D89020A"/>
    <w:rsid w:val="3D8E3A72"/>
    <w:rsid w:val="3D913562"/>
    <w:rsid w:val="3D995D0E"/>
    <w:rsid w:val="3D9C66F8"/>
    <w:rsid w:val="3D9D1F07"/>
    <w:rsid w:val="3DA47914"/>
    <w:rsid w:val="3DA54918"/>
    <w:rsid w:val="3DA7535D"/>
    <w:rsid w:val="3DAC214A"/>
    <w:rsid w:val="3DB039E8"/>
    <w:rsid w:val="3DB42DAD"/>
    <w:rsid w:val="3DB813B0"/>
    <w:rsid w:val="3DBB238D"/>
    <w:rsid w:val="3DBD4357"/>
    <w:rsid w:val="3DC34864"/>
    <w:rsid w:val="3DD22E3D"/>
    <w:rsid w:val="3DD516A1"/>
    <w:rsid w:val="3DD5344F"/>
    <w:rsid w:val="3DDB2643"/>
    <w:rsid w:val="3DDD0555"/>
    <w:rsid w:val="3DDD2303"/>
    <w:rsid w:val="3DDD67A7"/>
    <w:rsid w:val="3DDF7E2A"/>
    <w:rsid w:val="3DE11078"/>
    <w:rsid w:val="3DE37306"/>
    <w:rsid w:val="3DE61BC4"/>
    <w:rsid w:val="3DE713D4"/>
    <w:rsid w:val="3DE73182"/>
    <w:rsid w:val="3DEB2C72"/>
    <w:rsid w:val="3DF37D79"/>
    <w:rsid w:val="3DF96E3A"/>
    <w:rsid w:val="3DFC7B0B"/>
    <w:rsid w:val="3DFD29A6"/>
    <w:rsid w:val="3DFD4754"/>
    <w:rsid w:val="3E02320C"/>
    <w:rsid w:val="3E083824"/>
    <w:rsid w:val="3E0930F8"/>
    <w:rsid w:val="3E0D4FFF"/>
    <w:rsid w:val="3E0E070F"/>
    <w:rsid w:val="3E0E7BD0"/>
    <w:rsid w:val="3E104487"/>
    <w:rsid w:val="3E1113DE"/>
    <w:rsid w:val="3E126451"/>
    <w:rsid w:val="3E171CB9"/>
    <w:rsid w:val="3E18333B"/>
    <w:rsid w:val="3E186F76"/>
    <w:rsid w:val="3E1A5306"/>
    <w:rsid w:val="3E1A6DC1"/>
    <w:rsid w:val="3E1C107E"/>
    <w:rsid w:val="3E1F291C"/>
    <w:rsid w:val="3E216694"/>
    <w:rsid w:val="3E23240C"/>
    <w:rsid w:val="3E235794"/>
    <w:rsid w:val="3E247F32"/>
    <w:rsid w:val="3E295549"/>
    <w:rsid w:val="3E377C66"/>
    <w:rsid w:val="3E3C71F1"/>
    <w:rsid w:val="3E3D275E"/>
    <w:rsid w:val="3E3E4857"/>
    <w:rsid w:val="3E3F6B1A"/>
    <w:rsid w:val="3E46434D"/>
    <w:rsid w:val="3E467DCB"/>
    <w:rsid w:val="3E4D56DB"/>
    <w:rsid w:val="3E4D7489"/>
    <w:rsid w:val="3E4F1FA4"/>
    <w:rsid w:val="3E646581"/>
    <w:rsid w:val="3E693B97"/>
    <w:rsid w:val="3E6A7C37"/>
    <w:rsid w:val="3E6F439C"/>
    <w:rsid w:val="3E767CA2"/>
    <w:rsid w:val="3E78202C"/>
    <w:rsid w:val="3E7A3FF6"/>
    <w:rsid w:val="3E7C7D6E"/>
    <w:rsid w:val="3E8B6203"/>
    <w:rsid w:val="3E8E35FE"/>
    <w:rsid w:val="3E90381A"/>
    <w:rsid w:val="3E9055C8"/>
    <w:rsid w:val="3E921340"/>
    <w:rsid w:val="3E941710"/>
    <w:rsid w:val="3E95498C"/>
    <w:rsid w:val="3E9A01F4"/>
    <w:rsid w:val="3E9C2D0F"/>
    <w:rsid w:val="3E9C5D1B"/>
    <w:rsid w:val="3E9D66EF"/>
    <w:rsid w:val="3EA10976"/>
    <w:rsid w:val="3EA11895"/>
    <w:rsid w:val="3EA370A9"/>
    <w:rsid w:val="3EAB0654"/>
    <w:rsid w:val="3EB06725"/>
    <w:rsid w:val="3EB9437E"/>
    <w:rsid w:val="3EB94B1E"/>
    <w:rsid w:val="3EBF1FF6"/>
    <w:rsid w:val="3EC139D3"/>
    <w:rsid w:val="3EC55271"/>
    <w:rsid w:val="3EC7118D"/>
    <w:rsid w:val="3EC7548D"/>
    <w:rsid w:val="3ECC5112"/>
    <w:rsid w:val="3ED100BA"/>
    <w:rsid w:val="3ED92ACB"/>
    <w:rsid w:val="3EDD198D"/>
    <w:rsid w:val="3EE020AB"/>
    <w:rsid w:val="3EE31B9B"/>
    <w:rsid w:val="3EE6168C"/>
    <w:rsid w:val="3EE86526"/>
    <w:rsid w:val="3EE871B2"/>
    <w:rsid w:val="3EEA4CD8"/>
    <w:rsid w:val="3EED2A1A"/>
    <w:rsid w:val="3EF43DA9"/>
    <w:rsid w:val="3EF618CF"/>
    <w:rsid w:val="3EF94085"/>
    <w:rsid w:val="3EFF67B6"/>
    <w:rsid w:val="3F03223E"/>
    <w:rsid w:val="3F06588A"/>
    <w:rsid w:val="3F073ADC"/>
    <w:rsid w:val="3F0840B9"/>
    <w:rsid w:val="3F0A35CC"/>
    <w:rsid w:val="3F0A649A"/>
    <w:rsid w:val="3F0B2DA6"/>
    <w:rsid w:val="3F103381"/>
    <w:rsid w:val="3F1551DB"/>
    <w:rsid w:val="3F161F71"/>
    <w:rsid w:val="3F171845"/>
    <w:rsid w:val="3F1907ED"/>
    <w:rsid w:val="3F1E2BD3"/>
    <w:rsid w:val="3F1E4982"/>
    <w:rsid w:val="3F220916"/>
    <w:rsid w:val="3F281CA4"/>
    <w:rsid w:val="3F2C03A4"/>
    <w:rsid w:val="3F32667F"/>
    <w:rsid w:val="3F375A43"/>
    <w:rsid w:val="3F3917BB"/>
    <w:rsid w:val="3F397A0D"/>
    <w:rsid w:val="3F3E3276"/>
    <w:rsid w:val="3F3E5024"/>
    <w:rsid w:val="3F3E5CD5"/>
    <w:rsid w:val="3F3F3F3A"/>
    <w:rsid w:val="3F3F46D3"/>
    <w:rsid w:val="3F402B4A"/>
    <w:rsid w:val="3F407113"/>
    <w:rsid w:val="3F43263A"/>
    <w:rsid w:val="3F44662B"/>
    <w:rsid w:val="3F487C50"/>
    <w:rsid w:val="3F4A741D"/>
    <w:rsid w:val="3F4D34B9"/>
    <w:rsid w:val="3F4D4F72"/>
    <w:rsid w:val="3F4D5267"/>
    <w:rsid w:val="3F5465F5"/>
    <w:rsid w:val="3F5605BF"/>
    <w:rsid w:val="3F56236D"/>
    <w:rsid w:val="3F5900B0"/>
    <w:rsid w:val="3F591E5E"/>
    <w:rsid w:val="3F660E74"/>
    <w:rsid w:val="3F696545"/>
    <w:rsid w:val="3F6C393F"/>
    <w:rsid w:val="3F6D50FF"/>
    <w:rsid w:val="3F6D76B7"/>
    <w:rsid w:val="3F6E19E9"/>
    <w:rsid w:val="3F6F1681"/>
    <w:rsid w:val="3F710F55"/>
    <w:rsid w:val="3F757954"/>
    <w:rsid w:val="3F7942AE"/>
    <w:rsid w:val="3F7B7B8A"/>
    <w:rsid w:val="3F8073EA"/>
    <w:rsid w:val="3F811F08"/>
    <w:rsid w:val="3F817E67"/>
    <w:rsid w:val="3F8213B4"/>
    <w:rsid w:val="3F830C89"/>
    <w:rsid w:val="3F850EA5"/>
    <w:rsid w:val="3F8A0269"/>
    <w:rsid w:val="3F9115F7"/>
    <w:rsid w:val="3F917849"/>
    <w:rsid w:val="3F9335CD"/>
    <w:rsid w:val="3F995D91"/>
    <w:rsid w:val="3F9D1D4A"/>
    <w:rsid w:val="3FA94B93"/>
    <w:rsid w:val="3FAA26B9"/>
    <w:rsid w:val="3FAC01DF"/>
    <w:rsid w:val="3FAE3F57"/>
    <w:rsid w:val="3FAF13AE"/>
    <w:rsid w:val="3FAF7CCF"/>
    <w:rsid w:val="3FB12ADB"/>
    <w:rsid w:val="3FB3156E"/>
    <w:rsid w:val="3FBE7F13"/>
    <w:rsid w:val="3FC419CD"/>
    <w:rsid w:val="3FC65745"/>
    <w:rsid w:val="3FC75AA0"/>
    <w:rsid w:val="3FC96EB0"/>
    <w:rsid w:val="3FCA68B7"/>
    <w:rsid w:val="3FCF2120"/>
    <w:rsid w:val="3FD07349"/>
    <w:rsid w:val="3FD61700"/>
    <w:rsid w:val="3FDA2F9E"/>
    <w:rsid w:val="3FE55985"/>
    <w:rsid w:val="3FEB51AC"/>
    <w:rsid w:val="3FEC0F24"/>
    <w:rsid w:val="3FEE6A4A"/>
    <w:rsid w:val="3FF027C2"/>
    <w:rsid w:val="3FF102E8"/>
    <w:rsid w:val="3FF1653A"/>
    <w:rsid w:val="3FFA34B2"/>
    <w:rsid w:val="3FFA34E4"/>
    <w:rsid w:val="3FFA719D"/>
    <w:rsid w:val="3FFD2A12"/>
    <w:rsid w:val="3FFD4EDF"/>
    <w:rsid w:val="3FFF0C57"/>
    <w:rsid w:val="400647A9"/>
    <w:rsid w:val="400B13AA"/>
    <w:rsid w:val="400B3158"/>
    <w:rsid w:val="400E7546"/>
    <w:rsid w:val="40170548"/>
    <w:rsid w:val="40170617"/>
    <w:rsid w:val="401F4E55"/>
    <w:rsid w:val="40224945"/>
    <w:rsid w:val="40227D90"/>
    <w:rsid w:val="4024246B"/>
    <w:rsid w:val="40267F92"/>
    <w:rsid w:val="402814CD"/>
    <w:rsid w:val="402C1320"/>
    <w:rsid w:val="402E32EA"/>
    <w:rsid w:val="4030560B"/>
    <w:rsid w:val="40442B0E"/>
    <w:rsid w:val="40547751"/>
    <w:rsid w:val="40572841"/>
    <w:rsid w:val="405C1C05"/>
    <w:rsid w:val="405D772B"/>
    <w:rsid w:val="405E3BCF"/>
    <w:rsid w:val="405F1467"/>
    <w:rsid w:val="40630A6C"/>
    <w:rsid w:val="40646D0C"/>
    <w:rsid w:val="406665E0"/>
    <w:rsid w:val="406B009A"/>
    <w:rsid w:val="40723CDF"/>
    <w:rsid w:val="40763704"/>
    <w:rsid w:val="40776A3F"/>
    <w:rsid w:val="407A6407"/>
    <w:rsid w:val="407A652F"/>
    <w:rsid w:val="407A79D6"/>
    <w:rsid w:val="4081166C"/>
    <w:rsid w:val="408353E4"/>
    <w:rsid w:val="40864ED4"/>
    <w:rsid w:val="40866C82"/>
    <w:rsid w:val="40866FF7"/>
    <w:rsid w:val="408E3D89"/>
    <w:rsid w:val="408F7457"/>
    <w:rsid w:val="409018CD"/>
    <w:rsid w:val="40910A42"/>
    <w:rsid w:val="40923879"/>
    <w:rsid w:val="40970E8F"/>
    <w:rsid w:val="4099146F"/>
    <w:rsid w:val="40994C08"/>
    <w:rsid w:val="4099578D"/>
    <w:rsid w:val="409D0A43"/>
    <w:rsid w:val="40A57942"/>
    <w:rsid w:val="40A67324"/>
    <w:rsid w:val="40AA1674"/>
    <w:rsid w:val="40BB7697"/>
    <w:rsid w:val="40BE0DB2"/>
    <w:rsid w:val="40BE0F76"/>
    <w:rsid w:val="40C1373E"/>
    <w:rsid w:val="40C63523"/>
    <w:rsid w:val="40C655E2"/>
    <w:rsid w:val="40C67C6D"/>
    <w:rsid w:val="40C74FEA"/>
    <w:rsid w:val="40C854ED"/>
    <w:rsid w:val="40C8729B"/>
    <w:rsid w:val="40CB28E7"/>
    <w:rsid w:val="40CD582B"/>
    <w:rsid w:val="40CF4866"/>
    <w:rsid w:val="40D07EFD"/>
    <w:rsid w:val="40D257AC"/>
    <w:rsid w:val="40D7128C"/>
    <w:rsid w:val="40DA57F1"/>
    <w:rsid w:val="40DE4339"/>
    <w:rsid w:val="40E13EB9"/>
    <w:rsid w:val="40EC1096"/>
    <w:rsid w:val="40ED0AAF"/>
    <w:rsid w:val="40F621C4"/>
    <w:rsid w:val="40F67CBC"/>
    <w:rsid w:val="40FA31CC"/>
    <w:rsid w:val="40FC0CF2"/>
    <w:rsid w:val="40FE4A6B"/>
    <w:rsid w:val="40FF07E3"/>
    <w:rsid w:val="410127AD"/>
    <w:rsid w:val="410140EC"/>
    <w:rsid w:val="4101455B"/>
    <w:rsid w:val="410D6D4A"/>
    <w:rsid w:val="41171FD0"/>
    <w:rsid w:val="41195906"/>
    <w:rsid w:val="411A73CB"/>
    <w:rsid w:val="4125649B"/>
    <w:rsid w:val="41281AE7"/>
    <w:rsid w:val="412D48D8"/>
    <w:rsid w:val="412E3DA3"/>
    <w:rsid w:val="41314E40"/>
    <w:rsid w:val="41336AA3"/>
    <w:rsid w:val="4134048C"/>
    <w:rsid w:val="41370662"/>
    <w:rsid w:val="41391F47"/>
    <w:rsid w:val="4139769D"/>
    <w:rsid w:val="413E093E"/>
    <w:rsid w:val="413E6223"/>
    <w:rsid w:val="41405083"/>
    <w:rsid w:val="41441117"/>
    <w:rsid w:val="41485CAC"/>
    <w:rsid w:val="414B6FDA"/>
    <w:rsid w:val="414F0FC2"/>
    <w:rsid w:val="41516DB4"/>
    <w:rsid w:val="41641FEF"/>
    <w:rsid w:val="416A0352"/>
    <w:rsid w:val="416C5E78"/>
    <w:rsid w:val="416D24A3"/>
    <w:rsid w:val="41726F86"/>
    <w:rsid w:val="41742F7F"/>
    <w:rsid w:val="41766CF7"/>
    <w:rsid w:val="4177481D"/>
    <w:rsid w:val="417D0085"/>
    <w:rsid w:val="418036D2"/>
    <w:rsid w:val="41815E93"/>
    <w:rsid w:val="4183725B"/>
    <w:rsid w:val="418B6F45"/>
    <w:rsid w:val="418E1DC0"/>
    <w:rsid w:val="418E2292"/>
    <w:rsid w:val="418F7DB9"/>
    <w:rsid w:val="4192105F"/>
    <w:rsid w:val="419453CF"/>
    <w:rsid w:val="41A0381C"/>
    <w:rsid w:val="41A1329E"/>
    <w:rsid w:val="41A354FD"/>
    <w:rsid w:val="41AB3DDC"/>
    <w:rsid w:val="41AF3FB7"/>
    <w:rsid w:val="41B21056"/>
    <w:rsid w:val="41B36CDD"/>
    <w:rsid w:val="41BA23CC"/>
    <w:rsid w:val="41BE5A2A"/>
    <w:rsid w:val="41C12819"/>
    <w:rsid w:val="41C31810"/>
    <w:rsid w:val="41C537DA"/>
    <w:rsid w:val="41C63BEE"/>
    <w:rsid w:val="41C662EF"/>
    <w:rsid w:val="41CA7043"/>
    <w:rsid w:val="41CF2217"/>
    <w:rsid w:val="41CF4659"/>
    <w:rsid w:val="41D1217F"/>
    <w:rsid w:val="41D8350E"/>
    <w:rsid w:val="41DC3706"/>
    <w:rsid w:val="41DC535C"/>
    <w:rsid w:val="41DD28D2"/>
    <w:rsid w:val="41E023C2"/>
    <w:rsid w:val="41E33AEE"/>
    <w:rsid w:val="41E55C2A"/>
    <w:rsid w:val="41E90D89"/>
    <w:rsid w:val="41E952A1"/>
    <w:rsid w:val="41EA0DF0"/>
    <w:rsid w:val="41EC6FB9"/>
    <w:rsid w:val="41EE4ADF"/>
    <w:rsid w:val="41F12821"/>
    <w:rsid w:val="41F145CF"/>
    <w:rsid w:val="41F30347"/>
    <w:rsid w:val="41F52311"/>
    <w:rsid w:val="41F540C0"/>
    <w:rsid w:val="41F61BE6"/>
    <w:rsid w:val="41FA16D6"/>
    <w:rsid w:val="41FB36A0"/>
    <w:rsid w:val="42004812"/>
    <w:rsid w:val="4205007B"/>
    <w:rsid w:val="420E33EE"/>
    <w:rsid w:val="42132798"/>
    <w:rsid w:val="421502BE"/>
    <w:rsid w:val="42187DAE"/>
    <w:rsid w:val="421A1D78"/>
    <w:rsid w:val="421A3B26"/>
    <w:rsid w:val="42204EB5"/>
    <w:rsid w:val="42291FBB"/>
    <w:rsid w:val="42293D69"/>
    <w:rsid w:val="42295B17"/>
    <w:rsid w:val="422A188F"/>
    <w:rsid w:val="42336996"/>
    <w:rsid w:val="42380450"/>
    <w:rsid w:val="423821FE"/>
    <w:rsid w:val="423A0FD9"/>
    <w:rsid w:val="423A3BCC"/>
    <w:rsid w:val="423C133E"/>
    <w:rsid w:val="424C5CAA"/>
    <w:rsid w:val="424E37D0"/>
    <w:rsid w:val="425154F8"/>
    <w:rsid w:val="4255690C"/>
    <w:rsid w:val="4258464E"/>
    <w:rsid w:val="425B7C9B"/>
    <w:rsid w:val="425C413F"/>
    <w:rsid w:val="425D3A13"/>
    <w:rsid w:val="42612D34"/>
    <w:rsid w:val="42645DC4"/>
    <w:rsid w:val="426D634C"/>
    <w:rsid w:val="42721D88"/>
    <w:rsid w:val="427C3081"/>
    <w:rsid w:val="42816FF2"/>
    <w:rsid w:val="42843695"/>
    <w:rsid w:val="42843BC2"/>
    <w:rsid w:val="428561CB"/>
    <w:rsid w:val="428611BC"/>
    <w:rsid w:val="42890CAC"/>
    <w:rsid w:val="42892A5A"/>
    <w:rsid w:val="428C585C"/>
    <w:rsid w:val="428C60A6"/>
    <w:rsid w:val="428D254A"/>
    <w:rsid w:val="42903DE8"/>
    <w:rsid w:val="42931F04"/>
    <w:rsid w:val="4294605B"/>
    <w:rsid w:val="429733C9"/>
    <w:rsid w:val="429B44C9"/>
    <w:rsid w:val="42A22417"/>
    <w:rsid w:val="42A35700"/>
    <w:rsid w:val="42A47894"/>
    <w:rsid w:val="42A955DC"/>
    <w:rsid w:val="42AA5F72"/>
    <w:rsid w:val="42B52239"/>
    <w:rsid w:val="42B5384F"/>
    <w:rsid w:val="42B775C7"/>
    <w:rsid w:val="42BA42E3"/>
    <w:rsid w:val="42BD444E"/>
    <w:rsid w:val="42C13FA2"/>
    <w:rsid w:val="42C24102"/>
    <w:rsid w:val="42C341BE"/>
    <w:rsid w:val="42C615B8"/>
    <w:rsid w:val="42CA4EAC"/>
    <w:rsid w:val="42D40179"/>
    <w:rsid w:val="42D737C5"/>
    <w:rsid w:val="42DA7950"/>
    <w:rsid w:val="42E20147"/>
    <w:rsid w:val="42E3216A"/>
    <w:rsid w:val="42E47C90"/>
    <w:rsid w:val="42E87780"/>
    <w:rsid w:val="42ED1DD1"/>
    <w:rsid w:val="42FC76D0"/>
    <w:rsid w:val="430420E0"/>
    <w:rsid w:val="430640AA"/>
    <w:rsid w:val="430D71E7"/>
    <w:rsid w:val="43122A4F"/>
    <w:rsid w:val="431324CB"/>
    <w:rsid w:val="43140575"/>
    <w:rsid w:val="43144A19"/>
    <w:rsid w:val="431542ED"/>
    <w:rsid w:val="431A7B56"/>
    <w:rsid w:val="431D0717"/>
    <w:rsid w:val="431D372B"/>
    <w:rsid w:val="4320516C"/>
    <w:rsid w:val="43252782"/>
    <w:rsid w:val="432A3DCF"/>
    <w:rsid w:val="432C7597"/>
    <w:rsid w:val="432D5ADB"/>
    <w:rsid w:val="43302ED5"/>
    <w:rsid w:val="4339622E"/>
    <w:rsid w:val="433A51B1"/>
    <w:rsid w:val="433A6FE6"/>
    <w:rsid w:val="433C5D1E"/>
    <w:rsid w:val="434075BC"/>
    <w:rsid w:val="434123BC"/>
    <w:rsid w:val="43421586"/>
    <w:rsid w:val="43443F1E"/>
    <w:rsid w:val="43454BD3"/>
    <w:rsid w:val="4350713C"/>
    <w:rsid w:val="435672FF"/>
    <w:rsid w:val="435D5832"/>
    <w:rsid w:val="436239D7"/>
    <w:rsid w:val="43655275"/>
    <w:rsid w:val="436653E0"/>
    <w:rsid w:val="43672D9B"/>
    <w:rsid w:val="4368266F"/>
    <w:rsid w:val="436D237B"/>
    <w:rsid w:val="43727992"/>
    <w:rsid w:val="43733496"/>
    <w:rsid w:val="437901B2"/>
    <w:rsid w:val="43790D20"/>
    <w:rsid w:val="4379487C"/>
    <w:rsid w:val="437B23A2"/>
    <w:rsid w:val="437E6337"/>
    <w:rsid w:val="438433D3"/>
    <w:rsid w:val="43843DC2"/>
    <w:rsid w:val="43866F99"/>
    <w:rsid w:val="438A4CDB"/>
    <w:rsid w:val="43902128"/>
    <w:rsid w:val="43930246"/>
    <w:rsid w:val="439711A6"/>
    <w:rsid w:val="43973DCE"/>
    <w:rsid w:val="43A55671"/>
    <w:rsid w:val="43A86F10"/>
    <w:rsid w:val="43AC6A00"/>
    <w:rsid w:val="43AE6F7D"/>
    <w:rsid w:val="43B00525"/>
    <w:rsid w:val="43B14016"/>
    <w:rsid w:val="43B34232"/>
    <w:rsid w:val="43B35FE0"/>
    <w:rsid w:val="43B36AEE"/>
    <w:rsid w:val="43B6162D"/>
    <w:rsid w:val="43B9736F"/>
    <w:rsid w:val="43C006FD"/>
    <w:rsid w:val="43C04259"/>
    <w:rsid w:val="43C24475"/>
    <w:rsid w:val="43C401ED"/>
    <w:rsid w:val="43C53F65"/>
    <w:rsid w:val="43C71A8C"/>
    <w:rsid w:val="43C81360"/>
    <w:rsid w:val="43C8760E"/>
    <w:rsid w:val="43CD667C"/>
    <w:rsid w:val="43CE2E1A"/>
    <w:rsid w:val="43D45F57"/>
    <w:rsid w:val="43DD305D"/>
    <w:rsid w:val="43E02B4D"/>
    <w:rsid w:val="43E36C7A"/>
    <w:rsid w:val="43EE526A"/>
    <w:rsid w:val="43F14D5A"/>
    <w:rsid w:val="43F62371"/>
    <w:rsid w:val="43FB7987"/>
    <w:rsid w:val="44022AC4"/>
    <w:rsid w:val="4404683C"/>
    <w:rsid w:val="44071E88"/>
    <w:rsid w:val="440C749E"/>
    <w:rsid w:val="440E3217"/>
    <w:rsid w:val="441445A5"/>
    <w:rsid w:val="44175E54"/>
    <w:rsid w:val="441C7F8A"/>
    <w:rsid w:val="441D78FE"/>
    <w:rsid w:val="44202F4A"/>
    <w:rsid w:val="44222311"/>
    <w:rsid w:val="44223EC2"/>
    <w:rsid w:val="44226CC2"/>
    <w:rsid w:val="44241CD7"/>
    <w:rsid w:val="44246EDE"/>
    <w:rsid w:val="4427077C"/>
    <w:rsid w:val="443D58AA"/>
    <w:rsid w:val="443F7874"/>
    <w:rsid w:val="444255B6"/>
    <w:rsid w:val="44450C02"/>
    <w:rsid w:val="444F55DD"/>
    <w:rsid w:val="4450382F"/>
    <w:rsid w:val="44550E45"/>
    <w:rsid w:val="44557097"/>
    <w:rsid w:val="44567ED7"/>
    <w:rsid w:val="446175D3"/>
    <w:rsid w:val="44625310"/>
    <w:rsid w:val="44661A1F"/>
    <w:rsid w:val="446B0669"/>
    <w:rsid w:val="446E2DED"/>
    <w:rsid w:val="4473751E"/>
    <w:rsid w:val="4486116B"/>
    <w:rsid w:val="44872FC9"/>
    <w:rsid w:val="448E7078"/>
    <w:rsid w:val="44901E7E"/>
    <w:rsid w:val="44A616A1"/>
    <w:rsid w:val="44A8626A"/>
    <w:rsid w:val="44A91191"/>
    <w:rsid w:val="44A973E3"/>
    <w:rsid w:val="44AB4F09"/>
    <w:rsid w:val="44AE67A8"/>
    <w:rsid w:val="44B042CE"/>
    <w:rsid w:val="44B244EA"/>
    <w:rsid w:val="44B5165A"/>
    <w:rsid w:val="44B518E4"/>
    <w:rsid w:val="44B738AE"/>
    <w:rsid w:val="44B83DE4"/>
    <w:rsid w:val="44BE2E8F"/>
    <w:rsid w:val="44BF09B5"/>
    <w:rsid w:val="44BF2763"/>
    <w:rsid w:val="44C10289"/>
    <w:rsid w:val="44C4421D"/>
    <w:rsid w:val="44C61D43"/>
    <w:rsid w:val="44CB0EE8"/>
    <w:rsid w:val="44CB1108"/>
    <w:rsid w:val="44CB3B1B"/>
    <w:rsid w:val="44CD14E0"/>
    <w:rsid w:val="44CF1BF0"/>
    <w:rsid w:val="44D0671E"/>
    <w:rsid w:val="44D37FBC"/>
    <w:rsid w:val="44E4041B"/>
    <w:rsid w:val="44E4666D"/>
    <w:rsid w:val="44E81CBA"/>
    <w:rsid w:val="44E83CA9"/>
    <w:rsid w:val="44F06DC0"/>
    <w:rsid w:val="44F25523"/>
    <w:rsid w:val="44F42EE1"/>
    <w:rsid w:val="44F63F31"/>
    <w:rsid w:val="44F71EFD"/>
    <w:rsid w:val="44F85C75"/>
    <w:rsid w:val="44F87A23"/>
    <w:rsid w:val="44FA379B"/>
    <w:rsid w:val="44FA4815"/>
    <w:rsid w:val="45034D45"/>
    <w:rsid w:val="45097E82"/>
    <w:rsid w:val="4511711A"/>
    <w:rsid w:val="451231DA"/>
    <w:rsid w:val="45141548"/>
    <w:rsid w:val="451505D5"/>
    <w:rsid w:val="4517434D"/>
    <w:rsid w:val="451A3E3D"/>
    <w:rsid w:val="451E56DB"/>
    <w:rsid w:val="452151CC"/>
    <w:rsid w:val="452409D7"/>
    <w:rsid w:val="45246A6A"/>
    <w:rsid w:val="45280308"/>
    <w:rsid w:val="452F5B3A"/>
    <w:rsid w:val="453250A1"/>
    <w:rsid w:val="453D4D6F"/>
    <w:rsid w:val="453E5D7D"/>
    <w:rsid w:val="454315E6"/>
    <w:rsid w:val="454A2974"/>
    <w:rsid w:val="454B2248"/>
    <w:rsid w:val="45505AB1"/>
    <w:rsid w:val="455235D7"/>
    <w:rsid w:val="45561AB0"/>
    <w:rsid w:val="45596713"/>
    <w:rsid w:val="455A06DD"/>
    <w:rsid w:val="455A248C"/>
    <w:rsid w:val="45633A36"/>
    <w:rsid w:val="45637592"/>
    <w:rsid w:val="456652D4"/>
    <w:rsid w:val="4568104C"/>
    <w:rsid w:val="456926CF"/>
    <w:rsid w:val="456D6663"/>
    <w:rsid w:val="456E41DF"/>
    <w:rsid w:val="456E4C88"/>
    <w:rsid w:val="456F738A"/>
    <w:rsid w:val="457C0A82"/>
    <w:rsid w:val="457E5811"/>
    <w:rsid w:val="45800144"/>
    <w:rsid w:val="458946E9"/>
    <w:rsid w:val="45911A11"/>
    <w:rsid w:val="45986D8C"/>
    <w:rsid w:val="45992C39"/>
    <w:rsid w:val="459B4382"/>
    <w:rsid w:val="45A007E6"/>
    <w:rsid w:val="45A00D58"/>
    <w:rsid w:val="45A16D05"/>
    <w:rsid w:val="45AD4CB1"/>
    <w:rsid w:val="45AE54CB"/>
    <w:rsid w:val="45B1654F"/>
    <w:rsid w:val="45B26679"/>
    <w:rsid w:val="45B61DB8"/>
    <w:rsid w:val="45B63B66"/>
    <w:rsid w:val="45C16A25"/>
    <w:rsid w:val="45CA13BF"/>
    <w:rsid w:val="45CA1598"/>
    <w:rsid w:val="45CA7611"/>
    <w:rsid w:val="45CC5137"/>
    <w:rsid w:val="45CC5E83"/>
    <w:rsid w:val="45CF69D6"/>
    <w:rsid w:val="45D466E2"/>
    <w:rsid w:val="45D65FB6"/>
    <w:rsid w:val="45DA5812"/>
    <w:rsid w:val="45DE130F"/>
    <w:rsid w:val="45E17E9C"/>
    <w:rsid w:val="45E5269D"/>
    <w:rsid w:val="45E71F71"/>
    <w:rsid w:val="45E87A97"/>
    <w:rsid w:val="45F11042"/>
    <w:rsid w:val="45F244DE"/>
    <w:rsid w:val="45F4653A"/>
    <w:rsid w:val="45F621B4"/>
    <w:rsid w:val="45F67B77"/>
    <w:rsid w:val="45F97EF6"/>
    <w:rsid w:val="45FB654D"/>
    <w:rsid w:val="45FE72BB"/>
    <w:rsid w:val="46001285"/>
    <w:rsid w:val="46014AB2"/>
    <w:rsid w:val="46032B23"/>
    <w:rsid w:val="460C70AB"/>
    <w:rsid w:val="46113D93"/>
    <w:rsid w:val="46125A46"/>
    <w:rsid w:val="46164604"/>
    <w:rsid w:val="4618037D"/>
    <w:rsid w:val="46184820"/>
    <w:rsid w:val="461B1C1B"/>
    <w:rsid w:val="461D1E37"/>
    <w:rsid w:val="461E004E"/>
    <w:rsid w:val="461F516B"/>
    <w:rsid w:val="46207231"/>
    <w:rsid w:val="46256F3D"/>
    <w:rsid w:val="462907DC"/>
    <w:rsid w:val="462A65A2"/>
    <w:rsid w:val="462C02CC"/>
    <w:rsid w:val="462E5CB9"/>
    <w:rsid w:val="46357180"/>
    <w:rsid w:val="46377A12"/>
    <w:rsid w:val="463902F3"/>
    <w:rsid w:val="463A1ECC"/>
    <w:rsid w:val="463D7073"/>
    <w:rsid w:val="463E0D14"/>
    <w:rsid w:val="4646138E"/>
    <w:rsid w:val="464E1FF0"/>
    <w:rsid w:val="464F5C0D"/>
    <w:rsid w:val="46537607"/>
    <w:rsid w:val="465515D1"/>
    <w:rsid w:val="46584C1D"/>
    <w:rsid w:val="465E7D59"/>
    <w:rsid w:val="4665558C"/>
    <w:rsid w:val="46670B8F"/>
    <w:rsid w:val="4674757D"/>
    <w:rsid w:val="46753A21"/>
    <w:rsid w:val="46770F87"/>
    <w:rsid w:val="46777349"/>
    <w:rsid w:val="467852BF"/>
    <w:rsid w:val="467B090B"/>
    <w:rsid w:val="467F21AA"/>
    <w:rsid w:val="46804AC7"/>
    <w:rsid w:val="46821C9A"/>
    <w:rsid w:val="46873754"/>
    <w:rsid w:val="46921B54"/>
    <w:rsid w:val="469B2D5C"/>
    <w:rsid w:val="46A61E2C"/>
    <w:rsid w:val="46AD52B3"/>
    <w:rsid w:val="46AE0CE1"/>
    <w:rsid w:val="46B300A5"/>
    <w:rsid w:val="46B362F7"/>
    <w:rsid w:val="46BB787A"/>
    <w:rsid w:val="46BC0A08"/>
    <w:rsid w:val="46BD2CD2"/>
    <w:rsid w:val="46BF0ACA"/>
    <w:rsid w:val="46BF2EEE"/>
    <w:rsid w:val="46BF4C9C"/>
    <w:rsid w:val="46C04C97"/>
    <w:rsid w:val="46C9474D"/>
    <w:rsid w:val="46CD355E"/>
    <w:rsid w:val="46D149CF"/>
    <w:rsid w:val="46D36999"/>
    <w:rsid w:val="46D5626E"/>
    <w:rsid w:val="46D70238"/>
    <w:rsid w:val="46D955A7"/>
    <w:rsid w:val="46D97270"/>
    <w:rsid w:val="46DD15C6"/>
    <w:rsid w:val="46E02B43"/>
    <w:rsid w:val="46E22739"/>
    <w:rsid w:val="46E26BDC"/>
    <w:rsid w:val="46E42955"/>
    <w:rsid w:val="46E93AC7"/>
    <w:rsid w:val="46ED0E13"/>
    <w:rsid w:val="46F13E60"/>
    <w:rsid w:val="46F56910"/>
    <w:rsid w:val="46F72688"/>
    <w:rsid w:val="46FF778E"/>
    <w:rsid w:val="47044DA5"/>
    <w:rsid w:val="470923BB"/>
    <w:rsid w:val="470E2EE7"/>
    <w:rsid w:val="470E352E"/>
    <w:rsid w:val="470E79D1"/>
    <w:rsid w:val="471054F8"/>
    <w:rsid w:val="47133957"/>
    <w:rsid w:val="4714323A"/>
    <w:rsid w:val="471919C1"/>
    <w:rsid w:val="471A69C9"/>
    <w:rsid w:val="471E7C15"/>
    <w:rsid w:val="471F1BDF"/>
    <w:rsid w:val="472114B3"/>
    <w:rsid w:val="47250D5F"/>
    <w:rsid w:val="472965B9"/>
    <w:rsid w:val="472D42FC"/>
    <w:rsid w:val="473236C0"/>
    <w:rsid w:val="47332F94"/>
    <w:rsid w:val="47342495"/>
    <w:rsid w:val="47356D0C"/>
    <w:rsid w:val="47370CD6"/>
    <w:rsid w:val="4737208D"/>
    <w:rsid w:val="473A4147"/>
    <w:rsid w:val="473E02B7"/>
    <w:rsid w:val="473E2065"/>
    <w:rsid w:val="473F7B8B"/>
    <w:rsid w:val="4743767B"/>
    <w:rsid w:val="474451A1"/>
    <w:rsid w:val="47484C91"/>
    <w:rsid w:val="47503B46"/>
    <w:rsid w:val="47507FEA"/>
    <w:rsid w:val="475353E4"/>
    <w:rsid w:val="47543636"/>
    <w:rsid w:val="47571378"/>
    <w:rsid w:val="475911F7"/>
    <w:rsid w:val="475C073D"/>
    <w:rsid w:val="475E6263"/>
    <w:rsid w:val="47680E90"/>
    <w:rsid w:val="47721D0E"/>
    <w:rsid w:val="477737C9"/>
    <w:rsid w:val="477912EF"/>
    <w:rsid w:val="4779329E"/>
    <w:rsid w:val="477E6905"/>
    <w:rsid w:val="47811F51"/>
    <w:rsid w:val="478A7058"/>
    <w:rsid w:val="478F466E"/>
    <w:rsid w:val="47901267"/>
    <w:rsid w:val="479D0AC1"/>
    <w:rsid w:val="479E6FA7"/>
    <w:rsid w:val="47A07E0C"/>
    <w:rsid w:val="47A619B8"/>
    <w:rsid w:val="47A829EE"/>
    <w:rsid w:val="47AA594C"/>
    <w:rsid w:val="47AA76FA"/>
    <w:rsid w:val="47AB5220"/>
    <w:rsid w:val="47AD0F98"/>
    <w:rsid w:val="47B746AA"/>
    <w:rsid w:val="47B916EB"/>
    <w:rsid w:val="47BC11DC"/>
    <w:rsid w:val="47BE4F54"/>
    <w:rsid w:val="47BE6D02"/>
    <w:rsid w:val="47BF7F9B"/>
    <w:rsid w:val="47C36A0E"/>
    <w:rsid w:val="47C6205A"/>
    <w:rsid w:val="47CA7D9C"/>
    <w:rsid w:val="47CF7161"/>
    <w:rsid w:val="47D26C51"/>
    <w:rsid w:val="47DB3D58"/>
    <w:rsid w:val="47DB5B06"/>
    <w:rsid w:val="47DC3CA8"/>
    <w:rsid w:val="47DC523D"/>
    <w:rsid w:val="47DD7AD0"/>
    <w:rsid w:val="47DF34E2"/>
    <w:rsid w:val="47E66258"/>
    <w:rsid w:val="47E81FD1"/>
    <w:rsid w:val="47EF37F7"/>
    <w:rsid w:val="47F6293F"/>
    <w:rsid w:val="47FE17F4"/>
    <w:rsid w:val="480078A2"/>
    <w:rsid w:val="48030BB8"/>
    <w:rsid w:val="48054931"/>
    <w:rsid w:val="480701F9"/>
    <w:rsid w:val="480A136E"/>
    <w:rsid w:val="480B5E1D"/>
    <w:rsid w:val="481903DC"/>
    <w:rsid w:val="481E59F2"/>
    <w:rsid w:val="481F27F7"/>
    <w:rsid w:val="4820176A"/>
    <w:rsid w:val="482254E2"/>
    <w:rsid w:val="48270D4B"/>
    <w:rsid w:val="482B265C"/>
    <w:rsid w:val="482D3E87"/>
    <w:rsid w:val="48335D86"/>
    <w:rsid w:val="483416BA"/>
    <w:rsid w:val="48345216"/>
    <w:rsid w:val="48362D3C"/>
    <w:rsid w:val="483671E0"/>
    <w:rsid w:val="4839282C"/>
    <w:rsid w:val="483E7E42"/>
    <w:rsid w:val="484216E1"/>
    <w:rsid w:val="48457423"/>
    <w:rsid w:val="48470AC0"/>
    <w:rsid w:val="484835B6"/>
    <w:rsid w:val="484C255F"/>
    <w:rsid w:val="484D0086"/>
    <w:rsid w:val="484E0AD2"/>
    <w:rsid w:val="485338EE"/>
    <w:rsid w:val="485633DE"/>
    <w:rsid w:val="48580F04"/>
    <w:rsid w:val="485B4F92"/>
    <w:rsid w:val="485E2293"/>
    <w:rsid w:val="486017C8"/>
    <w:rsid w:val="48627FD5"/>
    <w:rsid w:val="48642021"/>
    <w:rsid w:val="48645AFB"/>
    <w:rsid w:val="48650157"/>
    <w:rsid w:val="4867383D"/>
    <w:rsid w:val="48690C2E"/>
    <w:rsid w:val="486A1C17"/>
    <w:rsid w:val="486D24D6"/>
    <w:rsid w:val="486E0728"/>
    <w:rsid w:val="4870272E"/>
    <w:rsid w:val="48723461"/>
    <w:rsid w:val="487675DC"/>
    <w:rsid w:val="487A051B"/>
    <w:rsid w:val="487B1097"/>
    <w:rsid w:val="487C1662"/>
    <w:rsid w:val="48825F81"/>
    <w:rsid w:val="48831CF9"/>
    <w:rsid w:val="48844F36"/>
    <w:rsid w:val="48867CD4"/>
    <w:rsid w:val="4889543F"/>
    <w:rsid w:val="48897310"/>
    <w:rsid w:val="488C32A4"/>
    <w:rsid w:val="488F68F0"/>
    <w:rsid w:val="489D2DBB"/>
    <w:rsid w:val="48A36846"/>
    <w:rsid w:val="48A4239B"/>
    <w:rsid w:val="48A534D7"/>
    <w:rsid w:val="48A64365"/>
    <w:rsid w:val="48A73C3A"/>
    <w:rsid w:val="48AA54D8"/>
    <w:rsid w:val="48B325DE"/>
    <w:rsid w:val="48B9571B"/>
    <w:rsid w:val="48BA396D"/>
    <w:rsid w:val="48BA59AE"/>
    <w:rsid w:val="48BB2C0D"/>
    <w:rsid w:val="48BB7D26"/>
    <w:rsid w:val="48BC0D87"/>
    <w:rsid w:val="48BD345D"/>
    <w:rsid w:val="48C04DCB"/>
    <w:rsid w:val="48C26CC5"/>
    <w:rsid w:val="48C4659A"/>
    <w:rsid w:val="48C90054"/>
    <w:rsid w:val="48CA7928"/>
    <w:rsid w:val="48CD108C"/>
    <w:rsid w:val="48CD2E1A"/>
    <w:rsid w:val="48D10CB7"/>
    <w:rsid w:val="48D80297"/>
    <w:rsid w:val="48DB1977"/>
    <w:rsid w:val="48DC7D87"/>
    <w:rsid w:val="48DF0B70"/>
    <w:rsid w:val="48E00EFA"/>
    <w:rsid w:val="48EC5AF0"/>
    <w:rsid w:val="48FA645F"/>
    <w:rsid w:val="49044BE8"/>
    <w:rsid w:val="490525B3"/>
    <w:rsid w:val="490D78A6"/>
    <w:rsid w:val="490E1F0B"/>
    <w:rsid w:val="490E2E80"/>
    <w:rsid w:val="491312CF"/>
    <w:rsid w:val="491A265E"/>
    <w:rsid w:val="491D5CAA"/>
    <w:rsid w:val="491F1F8A"/>
    <w:rsid w:val="491F7C74"/>
    <w:rsid w:val="49204B5B"/>
    <w:rsid w:val="49246237"/>
    <w:rsid w:val="49255DFC"/>
    <w:rsid w:val="492732ED"/>
    <w:rsid w:val="492D05E3"/>
    <w:rsid w:val="49331971"/>
    <w:rsid w:val="4933371F"/>
    <w:rsid w:val="49357497"/>
    <w:rsid w:val="49362ED7"/>
    <w:rsid w:val="49385C0C"/>
    <w:rsid w:val="493C25D4"/>
    <w:rsid w:val="493C4382"/>
    <w:rsid w:val="493D3419"/>
    <w:rsid w:val="493F0316"/>
    <w:rsid w:val="493F54EA"/>
    <w:rsid w:val="49410206"/>
    <w:rsid w:val="4941103F"/>
    <w:rsid w:val="494816E4"/>
    <w:rsid w:val="494B0A69"/>
    <w:rsid w:val="494B472D"/>
    <w:rsid w:val="494B6CBB"/>
    <w:rsid w:val="49585496"/>
    <w:rsid w:val="495A6EFE"/>
    <w:rsid w:val="495F2766"/>
    <w:rsid w:val="496F62BB"/>
    <w:rsid w:val="497266D3"/>
    <w:rsid w:val="4977185E"/>
    <w:rsid w:val="4977360C"/>
    <w:rsid w:val="49777AB0"/>
    <w:rsid w:val="498015D8"/>
    <w:rsid w:val="49804BB7"/>
    <w:rsid w:val="49815D26"/>
    <w:rsid w:val="49816239"/>
    <w:rsid w:val="49875199"/>
    <w:rsid w:val="498A77E3"/>
    <w:rsid w:val="499046CE"/>
    <w:rsid w:val="499441BE"/>
    <w:rsid w:val="49946280"/>
    <w:rsid w:val="49951AC7"/>
    <w:rsid w:val="49973CAE"/>
    <w:rsid w:val="49990A3E"/>
    <w:rsid w:val="499A452E"/>
    <w:rsid w:val="499A72FA"/>
    <w:rsid w:val="499F2B63"/>
    <w:rsid w:val="49A03A49"/>
    <w:rsid w:val="49A32653"/>
    <w:rsid w:val="49A3380F"/>
    <w:rsid w:val="49A47292"/>
    <w:rsid w:val="49A81A70"/>
    <w:rsid w:val="49A918FB"/>
    <w:rsid w:val="49AA1FDC"/>
    <w:rsid w:val="49AA31B5"/>
    <w:rsid w:val="49AB775A"/>
    <w:rsid w:val="49AE2DA6"/>
    <w:rsid w:val="49AF0FF8"/>
    <w:rsid w:val="49AF7622"/>
    <w:rsid w:val="49BA799D"/>
    <w:rsid w:val="49BC2721"/>
    <w:rsid w:val="49C56A6D"/>
    <w:rsid w:val="49CA7BE0"/>
    <w:rsid w:val="49CF169A"/>
    <w:rsid w:val="49D2118A"/>
    <w:rsid w:val="49D40682"/>
    <w:rsid w:val="49D61FF8"/>
    <w:rsid w:val="49D7054F"/>
    <w:rsid w:val="49D767A1"/>
    <w:rsid w:val="49DB5E2A"/>
    <w:rsid w:val="49DC3DB7"/>
    <w:rsid w:val="49DC54D6"/>
    <w:rsid w:val="49DC7715"/>
    <w:rsid w:val="49E01723"/>
    <w:rsid w:val="49E07403"/>
    <w:rsid w:val="49E1317B"/>
    <w:rsid w:val="49E968C3"/>
    <w:rsid w:val="49EC224C"/>
    <w:rsid w:val="49EF3AEA"/>
    <w:rsid w:val="49F033BE"/>
    <w:rsid w:val="49F20EE5"/>
    <w:rsid w:val="49F92273"/>
    <w:rsid w:val="49FB423D"/>
    <w:rsid w:val="49FC1D63"/>
    <w:rsid w:val="49FD6207"/>
    <w:rsid w:val="4A023139"/>
    <w:rsid w:val="4A0328F9"/>
    <w:rsid w:val="4A044A63"/>
    <w:rsid w:val="4A0B1011"/>
    <w:rsid w:val="4A0D21C2"/>
    <w:rsid w:val="4A0D5D1E"/>
    <w:rsid w:val="4A0F5F3A"/>
    <w:rsid w:val="4A0F7CE8"/>
    <w:rsid w:val="4A11580F"/>
    <w:rsid w:val="4A17094B"/>
    <w:rsid w:val="4A174DEF"/>
    <w:rsid w:val="4A1E5D46"/>
    <w:rsid w:val="4A1E617D"/>
    <w:rsid w:val="4A23077F"/>
    <w:rsid w:val="4A235542"/>
    <w:rsid w:val="4A247CED"/>
    <w:rsid w:val="4A27000B"/>
    <w:rsid w:val="4A2819C9"/>
    <w:rsid w:val="4A282B58"/>
    <w:rsid w:val="4A2C2648"/>
    <w:rsid w:val="4A312113"/>
    <w:rsid w:val="4A3239D7"/>
    <w:rsid w:val="4A353E64"/>
    <w:rsid w:val="4A3634C7"/>
    <w:rsid w:val="4A38723F"/>
    <w:rsid w:val="4A392FB7"/>
    <w:rsid w:val="4A396B13"/>
    <w:rsid w:val="4A3B0ADD"/>
    <w:rsid w:val="4A3C70D0"/>
    <w:rsid w:val="4A435BE4"/>
    <w:rsid w:val="4A4756D4"/>
    <w:rsid w:val="4A492030"/>
    <w:rsid w:val="4A4D606C"/>
    <w:rsid w:val="4A600544"/>
    <w:rsid w:val="4A6022F2"/>
    <w:rsid w:val="4A633B90"/>
    <w:rsid w:val="4A6873F9"/>
    <w:rsid w:val="4A695243"/>
    <w:rsid w:val="4A6A3171"/>
    <w:rsid w:val="4A6F4C2B"/>
    <w:rsid w:val="4A730277"/>
    <w:rsid w:val="4A767D68"/>
    <w:rsid w:val="4A791606"/>
    <w:rsid w:val="4A7A7858"/>
    <w:rsid w:val="4A7B576F"/>
    <w:rsid w:val="4A7D4C52"/>
    <w:rsid w:val="4A7E09CA"/>
    <w:rsid w:val="4A82495E"/>
    <w:rsid w:val="4A82670C"/>
    <w:rsid w:val="4A851D59"/>
    <w:rsid w:val="4A857FAB"/>
    <w:rsid w:val="4A873D23"/>
    <w:rsid w:val="4A8C38A0"/>
    <w:rsid w:val="4A8E09AD"/>
    <w:rsid w:val="4A8F4985"/>
    <w:rsid w:val="4A914BA1"/>
    <w:rsid w:val="4A9B05A9"/>
    <w:rsid w:val="4A9D52F4"/>
    <w:rsid w:val="4AA2290B"/>
    <w:rsid w:val="4AA30431"/>
    <w:rsid w:val="4AAA6481"/>
    <w:rsid w:val="4AAD305D"/>
    <w:rsid w:val="4AAE5753"/>
    <w:rsid w:val="4AAF6887"/>
    <w:rsid w:val="4AB04516"/>
    <w:rsid w:val="4AB16FF2"/>
    <w:rsid w:val="4AB50890"/>
    <w:rsid w:val="4ABA7398"/>
    <w:rsid w:val="4ABD30CC"/>
    <w:rsid w:val="4AC07235"/>
    <w:rsid w:val="4AC14F54"/>
    <w:rsid w:val="4ACA3C0F"/>
    <w:rsid w:val="4ACA56D1"/>
    <w:rsid w:val="4AD11442"/>
    <w:rsid w:val="4AD36F68"/>
    <w:rsid w:val="4AD60806"/>
    <w:rsid w:val="4ADD0B44"/>
    <w:rsid w:val="4ADD6A7B"/>
    <w:rsid w:val="4ADE7383"/>
    <w:rsid w:val="4ADF355A"/>
    <w:rsid w:val="4ADF3B5F"/>
    <w:rsid w:val="4AE051E1"/>
    <w:rsid w:val="4AE5022F"/>
    <w:rsid w:val="4AE7656F"/>
    <w:rsid w:val="4AE76CFB"/>
    <w:rsid w:val="4AEA4061"/>
    <w:rsid w:val="4AEE3DA2"/>
    <w:rsid w:val="4AEE5B50"/>
    <w:rsid w:val="4AF13892"/>
    <w:rsid w:val="4AF33CC3"/>
    <w:rsid w:val="4AF3760A"/>
    <w:rsid w:val="4AF60EA8"/>
    <w:rsid w:val="4AF63D85"/>
    <w:rsid w:val="4AF95AE8"/>
    <w:rsid w:val="4AFB026D"/>
    <w:rsid w:val="4AFE2ACC"/>
    <w:rsid w:val="4B045373"/>
    <w:rsid w:val="4B060BBF"/>
    <w:rsid w:val="4B0E1D4E"/>
    <w:rsid w:val="4B0E2E17"/>
    <w:rsid w:val="4B117926"/>
    <w:rsid w:val="4B182BCD"/>
    <w:rsid w:val="4B187071"/>
    <w:rsid w:val="4B1A06F3"/>
    <w:rsid w:val="4B1A6945"/>
    <w:rsid w:val="4B1D4687"/>
    <w:rsid w:val="4B202CE0"/>
    <w:rsid w:val="4B271062"/>
    <w:rsid w:val="4B2A0FBC"/>
    <w:rsid w:val="4B2C48CA"/>
    <w:rsid w:val="4B307F16"/>
    <w:rsid w:val="4B3774F7"/>
    <w:rsid w:val="4B3814C1"/>
    <w:rsid w:val="4B386DCB"/>
    <w:rsid w:val="4B3B7271"/>
    <w:rsid w:val="4B3F0159"/>
    <w:rsid w:val="4B471143"/>
    <w:rsid w:val="4B48362D"/>
    <w:rsid w:val="4B4B4D50"/>
    <w:rsid w:val="4B4C2876"/>
    <w:rsid w:val="4B4E4879"/>
    <w:rsid w:val="4B524331"/>
    <w:rsid w:val="4B5856BF"/>
    <w:rsid w:val="4B5C0D0B"/>
    <w:rsid w:val="4B5F09E6"/>
    <w:rsid w:val="4B63653E"/>
    <w:rsid w:val="4B6422B6"/>
    <w:rsid w:val="4B6573C5"/>
    <w:rsid w:val="4B683B54"/>
    <w:rsid w:val="4B6978CC"/>
    <w:rsid w:val="4B6C4CC7"/>
    <w:rsid w:val="4B6D2F19"/>
    <w:rsid w:val="4B777E35"/>
    <w:rsid w:val="4B797B0F"/>
    <w:rsid w:val="4B7C13AE"/>
    <w:rsid w:val="4B7D0C82"/>
    <w:rsid w:val="4B7D55E8"/>
    <w:rsid w:val="4B7F2C4C"/>
    <w:rsid w:val="4B842010"/>
    <w:rsid w:val="4B8509FE"/>
    <w:rsid w:val="4B865D88"/>
    <w:rsid w:val="4B9506C1"/>
    <w:rsid w:val="4B9E1324"/>
    <w:rsid w:val="4B9F509C"/>
    <w:rsid w:val="4BA10E14"/>
    <w:rsid w:val="4BA34B8C"/>
    <w:rsid w:val="4BA426B2"/>
    <w:rsid w:val="4BA821A3"/>
    <w:rsid w:val="4BA97CC9"/>
    <w:rsid w:val="4BAB57EF"/>
    <w:rsid w:val="4BAD5A0B"/>
    <w:rsid w:val="4BAF3531"/>
    <w:rsid w:val="4BB26B7D"/>
    <w:rsid w:val="4BB328F5"/>
    <w:rsid w:val="4BB5041C"/>
    <w:rsid w:val="4BB52B12"/>
    <w:rsid w:val="4BBA3C84"/>
    <w:rsid w:val="4BBC5C4E"/>
    <w:rsid w:val="4BBF594C"/>
    <w:rsid w:val="4BC863A1"/>
    <w:rsid w:val="4BC93E36"/>
    <w:rsid w:val="4BCE14DD"/>
    <w:rsid w:val="4BCE3C8F"/>
    <w:rsid w:val="4BD3035B"/>
    <w:rsid w:val="4BD36CF3"/>
    <w:rsid w:val="4BD626E7"/>
    <w:rsid w:val="4BD755BD"/>
    <w:rsid w:val="4BD765E4"/>
    <w:rsid w:val="4BD94FE4"/>
    <w:rsid w:val="4BDA60D4"/>
    <w:rsid w:val="4BDE3E16"/>
    <w:rsid w:val="4BDE7972"/>
    <w:rsid w:val="4BE13907"/>
    <w:rsid w:val="4BE156B5"/>
    <w:rsid w:val="4BE45A77"/>
    <w:rsid w:val="4BEA27BB"/>
    <w:rsid w:val="4BEB6533"/>
    <w:rsid w:val="4BF54CBC"/>
    <w:rsid w:val="4BF70A34"/>
    <w:rsid w:val="4BF74ED8"/>
    <w:rsid w:val="4BF76165"/>
    <w:rsid w:val="4BF90C50"/>
    <w:rsid w:val="4BFC604B"/>
    <w:rsid w:val="4C0118B3"/>
    <w:rsid w:val="4C0D2006"/>
    <w:rsid w:val="4C0D64AA"/>
    <w:rsid w:val="4C107D48"/>
    <w:rsid w:val="4C12586E"/>
    <w:rsid w:val="4C15535E"/>
    <w:rsid w:val="4C177328"/>
    <w:rsid w:val="4C196BFC"/>
    <w:rsid w:val="4C1B2975"/>
    <w:rsid w:val="4C1E2465"/>
    <w:rsid w:val="4C215AB1"/>
    <w:rsid w:val="4C2832E3"/>
    <w:rsid w:val="4C2F01CE"/>
    <w:rsid w:val="4C304E69"/>
    <w:rsid w:val="4C3103EA"/>
    <w:rsid w:val="4C343841"/>
    <w:rsid w:val="4C3B6274"/>
    <w:rsid w:val="4C3C28EB"/>
    <w:rsid w:val="4C407515"/>
    <w:rsid w:val="4C4338E3"/>
    <w:rsid w:val="4C435948"/>
    <w:rsid w:val="4C463387"/>
    <w:rsid w:val="4C4A0649"/>
    <w:rsid w:val="4C516396"/>
    <w:rsid w:val="4C5A5F50"/>
    <w:rsid w:val="4C63431C"/>
    <w:rsid w:val="4C675BBA"/>
    <w:rsid w:val="4C6B091A"/>
    <w:rsid w:val="4C716A38"/>
    <w:rsid w:val="4C744019"/>
    <w:rsid w:val="4C786019"/>
    <w:rsid w:val="4C804ECE"/>
    <w:rsid w:val="4C8147A2"/>
    <w:rsid w:val="4C9857B2"/>
    <w:rsid w:val="4C9B5863"/>
    <w:rsid w:val="4C9D782D"/>
    <w:rsid w:val="4CA02E7A"/>
    <w:rsid w:val="4CA26BF2"/>
    <w:rsid w:val="4CA412EE"/>
    <w:rsid w:val="4CA50490"/>
    <w:rsid w:val="4CB16E35"/>
    <w:rsid w:val="4CB22BAD"/>
    <w:rsid w:val="4CB32CFF"/>
    <w:rsid w:val="4CB6269D"/>
    <w:rsid w:val="4CBF59F6"/>
    <w:rsid w:val="4CC0176E"/>
    <w:rsid w:val="4CC2206D"/>
    <w:rsid w:val="4CC4300C"/>
    <w:rsid w:val="4CC528E0"/>
    <w:rsid w:val="4CC622E8"/>
    <w:rsid w:val="4CC72AFC"/>
    <w:rsid w:val="4CCE58CF"/>
    <w:rsid w:val="4CD15729"/>
    <w:rsid w:val="4CD40D75"/>
    <w:rsid w:val="4CD62D3F"/>
    <w:rsid w:val="4CDD5E7C"/>
    <w:rsid w:val="4CDE0C9F"/>
    <w:rsid w:val="4CDE39A2"/>
    <w:rsid w:val="4CE30FB8"/>
    <w:rsid w:val="4CE42B3C"/>
    <w:rsid w:val="4CE470D3"/>
    <w:rsid w:val="4CE50F85"/>
    <w:rsid w:val="4CEA0599"/>
    <w:rsid w:val="4CEF5BAF"/>
    <w:rsid w:val="4CF077D9"/>
    <w:rsid w:val="4CFB6302"/>
    <w:rsid w:val="4D023C3A"/>
    <w:rsid w:val="4D0347ED"/>
    <w:rsid w:val="4D04450E"/>
    <w:rsid w:val="4D0A4797"/>
    <w:rsid w:val="4D1004F6"/>
    <w:rsid w:val="4D153868"/>
    <w:rsid w:val="4D1C327C"/>
    <w:rsid w:val="4D1D44CA"/>
    <w:rsid w:val="4D20220D"/>
    <w:rsid w:val="4D2770F7"/>
    <w:rsid w:val="4D2E777B"/>
    <w:rsid w:val="4D355CB8"/>
    <w:rsid w:val="4D3B1C54"/>
    <w:rsid w:val="4D3F481B"/>
    <w:rsid w:val="4D410CA2"/>
    <w:rsid w:val="4D41465D"/>
    <w:rsid w:val="4D4203D5"/>
    <w:rsid w:val="4D430005"/>
    <w:rsid w:val="4D467EC5"/>
    <w:rsid w:val="4D4A6344"/>
    <w:rsid w:val="4D4C3002"/>
    <w:rsid w:val="4D4E5624"/>
    <w:rsid w:val="4D5048A0"/>
    <w:rsid w:val="4D511823"/>
    <w:rsid w:val="4D534390"/>
    <w:rsid w:val="4D53613E"/>
    <w:rsid w:val="4D551EB6"/>
    <w:rsid w:val="4D5C1497"/>
    <w:rsid w:val="4D5F2D35"/>
    <w:rsid w:val="4D622825"/>
    <w:rsid w:val="4D6473B4"/>
    <w:rsid w:val="4D64784A"/>
    <w:rsid w:val="4D6E34CC"/>
    <w:rsid w:val="4D70238D"/>
    <w:rsid w:val="4D73058E"/>
    <w:rsid w:val="4D754306"/>
    <w:rsid w:val="4D7F6F33"/>
    <w:rsid w:val="4D806F98"/>
    <w:rsid w:val="4D814A59"/>
    <w:rsid w:val="4D88228C"/>
    <w:rsid w:val="4D8E361A"/>
    <w:rsid w:val="4D8F45EB"/>
    <w:rsid w:val="4D956757"/>
    <w:rsid w:val="4D981DA3"/>
    <w:rsid w:val="4D986247"/>
    <w:rsid w:val="4D9E78F3"/>
    <w:rsid w:val="4DA16EA9"/>
    <w:rsid w:val="4DA326D4"/>
    <w:rsid w:val="4DA60964"/>
    <w:rsid w:val="4DA60C49"/>
    <w:rsid w:val="4DA67FC9"/>
    <w:rsid w:val="4DA70238"/>
    <w:rsid w:val="4DA846DC"/>
    <w:rsid w:val="4DA8622E"/>
    <w:rsid w:val="4DAE0572"/>
    <w:rsid w:val="4DAE15C6"/>
    <w:rsid w:val="4DAE7818"/>
    <w:rsid w:val="4DB43081"/>
    <w:rsid w:val="4DB56DF9"/>
    <w:rsid w:val="4DB632A5"/>
    <w:rsid w:val="4DC66910"/>
    <w:rsid w:val="4DC82688"/>
    <w:rsid w:val="4DCB2178"/>
    <w:rsid w:val="4DCD7C9F"/>
    <w:rsid w:val="4DCE2B1A"/>
    <w:rsid w:val="4DD23507"/>
    <w:rsid w:val="4DDC73DC"/>
    <w:rsid w:val="4DE1374A"/>
    <w:rsid w:val="4DE21C50"/>
    <w:rsid w:val="4DEC4FB0"/>
    <w:rsid w:val="4DEF6FAE"/>
    <w:rsid w:val="4DF06083"/>
    <w:rsid w:val="4DFA0CB0"/>
    <w:rsid w:val="4DFA480C"/>
    <w:rsid w:val="4E037B64"/>
    <w:rsid w:val="4E075D8A"/>
    <w:rsid w:val="4E0B07C7"/>
    <w:rsid w:val="4E0D453F"/>
    <w:rsid w:val="4E0F6509"/>
    <w:rsid w:val="4E125FF9"/>
    <w:rsid w:val="4E141D71"/>
    <w:rsid w:val="4E1C6E78"/>
    <w:rsid w:val="4E240D43"/>
    <w:rsid w:val="4E265601"/>
    <w:rsid w:val="4E2B4904"/>
    <w:rsid w:val="4E2F00CD"/>
    <w:rsid w:val="4E30022D"/>
    <w:rsid w:val="4E3046D1"/>
    <w:rsid w:val="4E30647F"/>
    <w:rsid w:val="4E361CE8"/>
    <w:rsid w:val="4E393586"/>
    <w:rsid w:val="4E3C6BD2"/>
    <w:rsid w:val="4E3E294A"/>
    <w:rsid w:val="4E3E386B"/>
    <w:rsid w:val="4E41243B"/>
    <w:rsid w:val="4E4E3531"/>
    <w:rsid w:val="4E4F21B5"/>
    <w:rsid w:val="4E5008D0"/>
    <w:rsid w:val="4E516B22"/>
    <w:rsid w:val="4E52289A"/>
    <w:rsid w:val="4E557B71"/>
    <w:rsid w:val="4E593C28"/>
    <w:rsid w:val="4E5B17E2"/>
    <w:rsid w:val="4E5B4DBE"/>
    <w:rsid w:val="4E612B82"/>
    <w:rsid w:val="4E65437B"/>
    <w:rsid w:val="4E6C0560"/>
    <w:rsid w:val="4E6C5709"/>
    <w:rsid w:val="4E720DB0"/>
    <w:rsid w:val="4E7445BE"/>
    <w:rsid w:val="4E796078"/>
    <w:rsid w:val="4E87155B"/>
    <w:rsid w:val="4E87437C"/>
    <w:rsid w:val="4E8C2811"/>
    <w:rsid w:val="4E922C96"/>
    <w:rsid w:val="4E9764FE"/>
    <w:rsid w:val="4E9B7D9D"/>
    <w:rsid w:val="4EA43198"/>
    <w:rsid w:val="4EA84268"/>
    <w:rsid w:val="4EA871B2"/>
    <w:rsid w:val="4EAA6232"/>
    <w:rsid w:val="4EAC2E5D"/>
    <w:rsid w:val="4EAC3D58"/>
    <w:rsid w:val="4EAF3848"/>
    <w:rsid w:val="4EB64BD7"/>
    <w:rsid w:val="4EB90223"/>
    <w:rsid w:val="4EC8490A"/>
    <w:rsid w:val="4EC927B3"/>
    <w:rsid w:val="4ECA68D4"/>
    <w:rsid w:val="4ED355A0"/>
    <w:rsid w:val="4ED3756D"/>
    <w:rsid w:val="4ED432AF"/>
    <w:rsid w:val="4ED4505D"/>
    <w:rsid w:val="4ED92673"/>
    <w:rsid w:val="4ED96B17"/>
    <w:rsid w:val="4ED96BFA"/>
    <w:rsid w:val="4EDB288F"/>
    <w:rsid w:val="4EDB4BC8"/>
    <w:rsid w:val="4EDD03B5"/>
    <w:rsid w:val="4EDE412D"/>
    <w:rsid w:val="4EDF257D"/>
    <w:rsid w:val="4EE17099"/>
    <w:rsid w:val="4EE41F76"/>
    <w:rsid w:val="4EE51C25"/>
    <w:rsid w:val="4EE527CC"/>
    <w:rsid w:val="4EE85483"/>
    <w:rsid w:val="4EEA2AD2"/>
    <w:rsid w:val="4EEE25C2"/>
    <w:rsid w:val="4EF474AD"/>
    <w:rsid w:val="4EFD45B3"/>
    <w:rsid w:val="4F0022F6"/>
    <w:rsid w:val="4F02606E"/>
    <w:rsid w:val="4F033DD3"/>
    <w:rsid w:val="4F041DE6"/>
    <w:rsid w:val="4F053468"/>
    <w:rsid w:val="4F0C0C9A"/>
    <w:rsid w:val="4F0D4088"/>
    <w:rsid w:val="4F0E4A13"/>
    <w:rsid w:val="4F0E67C1"/>
    <w:rsid w:val="4F147B4F"/>
    <w:rsid w:val="4F1638C7"/>
    <w:rsid w:val="4F18319B"/>
    <w:rsid w:val="4F18763F"/>
    <w:rsid w:val="4F1A33B7"/>
    <w:rsid w:val="4F1D07B2"/>
    <w:rsid w:val="4F1D2EA8"/>
    <w:rsid w:val="4F2908FF"/>
    <w:rsid w:val="4F29184C"/>
    <w:rsid w:val="4F297FE9"/>
    <w:rsid w:val="4F2D0968"/>
    <w:rsid w:val="4F334479"/>
    <w:rsid w:val="4F361873"/>
    <w:rsid w:val="4F3855EC"/>
    <w:rsid w:val="4F3B1580"/>
    <w:rsid w:val="4F3D70A6"/>
    <w:rsid w:val="4F4847FE"/>
    <w:rsid w:val="4F495A4B"/>
    <w:rsid w:val="4F4A531F"/>
    <w:rsid w:val="4F4C1097"/>
    <w:rsid w:val="4F50502B"/>
    <w:rsid w:val="4F552641"/>
    <w:rsid w:val="4F5A30F9"/>
    <w:rsid w:val="4F5A7C58"/>
    <w:rsid w:val="4F5B752C"/>
    <w:rsid w:val="4F5F0DCA"/>
    <w:rsid w:val="4F5F701C"/>
    <w:rsid w:val="4F6005A7"/>
    <w:rsid w:val="4F602D94"/>
    <w:rsid w:val="4F604B42"/>
    <w:rsid w:val="4F636270"/>
    <w:rsid w:val="4F6603AB"/>
    <w:rsid w:val="4F6E54B1"/>
    <w:rsid w:val="4F702FD7"/>
    <w:rsid w:val="4F704CF0"/>
    <w:rsid w:val="4F732AC8"/>
    <w:rsid w:val="4F7A02B0"/>
    <w:rsid w:val="4F7D3946"/>
    <w:rsid w:val="4F7F321A"/>
    <w:rsid w:val="4F83266B"/>
    <w:rsid w:val="4F884993"/>
    <w:rsid w:val="4F885589"/>
    <w:rsid w:val="4F8B00FF"/>
    <w:rsid w:val="4F8B1BBF"/>
    <w:rsid w:val="4F8E237C"/>
    <w:rsid w:val="4F955333"/>
    <w:rsid w:val="4F9667B6"/>
    <w:rsid w:val="4F9A62A6"/>
    <w:rsid w:val="4F9D5D96"/>
    <w:rsid w:val="4FA40ED3"/>
    <w:rsid w:val="4FA54744"/>
    <w:rsid w:val="4FA7451F"/>
    <w:rsid w:val="4FAC7D88"/>
    <w:rsid w:val="4FAD422B"/>
    <w:rsid w:val="4FB01626"/>
    <w:rsid w:val="4FB44097"/>
    <w:rsid w:val="4FBD3D43"/>
    <w:rsid w:val="4FBF7ABB"/>
    <w:rsid w:val="4FC13833"/>
    <w:rsid w:val="4FC357FD"/>
    <w:rsid w:val="4FC43323"/>
    <w:rsid w:val="4FC62A8C"/>
    <w:rsid w:val="4FD2057D"/>
    <w:rsid w:val="4FD86DCF"/>
    <w:rsid w:val="4FD96283"/>
    <w:rsid w:val="4FDD1302"/>
    <w:rsid w:val="4FE20F0D"/>
    <w:rsid w:val="4FE47521"/>
    <w:rsid w:val="4FE87012"/>
    <w:rsid w:val="4FED182E"/>
    <w:rsid w:val="4FED4628"/>
    <w:rsid w:val="4FEE214E"/>
    <w:rsid w:val="4FF37764"/>
    <w:rsid w:val="4FF9121F"/>
    <w:rsid w:val="4FFA5313"/>
    <w:rsid w:val="4FFA6D45"/>
    <w:rsid w:val="4FFC0D0F"/>
    <w:rsid w:val="4FFD05E3"/>
    <w:rsid w:val="500D0826"/>
    <w:rsid w:val="50100316"/>
    <w:rsid w:val="501047BA"/>
    <w:rsid w:val="501279DB"/>
    <w:rsid w:val="50153B7F"/>
    <w:rsid w:val="501B6F55"/>
    <w:rsid w:val="501D1BC6"/>
    <w:rsid w:val="501E5995"/>
    <w:rsid w:val="50212524"/>
    <w:rsid w:val="502301D1"/>
    <w:rsid w:val="502618E8"/>
    <w:rsid w:val="5026469F"/>
    <w:rsid w:val="502D2C76"/>
    <w:rsid w:val="503234D1"/>
    <w:rsid w:val="503A5393"/>
    <w:rsid w:val="50446212"/>
    <w:rsid w:val="50454464"/>
    <w:rsid w:val="504637E5"/>
    <w:rsid w:val="504908E4"/>
    <w:rsid w:val="504A4F1C"/>
    <w:rsid w:val="504D156B"/>
    <w:rsid w:val="50503AAD"/>
    <w:rsid w:val="50504C4B"/>
    <w:rsid w:val="50521F46"/>
    <w:rsid w:val="50546455"/>
    <w:rsid w:val="505521CD"/>
    <w:rsid w:val="50566671"/>
    <w:rsid w:val="50593A6B"/>
    <w:rsid w:val="505A5A36"/>
    <w:rsid w:val="505C7A00"/>
    <w:rsid w:val="505F4DFA"/>
    <w:rsid w:val="50616DC4"/>
    <w:rsid w:val="506403BE"/>
    <w:rsid w:val="50650662"/>
    <w:rsid w:val="506955FB"/>
    <w:rsid w:val="506A3ECB"/>
    <w:rsid w:val="506B379F"/>
    <w:rsid w:val="506F7733"/>
    <w:rsid w:val="50720FD1"/>
    <w:rsid w:val="50725EBA"/>
    <w:rsid w:val="5075461D"/>
    <w:rsid w:val="50770396"/>
    <w:rsid w:val="50772144"/>
    <w:rsid w:val="507904F4"/>
    <w:rsid w:val="507A1C34"/>
    <w:rsid w:val="5080549C"/>
    <w:rsid w:val="50867BFF"/>
    <w:rsid w:val="508825A3"/>
    <w:rsid w:val="508B5BEF"/>
    <w:rsid w:val="509623AA"/>
    <w:rsid w:val="50975B14"/>
    <w:rsid w:val="509947B0"/>
    <w:rsid w:val="509C6E7C"/>
    <w:rsid w:val="509D6FF7"/>
    <w:rsid w:val="509E57AB"/>
    <w:rsid w:val="50A62A29"/>
    <w:rsid w:val="50A70C7B"/>
    <w:rsid w:val="50A97291"/>
    <w:rsid w:val="50AA42C7"/>
    <w:rsid w:val="50AD3DB7"/>
    <w:rsid w:val="50B43398"/>
    <w:rsid w:val="50B909AE"/>
    <w:rsid w:val="50B96C00"/>
    <w:rsid w:val="50BB2978"/>
    <w:rsid w:val="50BC224C"/>
    <w:rsid w:val="50BE7D72"/>
    <w:rsid w:val="50C15A67"/>
    <w:rsid w:val="50CA3508"/>
    <w:rsid w:val="50CA6717"/>
    <w:rsid w:val="50D22EE7"/>
    <w:rsid w:val="50D36B6C"/>
    <w:rsid w:val="50D70E34"/>
    <w:rsid w:val="50DD32E6"/>
    <w:rsid w:val="50DD469C"/>
    <w:rsid w:val="50E75601"/>
    <w:rsid w:val="50E84F15"/>
    <w:rsid w:val="50EA4404"/>
    <w:rsid w:val="50ED0658"/>
    <w:rsid w:val="50EF617E"/>
    <w:rsid w:val="50F432F0"/>
    <w:rsid w:val="50F73284"/>
    <w:rsid w:val="50F7342F"/>
    <w:rsid w:val="50FE4613"/>
    <w:rsid w:val="51002483"/>
    <w:rsid w:val="5100482F"/>
    <w:rsid w:val="51024103"/>
    <w:rsid w:val="51037E7B"/>
    <w:rsid w:val="510559A1"/>
    <w:rsid w:val="510B0A72"/>
    <w:rsid w:val="51121E6C"/>
    <w:rsid w:val="511778D1"/>
    <w:rsid w:val="511D718F"/>
    <w:rsid w:val="51220612"/>
    <w:rsid w:val="51226553"/>
    <w:rsid w:val="51271F7E"/>
    <w:rsid w:val="51273B6A"/>
    <w:rsid w:val="51275918"/>
    <w:rsid w:val="51281690"/>
    <w:rsid w:val="512C2F2E"/>
    <w:rsid w:val="5131339E"/>
    <w:rsid w:val="513168B9"/>
    <w:rsid w:val="513358DF"/>
    <w:rsid w:val="5139389D"/>
    <w:rsid w:val="513A0C0E"/>
    <w:rsid w:val="513A6B13"/>
    <w:rsid w:val="513D513B"/>
    <w:rsid w:val="513E0EB3"/>
    <w:rsid w:val="513F5357"/>
    <w:rsid w:val="51475FBA"/>
    <w:rsid w:val="514B18D1"/>
    <w:rsid w:val="514D0982"/>
    <w:rsid w:val="514E559A"/>
    <w:rsid w:val="514F4E6E"/>
    <w:rsid w:val="51576E82"/>
    <w:rsid w:val="515801C7"/>
    <w:rsid w:val="51591E29"/>
    <w:rsid w:val="5160707C"/>
    <w:rsid w:val="51621046"/>
    <w:rsid w:val="5162104E"/>
    <w:rsid w:val="51623047"/>
    <w:rsid w:val="51631640"/>
    <w:rsid w:val="51674A18"/>
    <w:rsid w:val="5167665C"/>
    <w:rsid w:val="516E6ED8"/>
    <w:rsid w:val="51702517"/>
    <w:rsid w:val="51711289"/>
    <w:rsid w:val="5176064D"/>
    <w:rsid w:val="518014CC"/>
    <w:rsid w:val="518A5306"/>
    <w:rsid w:val="518E3BE9"/>
    <w:rsid w:val="51932FAD"/>
    <w:rsid w:val="519531C9"/>
    <w:rsid w:val="51976F41"/>
    <w:rsid w:val="519A433C"/>
    <w:rsid w:val="519B00B4"/>
    <w:rsid w:val="51A46F68"/>
    <w:rsid w:val="51AC51CB"/>
    <w:rsid w:val="51AE0F7B"/>
    <w:rsid w:val="51B54C13"/>
    <w:rsid w:val="51BA5593"/>
    <w:rsid w:val="51C70EA9"/>
    <w:rsid w:val="51CC4711"/>
    <w:rsid w:val="51CC64BF"/>
    <w:rsid w:val="51DC4954"/>
    <w:rsid w:val="51DD06CC"/>
    <w:rsid w:val="51DD247A"/>
    <w:rsid w:val="51DF4444"/>
    <w:rsid w:val="51E33C89"/>
    <w:rsid w:val="51E41A5B"/>
    <w:rsid w:val="51E47CAD"/>
    <w:rsid w:val="51E65239"/>
    <w:rsid w:val="51EE0B2B"/>
    <w:rsid w:val="51EE28D9"/>
    <w:rsid w:val="51F1661C"/>
    <w:rsid w:val="51F25BDA"/>
    <w:rsid w:val="51F37EF0"/>
    <w:rsid w:val="51F530A6"/>
    <w:rsid w:val="51FB3450"/>
    <w:rsid w:val="51FD2B1C"/>
    <w:rsid w:val="5201085F"/>
    <w:rsid w:val="5204431E"/>
    <w:rsid w:val="52045C59"/>
    <w:rsid w:val="52045EDF"/>
    <w:rsid w:val="52097713"/>
    <w:rsid w:val="520B348B"/>
    <w:rsid w:val="520E4D2A"/>
    <w:rsid w:val="52122037"/>
    <w:rsid w:val="5215365D"/>
    <w:rsid w:val="521560B8"/>
    <w:rsid w:val="52181704"/>
    <w:rsid w:val="521C7446"/>
    <w:rsid w:val="521D6D1B"/>
    <w:rsid w:val="521E2410"/>
    <w:rsid w:val="52217969"/>
    <w:rsid w:val="52224331"/>
    <w:rsid w:val="522400A9"/>
    <w:rsid w:val="52244433"/>
    <w:rsid w:val="5227544C"/>
    <w:rsid w:val="52287B99"/>
    <w:rsid w:val="522D1654"/>
    <w:rsid w:val="522E717A"/>
    <w:rsid w:val="52320A18"/>
    <w:rsid w:val="5237602E"/>
    <w:rsid w:val="523A5B1F"/>
    <w:rsid w:val="524244DF"/>
    <w:rsid w:val="52462715"/>
    <w:rsid w:val="524644C3"/>
    <w:rsid w:val="52483D98"/>
    <w:rsid w:val="524D13AE"/>
    <w:rsid w:val="524E2FBC"/>
    <w:rsid w:val="524E5126"/>
    <w:rsid w:val="52500E9E"/>
    <w:rsid w:val="525057AA"/>
    <w:rsid w:val="525210BA"/>
    <w:rsid w:val="525700B0"/>
    <w:rsid w:val="5257222D"/>
    <w:rsid w:val="52574ECB"/>
    <w:rsid w:val="525941F7"/>
    <w:rsid w:val="525B6CEF"/>
    <w:rsid w:val="525E35BB"/>
    <w:rsid w:val="52636E23"/>
    <w:rsid w:val="52650DED"/>
    <w:rsid w:val="526F3A1A"/>
    <w:rsid w:val="527704A1"/>
    <w:rsid w:val="527A33E5"/>
    <w:rsid w:val="52850AA4"/>
    <w:rsid w:val="528943B0"/>
    <w:rsid w:val="528C01E0"/>
    <w:rsid w:val="528C45CC"/>
    <w:rsid w:val="528D3EA0"/>
    <w:rsid w:val="528E597D"/>
    <w:rsid w:val="528F1410"/>
    <w:rsid w:val="52903990"/>
    <w:rsid w:val="52946FDD"/>
    <w:rsid w:val="52961E90"/>
    <w:rsid w:val="529671F9"/>
    <w:rsid w:val="529E1C09"/>
    <w:rsid w:val="52A64F62"/>
    <w:rsid w:val="52A86F2C"/>
    <w:rsid w:val="52B21B59"/>
    <w:rsid w:val="52B2639C"/>
    <w:rsid w:val="52B4142D"/>
    <w:rsid w:val="52C33D66"/>
    <w:rsid w:val="52C5188C"/>
    <w:rsid w:val="52C553E8"/>
    <w:rsid w:val="52C8137C"/>
    <w:rsid w:val="52D27B05"/>
    <w:rsid w:val="52D4387D"/>
    <w:rsid w:val="52D73AAB"/>
    <w:rsid w:val="52D95AAD"/>
    <w:rsid w:val="52DD7B03"/>
    <w:rsid w:val="52DE549D"/>
    <w:rsid w:val="52E53CDC"/>
    <w:rsid w:val="52EB0BC7"/>
    <w:rsid w:val="52EC33C3"/>
    <w:rsid w:val="52F1442F"/>
    <w:rsid w:val="52F201A7"/>
    <w:rsid w:val="52F67C97"/>
    <w:rsid w:val="52FB705C"/>
    <w:rsid w:val="52FC4B82"/>
    <w:rsid w:val="52FD1026"/>
    <w:rsid w:val="5302488E"/>
    <w:rsid w:val="530C74BB"/>
    <w:rsid w:val="530D4FE1"/>
    <w:rsid w:val="530E3233"/>
    <w:rsid w:val="5310069C"/>
    <w:rsid w:val="531620E8"/>
    <w:rsid w:val="53163E96"/>
    <w:rsid w:val="532559D6"/>
    <w:rsid w:val="532A16EF"/>
    <w:rsid w:val="532E7431"/>
    <w:rsid w:val="532F31A9"/>
    <w:rsid w:val="532F6D06"/>
    <w:rsid w:val="5330338D"/>
    <w:rsid w:val="53312A7E"/>
    <w:rsid w:val="53316F22"/>
    <w:rsid w:val="53397B84"/>
    <w:rsid w:val="533D58C6"/>
    <w:rsid w:val="533E33EC"/>
    <w:rsid w:val="534053B7"/>
    <w:rsid w:val="53424C8B"/>
    <w:rsid w:val="53563F10"/>
    <w:rsid w:val="535B7AFB"/>
    <w:rsid w:val="535D1AC5"/>
    <w:rsid w:val="535E4EAC"/>
    <w:rsid w:val="535F3A8F"/>
    <w:rsid w:val="536270DB"/>
    <w:rsid w:val="53654E1D"/>
    <w:rsid w:val="53666D3F"/>
    <w:rsid w:val="53682217"/>
    <w:rsid w:val="536A41E2"/>
    <w:rsid w:val="536E5A80"/>
    <w:rsid w:val="53715570"/>
    <w:rsid w:val="53764934"/>
    <w:rsid w:val="537A21E1"/>
    <w:rsid w:val="53803A05"/>
    <w:rsid w:val="53853AFB"/>
    <w:rsid w:val="53874D93"/>
    <w:rsid w:val="538E7ED0"/>
    <w:rsid w:val="538F3C48"/>
    <w:rsid w:val="538F56F6"/>
    <w:rsid w:val="53936B24"/>
    <w:rsid w:val="5394125E"/>
    <w:rsid w:val="539579A4"/>
    <w:rsid w:val="53A039CC"/>
    <w:rsid w:val="53A1505A"/>
    <w:rsid w:val="53A169D4"/>
    <w:rsid w:val="53A21BCD"/>
    <w:rsid w:val="53A45945"/>
    <w:rsid w:val="53AA4158"/>
    <w:rsid w:val="53AC0356"/>
    <w:rsid w:val="53AE2320"/>
    <w:rsid w:val="53B4172F"/>
    <w:rsid w:val="53B447E3"/>
    <w:rsid w:val="53B62ECA"/>
    <w:rsid w:val="53B92A73"/>
    <w:rsid w:val="53BF452D"/>
    <w:rsid w:val="53C20A91"/>
    <w:rsid w:val="53C25DCC"/>
    <w:rsid w:val="53C32D17"/>
    <w:rsid w:val="53C64D9B"/>
    <w:rsid w:val="53CB1124"/>
    <w:rsid w:val="53D14261"/>
    <w:rsid w:val="53D55AFF"/>
    <w:rsid w:val="53D61877"/>
    <w:rsid w:val="53DD08D8"/>
    <w:rsid w:val="53E05348"/>
    <w:rsid w:val="53E2021C"/>
    <w:rsid w:val="53E43F94"/>
    <w:rsid w:val="53E92248"/>
    <w:rsid w:val="53EB5322"/>
    <w:rsid w:val="53FE3B6A"/>
    <w:rsid w:val="53FF49A6"/>
    <w:rsid w:val="5400590F"/>
    <w:rsid w:val="540168F4"/>
    <w:rsid w:val="540208BE"/>
    <w:rsid w:val="540463E4"/>
    <w:rsid w:val="54063E08"/>
    <w:rsid w:val="54091C4C"/>
    <w:rsid w:val="540B7773"/>
    <w:rsid w:val="540D34EB"/>
    <w:rsid w:val="5411465D"/>
    <w:rsid w:val="54134879"/>
    <w:rsid w:val="541F321E"/>
    <w:rsid w:val="5428092D"/>
    <w:rsid w:val="542A5BF1"/>
    <w:rsid w:val="542B3971"/>
    <w:rsid w:val="542E520F"/>
    <w:rsid w:val="54300F87"/>
    <w:rsid w:val="543162F7"/>
    <w:rsid w:val="543437E8"/>
    <w:rsid w:val="54352A41"/>
    <w:rsid w:val="543547EF"/>
    <w:rsid w:val="5435659E"/>
    <w:rsid w:val="54377B7E"/>
    <w:rsid w:val="5438706C"/>
    <w:rsid w:val="54387E3C"/>
    <w:rsid w:val="544D7D8B"/>
    <w:rsid w:val="54520EFE"/>
    <w:rsid w:val="54591A89"/>
    <w:rsid w:val="545C7FCE"/>
    <w:rsid w:val="545D78A2"/>
    <w:rsid w:val="5461213E"/>
    <w:rsid w:val="546155E5"/>
    <w:rsid w:val="546159B3"/>
    <w:rsid w:val="54617393"/>
    <w:rsid w:val="54660E4D"/>
    <w:rsid w:val="54684BC5"/>
    <w:rsid w:val="546B0211"/>
    <w:rsid w:val="546B4BDF"/>
    <w:rsid w:val="546B6463"/>
    <w:rsid w:val="546E7D01"/>
    <w:rsid w:val="54770964"/>
    <w:rsid w:val="547A0454"/>
    <w:rsid w:val="547A48F8"/>
    <w:rsid w:val="548337AD"/>
    <w:rsid w:val="54857525"/>
    <w:rsid w:val="548B440F"/>
    <w:rsid w:val="548E5CAE"/>
    <w:rsid w:val="548F594D"/>
    <w:rsid w:val="54936E88"/>
    <w:rsid w:val="54971006"/>
    <w:rsid w:val="54990ADB"/>
    <w:rsid w:val="549B6D34"/>
    <w:rsid w:val="549E4143"/>
    <w:rsid w:val="549F0B68"/>
    <w:rsid w:val="54A6749B"/>
    <w:rsid w:val="54A85393"/>
    <w:rsid w:val="54AB6860"/>
    <w:rsid w:val="54B03EEA"/>
    <w:rsid w:val="54B25E40"/>
    <w:rsid w:val="54B5164D"/>
    <w:rsid w:val="54B60678"/>
    <w:rsid w:val="54BC0A6D"/>
    <w:rsid w:val="54BC6CBF"/>
    <w:rsid w:val="54C00390"/>
    <w:rsid w:val="54C17E31"/>
    <w:rsid w:val="54C33BA9"/>
    <w:rsid w:val="54C37597"/>
    <w:rsid w:val="54C60539"/>
    <w:rsid w:val="54C70191"/>
    <w:rsid w:val="54C87412"/>
    <w:rsid w:val="54CD2165"/>
    <w:rsid w:val="54CE5923"/>
    <w:rsid w:val="54CE6966"/>
    <w:rsid w:val="54CF69F2"/>
    <w:rsid w:val="54D172DA"/>
    <w:rsid w:val="54D97871"/>
    <w:rsid w:val="54DA7145"/>
    <w:rsid w:val="54DB5397"/>
    <w:rsid w:val="54DC4C6B"/>
    <w:rsid w:val="54E16725"/>
    <w:rsid w:val="54E46ED9"/>
    <w:rsid w:val="54EA19CC"/>
    <w:rsid w:val="54EA6368"/>
    <w:rsid w:val="54EB1352"/>
    <w:rsid w:val="54EB72AE"/>
    <w:rsid w:val="54EE1700"/>
    <w:rsid w:val="54EF499E"/>
    <w:rsid w:val="54F010B9"/>
    <w:rsid w:val="54F41FB5"/>
    <w:rsid w:val="54F71AA5"/>
    <w:rsid w:val="54FB77E7"/>
    <w:rsid w:val="55050666"/>
    <w:rsid w:val="55052414"/>
    <w:rsid w:val="550A7A2A"/>
    <w:rsid w:val="550C37A2"/>
    <w:rsid w:val="550D751A"/>
    <w:rsid w:val="550D7ED5"/>
    <w:rsid w:val="55116D87"/>
    <w:rsid w:val="55191A1B"/>
    <w:rsid w:val="551D57DB"/>
    <w:rsid w:val="55254864"/>
    <w:rsid w:val="55255B51"/>
    <w:rsid w:val="552B0F6D"/>
    <w:rsid w:val="55384597"/>
    <w:rsid w:val="553920BD"/>
    <w:rsid w:val="553D1BAE"/>
    <w:rsid w:val="553D6B7E"/>
    <w:rsid w:val="55424033"/>
    <w:rsid w:val="55432F3C"/>
    <w:rsid w:val="554967A4"/>
    <w:rsid w:val="554B0437"/>
    <w:rsid w:val="554B0F1D"/>
    <w:rsid w:val="554C7040"/>
    <w:rsid w:val="554E3DBB"/>
    <w:rsid w:val="554E7A8C"/>
    <w:rsid w:val="554F18E1"/>
    <w:rsid w:val="554F5B03"/>
    <w:rsid w:val="555313D1"/>
    <w:rsid w:val="5553570E"/>
    <w:rsid w:val="555869E7"/>
    <w:rsid w:val="555962BC"/>
    <w:rsid w:val="55620AD4"/>
    <w:rsid w:val="55652944"/>
    <w:rsid w:val="5566599F"/>
    <w:rsid w:val="556A671B"/>
    <w:rsid w:val="556C5FEF"/>
    <w:rsid w:val="557650C0"/>
    <w:rsid w:val="55776350"/>
    <w:rsid w:val="557C1FAA"/>
    <w:rsid w:val="557F21C6"/>
    <w:rsid w:val="557F3BF8"/>
    <w:rsid w:val="55801A9A"/>
    <w:rsid w:val="558570B1"/>
    <w:rsid w:val="558772CD"/>
    <w:rsid w:val="55894DF3"/>
    <w:rsid w:val="558C6691"/>
    <w:rsid w:val="558F6A10"/>
    <w:rsid w:val="559106BB"/>
    <w:rsid w:val="55914F40"/>
    <w:rsid w:val="55935C72"/>
    <w:rsid w:val="559B174B"/>
    <w:rsid w:val="559D264C"/>
    <w:rsid w:val="559D43FA"/>
    <w:rsid w:val="55A03EEB"/>
    <w:rsid w:val="55A27C63"/>
    <w:rsid w:val="55A41C2D"/>
    <w:rsid w:val="55A9466F"/>
    <w:rsid w:val="55AC6D33"/>
    <w:rsid w:val="55AE6607"/>
    <w:rsid w:val="55B160F8"/>
    <w:rsid w:val="55B17EA6"/>
    <w:rsid w:val="55B856D8"/>
    <w:rsid w:val="55BF6A67"/>
    <w:rsid w:val="55C207CD"/>
    <w:rsid w:val="55C55AC1"/>
    <w:rsid w:val="55C67DF5"/>
    <w:rsid w:val="55C7591B"/>
    <w:rsid w:val="55C94D0E"/>
    <w:rsid w:val="55CE0CF4"/>
    <w:rsid w:val="55D02A22"/>
    <w:rsid w:val="55D10548"/>
    <w:rsid w:val="55D3606E"/>
    <w:rsid w:val="55D41DE6"/>
    <w:rsid w:val="55D6790C"/>
    <w:rsid w:val="55D818D6"/>
    <w:rsid w:val="55DD6EED"/>
    <w:rsid w:val="55E6461A"/>
    <w:rsid w:val="55EA33B8"/>
    <w:rsid w:val="55F304BE"/>
    <w:rsid w:val="55F54236"/>
    <w:rsid w:val="55FF3307"/>
    <w:rsid w:val="56002BDB"/>
    <w:rsid w:val="560921A1"/>
    <w:rsid w:val="56130B60"/>
    <w:rsid w:val="56156687"/>
    <w:rsid w:val="561641AD"/>
    <w:rsid w:val="561A1EEF"/>
    <w:rsid w:val="561A3C9D"/>
    <w:rsid w:val="561D19DF"/>
    <w:rsid w:val="56237FD6"/>
    <w:rsid w:val="562B7C58"/>
    <w:rsid w:val="562E14F6"/>
    <w:rsid w:val="562F67CA"/>
    <w:rsid w:val="563053E6"/>
    <w:rsid w:val="56332FB1"/>
    <w:rsid w:val="56356D29"/>
    <w:rsid w:val="563740DE"/>
    <w:rsid w:val="563A433F"/>
    <w:rsid w:val="563F3703"/>
    <w:rsid w:val="56424FA2"/>
    <w:rsid w:val="564B02FA"/>
    <w:rsid w:val="564B654C"/>
    <w:rsid w:val="564C327E"/>
    <w:rsid w:val="56502E20"/>
    <w:rsid w:val="56505911"/>
    <w:rsid w:val="565151E5"/>
    <w:rsid w:val="56526D83"/>
    <w:rsid w:val="56644F18"/>
    <w:rsid w:val="5666172C"/>
    <w:rsid w:val="56665134"/>
    <w:rsid w:val="56666EE2"/>
    <w:rsid w:val="56674A08"/>
    <w:rsid w:val="56682C5A"/>
    <w:rsid w:val="566D3E5D"/>
    <w:rsid w:val="566D52ED"/>
    <w:rsid w:val="56717635"/>
    <w:rsid w:val="567710EF"/>
    <w:rsid w:val="56794E67"/>
    <w:rsid w:val="567F7FA4"/>
    <w:rsid w:val="56805601"/>
    <w:rsid w:val="568455BA"/>
    <w:rsid w:val="56847368"/>
    <w:rsid w:val="56861332"/>
    <w:rsid w:val="56867733"/>
    <w:rsid w:val="568832FC"/>
    <w:rsid w:val="568A7075"/>
    <w:rsid w:val="568B06F7"/>
    <w:rsid w:val="568B6949"/>
    <w:rsid w:val="568D0913"/>
    <w:rsid w:val="56905D0D"/>
    <w:rsid w:val="5691462E"/>
    <w:rsid w:val="56925F29"/>
    <w:rsid w:val="56927CD7"/>
    <w:rsid w:val="56941CA1"/>
    <w:rsid w:val="56962345"/>
    <w:rsid w:val="569C0B56"/>
    <w:rsid w:val="569F0646"/>
    <w:rsid w:val="56A271B7"/>
    <w:rsid w:val="56A31EE4"/>
    <w:rsid w:val="56A93273"/>
    <w:rsid w:val="56A96DCF"/>
    <w:rsid w:val="56AE4F0A"/>
    <w:rsid w:val="56B0015D"/>
    <w:rsid w:val="56B13CD2"/>
    <w:rsid w:val="56B14607"/>
    <w:rsid w:val="56B22A9C"/>
    <w:rsid w:val="56B70D0D"/>
    <w:rsid w:val="56C50A07"/>
    <w:rsid w:val="56C67981"/>
    <w:rsid w:val="56C9121F"/>
    <w:rsid w:val="56CA3778"/>
    <w:rsid w:val="56CD6741"/>
    <w:rsid w:val="56CE5EB8"/>
    <w:rsid w:val="56CE62D0"/>
    <w:rsid w:val="56D0725B"/>
    <w:rsid w:val="56D54257"/>
    <w:rsid w:val="56D7393C"/>
    <w:rsid w:val="56D8300B"/>
    <w:rsid w:val="56D976B4"/>
    <w:rsid w:val="56D97F48"/>
    <w:rsid w:val="56DA167E"/>
    <w:rsid w:val="56DF0A43"/>
    <w:rsid w:val="56EE5B8F"/>
    <w:rsid w:val="56EF512A"/>
    <w:rsid w:val="56F42740"/>
    <w:rsid w:val="56F73FDE"/>
    <w:rsid w:val="56FC33A3"/>
    <w:rsid w:val="56FE35BF"/>
    <w:rsid w:val="57007337"/>
    <w:rsid w:val="570606C5"/>
    <w:rsid w:val="57064221"/>
    <w:rsid w:val="570A1F63"/>
    <w:rsid w:val="57106E4E"/>
    <w:rsid w:val="57122BC6"/>
    <w:rsid w:val="57154464"/>
    <w:rsid w:val="57196706"/>
    <w:rsid w:val="571B7CCD"/>
    <w:rsid w:val="5721105B"/>
    <w:rsid w:val="57250B4B"/>
    <w:rsid w:val="57270A88"/>
    <w:rsid w:val="572C2786"/>
    <w:rsid w:val="572F127F"/>
    <w:rsid w:val="572F3778"/>
    <w:rsid w:val="57313A27"/>
    <w:rsid w:val="57325016"/>
    <w:rsid w:val="57364B06"/>
    <w:rsid w:val="573963A5"/>
    <w:rsid w:val="573E7E5F"/>
    <w:rsid w:val="573F15EA"/>
    <w:rsid w:val="574014E1"/>
    <w:rsid w:val="57430FD1"/>
    <w:rsid w:val="57456BD3"/>
    <w:rsid w:val="57476652"/>
    <w:rsid w:val="57482A8C"/>
    <w:rsid w:val="57511940"/>
    <w:rsid w:val="57544F8D"/>
    <w:rsid w:val="575B27BF"/>
    <w:rsid w:val="575B456D"/>
    <w:rsid w:val="575B774B"/>
    <w:rsid w:val="575D644F"/>
    <w:rsid w:val="57601B83"/>
    <w:rsid w:val="57607DD5"/>
    <w:rsid w:val="57631674"/>
    <w:rsid w:val="57672F12"/>
    <w:rsid w:val="57680A38"/>
    <w:rsid w:val="576B22D6"/>
    <w:rsid w:val="576C64D8"/>
    <w:rsid w:val="576F0018"/>
    <w:rsid w:val="57727B09"/>
    <w:rsid w:val="5774562F"/>
    <w:rsid w:val="577473DD"/>
    <w:rsid w:val="57762B00"/>
    <w:rsid w:val="57776ECD"/>
    <w:rsid w:val="577B4C0F"/>
    <w:rsid w:val="577C44E3"/>
    <w:rsid w:val="57882E88"/>
    <w:rsid w:val="578C0BCA"/>
    <w:rsid w:val="578F2469"/>
    <w:rsid w:val="578F4217"/>
    <w:rsid w:val="57904B13"/>
    <w:rsid w:val="579161E1"/>
    <w:rsid w:val="579B705F"/>
    <w:rsid w:val="579D05A5"/>
    <w:rsid w:val="579E26AC"/>
    <w:rsid w:val="579E445A"/>
    <w:rsid w:val="57A001D2"/>
    <w:rsid w:val="57A203EE"/>
    <w:rsid w:val="57A777B2"/>
    <w:rsid w:val="57AB72DA"/>
    <w:rsid w:val="57AC6B77"/>
    <w:rsid w:val="57AE6D93"/>
    <w:rsid w:val="57AF2B0B"/>
    <w:rsid w:val="57B65C47"/>
    <w:rsid w:val="57B72A76"/>
    <w:rsid w:val="57BB7557"/>
    <w:rsid w:val="57BE194A"/>
    <w:rsid w:val="57BE68AA"/>
    <w:rsid w:val="57C049B1"/>
    <w:rsid w:val="57C10AC3"/>
    <w:rsid w:val="57C2639A"/>
    <w:rsid w:val="57C96694"/>
    <w:rsid w:val="57CD4D3F"/>
    <w:rsid w:val="57CF0AB7"/>
    <w:rsid w:val="57D12A81"/>
    <w:rsid w:val="57D32355"/>
    <w:rsid w:val="57D4589F"/>
    <w:rsid w:val="57D86F9C"/>
    <w:rsid w:val="57D91936"/>
    <w:rsid w:val="57DA3E17"/>
    <w:rsid w:val="57DD31D4"/>
    <w:rsid w:val="57E207EA"/>
    <w:rsid w:val="57E427B4"/>
    <w:rsid w:val="57E502DB"/>
    <w:rsid w:val="57E5652D"/>
    <w:rsid w:val="57E75E01"/>
    <w:rsid w:val="57EC3417"/>
    <w:rsid w:val="57F56CC7"/>
    <w:rsid w:val="57FE314A"/>
    <w:rsid w:val="58000703"/>
    <w:rsid w:val="58021527"/>
    <w:rsid w:val="580249E9"/>
    <w:rsid w:val="58027680"/>
    <w:rsid w:val="58042493"/>
    <w:rsid w:val="580764A3"/>
    <w:rsid w:val="58077BB0"/>
    <w:rsid w:val="580F2368"/>
    <w:rsid w:val="581110D0"/>
    <w:rsid w:val="5814471C"/>
    <w:rsid w:val="581B5AAA"/>
    <w:rsid w:val="581F1A3E"/>
    <w:rsid w:val="58215A55"/>
    <w:rsid w:val="58256929"/>
    <w:rsid w:val="58273B30"/>
    <w:rsid w:val="5827444F"/>
    <w:rsid w:val="582B03E3"/>
    <w:rsid w:val="582B57B9"/>
    <w:rsid w:val="582C69C1"/>
    <w:rsid w:val="582E3A30"/>
    <w:rsid w:val="582E7AAF"/>
    <w:rsid w:val="583077A8"/>
    <w:rsid w:val="58315248"/>
    <w:rsid w:val="583542BF"/>
    <w:rsid w:val="583628E4"/>
    <w:rsid w:val="583E06A5"/>
    <w:rsid w:val="583F3E8F"/>
    <w:rsid w:val="584204B6"/>
    <w:rsid w:val="58421289"/>
    <w:rsid w:val="584274DB"/>
    <w:rsid w:val="58432AE1"/>
    <w:rsid w:val="58474AF1"/>
    <w:rsid w:val="5851771E"/>
    <w:rsid w:val="585242DC"/>
    <w:rsid w:val="585B059D"/>
    <w:rsid w:val="586C27AA"/>
    <w:rsid w:val="586D5636"/>
    <w:rsid w:val="58704048"/>
    <w:rsid w:val="58737694"/>
    <w:rsid w:val="587753D7"/>
    <w:rsid w:val="58791C73"/>
    <w:rsid w:val="58816255"/>
    <w:rsid w:val="58847AF3"/>
    <w:rsid w:val="588C69A8"/>
    <w:rsid w:val="58923090"/>
    <w:rsid w:val="589870FB"/>
    <w:rsid w:val="589C1963"/>
    <w:rsid w:val="589C4E3D"/>
    <w:rsid w:val="589E10DE"/>
    <w:rsid w:val="589E6E07"/>
    <w:rsid w:val="58A3441E"/>
    <w:rsid w:val="58A610F9"/>
    <w:rsid w:val="58AB1524"/>
    <w:rsid w:val="58AB5080"/>
    <w:rsid w:val="58AD0727"/>
    <w:rsid w:val="58AE691E"/>
    <w:rsid w:val="58B07A1D"/>
    <w:rsid w:val="58B303D9"/>
    <w:rsid w:val="58B57CAD"/>
    <w:rsid w:val="58B73A25"/>
    <w:rsid w:val="58B959EF"/>
    <w:rsid w:val="58BC54DF"/>
    <w:rsid w:val="58BE32CF"/>
    <w:rsid w:val="58CD2411"/>
    <w:rsid w:val="58D04AE7"/>
    <w:rsid w:val="58D2085F"/>
    <w:rsid w:val="58D345D7"/>
    <w:rsid w:val="58D42829"/>
    <w:rsid w:val="58D74519"/>
    <w:rsid w:val="58DA7713"/>
    <w:rsid w:val="58DF2F7C"/>
    <w:rsid w:val="58E14F46"/>
    <w:rsid w:val="58E16CF4"/>
    <w:rsid w:val="58E40592"/>
    <w:rsid w:val="58E90251"/>
    <w:rsid w:val="58EE31BF"/>
    <w:rsid w:val="58F06F37"/>
    <w:rsid w:val="58F44633"/>
    <w:rsid w:val="58F509F1"/>
    <w:rsid w:val="58F702C5"/>
    <w:rsid w:val="58FA7DB6"/>
    <w:rsid w:val="59030A18"/>
    <w:rsid w:val="59044790"/>
    <w:rsid w:val="590649AC"/>
    <w:rsid w:val="59077622"/>
    <w:rsid w:val="590824D3"/>
    <w:rsid w:val="590A1848"/>
    <w:rsid w:val="590A49E9"/>
    <w:rsid w:val="590D5D3B"/>
    <w:rsid w:val="590D7AE9"/>
    <w:rsid w:val="590F3E15"/>
    <w:rsid w:val="591250FF"/>
    <w:rsid w:val="59142C25"/>
    <w:rsid w:val="5915699E"/>
    <w:rsid w:val="591623EB"/>
    <w:rsid w:val="591946E0"/>
    <w:rsid w:val="591C2557"/>
    <w:rsid w:val="591C7D2C"/>
    <w:rsid w:val="591F6730"/>
    <w:rsid w:val="59282B75"/>
    <w:rsid w:val="593212FE"/>
    <w:rsid w:val="59345076"/>
    <w:rsid w:val="59350DEE"/>
    <w:rsid w:val="59352B9C"/>
    <w:rsid w:val="59372DB8"/>
    <w:rsid w:val="593A6404"/>
    <w:rsid w:val="593E7CA2"/>
    <w:rsid w:val="593F3A1A"/>
    <w:rsid w:val="59411541"/>
    <w:rsid w:val="59411DC7"/>
    <w:rsid w:val="5943350B"/>
    <w:rsid w:val="59464DA9"/>
    <w:rsid w:val="594A4899"/>
    <w:rsid w:val="59544FF5"/>
    <w:rsid w:val="595A2F5E"/>
    <w:rsid w:val="595B6AA6"/>
    <w:rsid w:val="595D7DAF"/>
    <w:rsid w:val="59653481"/>
    <w:rsid w:val="59661F2B"/>
    <w:rsid w:val="596A6FB5"/>
    <w:rsid w:val="596D0588"/>
    <w:rsid w:val="596D2336"/>
    <w:rsid w:val="596D67DA"/>
    <w:rsid w:val="597263D6"/>
    <w:rsid w:val="59796F2C"/>
    <w:rsid w:val="597C1892"/>
    <w:rsid w:val="59822285"/>
    <w:rsid w:val="598237B0"/>
    <w:rsid w:val="598633F7"/>
    <w:rsid w:val="5988716F"/>
    <w:rsid w:val="598A738C"/>
    <w:rsid w:val="598B25B9"/>
    <w:rsid w:val="598B7AD8"/>
    <w:rsid w:val="598D29D8"/>
    <w:rsid w:val="5991071A"/>
    <w:rsid w:val="59927FEE"/>
    <w:rsid w:val="599C2C1B"/>
    <w:rsid w:val="599C4367"/>
    <w:rsid w:val="599E2524"/>
    <w:rsid w:val="59A246D5"/>
    <w:rsid w:val="59A541C5"/>
    <w:rsid w:val="59A850C5"/>
    <w:rsid w:val="59A87812"/>
    <w:rsid w:val="59A939DF"/>
    <w:rsid w:val="59AA453F"/>
    <w:rsid w:val="59AA5338"/>
    <w:rsid w:val="59AC10B0"/>
    <w:rsid w:val="59AC7302"/>
    <w:rsid w:val="59AF6DF2"/>
    <w:rsid w:val="59B12B6A"/>
    <w:rsid w:val="59B14918"/>
    <w:rsid w:val="59B2243E"/>
    <w:rsid w:val="59B526F2"/>
    <w:rsid w:val="59B63CDD"/>
    <w:rsid w:val="59BE231D"/>
    <w:rsid w:val="59BE7035"/>
    <w:rsid w:val="59C12681"/>
    <w:rsid w:val="59C26B25"/>
    <w:rsid w:val="59C3464B"/>
    <w:rsid w:val="59C82CB8"/>
    <w:rsid w:val="59C97EB4"/>
    <w:rsid w:val="59CA7788"/>
    <w:rsid w:val="59CF4D9E"/>
    <w:rsid w:val="59D03A04"/>
    <w:rsid w:val="59D12BC9"/>
    <w:rsid w:val="59D2488F"/>
    <w:rsid w:val="59D57095"/>
    <w:rsid w:val="59D800F7"/>
    <w:rsid w:val="59DD6583"/>
    <w:rsid w:val="59E051FD"/>
    <w:rsid w:val="59E51BA8"/>
    <w:rsid w:val="59E7658C"/>
    <w:rsid w:val="59EA1BD8"/>
    <w:rsid w:val="59EC3BA2"/>
    <w:rsid w:val="59EC5950"/>
    <w:rsid w:val="59EC76FE"/>
    <w:rsid w:val="59F6007B"/>
    <w:rsid w:val="59F73AC1"/>
    <w:rsid w:val="59F8263F"/>
    <w:rsid w:val="59FE7432"/>
    <w:rsid w:val="5A00764E"/>
    <w:rsid w:val="5A094754"/>
    <w:rsid w:val="5A113609"/>
    <w:rsid w:val="5A1629CD"/>
    <w:rsid w:val="5A1E1882"/>
    <w:rsid w:val="5A2275C4"/>
    <w:rsid w:val="5A277C43"/>
    <w:rsid w:val="5A296BA4"/>
    <w:rsid w:val="5A2E1F00"/>
    <w:rsid w:val="5A307F33"/>
    <w:rsid w:val="5A3115B5"/>
    <w:rsid w:val="5A380B96"/>
    <w:rsid w:val="5A3A490E"/>
    <w:rsid w:val="5A3C747D"/>
    <w:rsid w:val="5A3D61AC"/>
    <w:rsid w:val="5A3D7F5A"/>
    <w:rsid w:val="5A407A4A"/>
    <w:rsid w:val="5A4455DB"/>
    <w:rsid w:val="5A4532B2"/>
    <w:rsid w:val="5A490FF5"/>
    <w:rsid w:val="5A4A4609"/>
    <w:rsid w:val="5A50597F"/>
    <w:rsid w:val="5A555C7D"/>
    <w:rsid w:val="5A6019BB"/>
    <w:rsid w:val="5A6730BD"/>
    <w:rsid w:val="5A6951F3"/>
    <w:rsid w:val="5A6E45B7"/>
    <w:rsid w:val="5A716D8E"/>
    <w:rsid w:val="5A72070E"/>
    <w:rsid w:val="5A7410C5"/>
    <w:rsid w:val="5A805270"/>
    <w:rsid w:val="5A821E11"/>
    <w:rsid w:val="5A843DDB"/>
    <w:rsid w:val="5A89083A"/>
    <w:rsid w:val="5A8913F1"/>
    <w:rsid w:val="5A8C2C8F"/>
    <w:rsid w:val="5A951B44"/>
    <w:rsid w:val="5A971D60"/>
    <w:rsid w:val="5A9B1124"/>
    <w:rsid w:val="5A9C7376"/>
    <w:rsid w:val="5A9F0C15"/>
    <w:rsid w:val="5A9F29C3"/>
    <w:rsid w:val="5AA13774"/>
    <w:rsid w:val="5AA1498D"/>
    <w:rsid w:val="5AA47FD9"/>
    <w:rsid w:val="5AAB580B"/>
    <w:rsid w:val="5AB02E22"/>
    <w:rsid w:val="5AB3021C"/>
    <w:rsid w:val="5ABC3575"/>
    <w:rsid w:val="5ABE2233"/>
    <w:rsid w:val="5ABF12B7"/>
    <w:rsid w:val="5AC02939"/>
    <w:rsid w:val="5AC061CA"/>
    <w:rsid w:val="5AC81FAD"/>
    <w:rsid w:val="5ACD7DA0"/>
    <w:rsid w:val="5AD22D98"/>
    <w:rsid w:val="5AD52888"/>
    <w:rsid w:val="5AE55CE6"/>
    <w:rsid w:val="5AE605F2"/>
    <w:rsid w:val="5AE900E2"/>
    <w:rsid w:val="5AEC41CD"/>
    <w:rsid w:val="5AF160F4"/>
    <w:rsid w:val="5AF30F60"/>
    <w:rsid w:val="5AF32C10"/>
    <w:rsid w:val="5AF56A87"/>
    <w:rsid w:val="5AFC6067"/>
    <w:rsid w:val="5AFC7E15"/>
    <w:rsid w:val="5AFE3B8D"/>
    <w:rsid w:val="5B01542B"/>
    <w:rsid w:val="5B070568"/>
    <w:rsid w:val="5B1769FD"/>
    <w:rsid w:val="5B1909C7"/>
    <w:rsid w:val="5B1F079D"/>
    <w:rsid w:val="5B1F58B2"/>
    <w:rsid w:val="5B2004EC"/>
    <w:rsid w:val="5B276D18"/>
    <w:rsid w:val="5B280C0A"/>
    <w:rsid w:val="5B297096"/>
    <w:rsid w:val="5B33135D"/>
    <w:rsid w:val="5B363143"/>
    <w:rsid w:val="5B370E4D"/>
    <w:rsid w:val="5B372BFB"/>
    <w:rsid w:val="5B484E08"/>
    <w:rsid w:val="5B4D5DFB"/>
    <w:rsid w:val="5B535F4C"/>
    <w:rsid w:val="5B5437AD"/>
    <w:rsid w:val="5B57329D"/>
    <w:rsid w:val="5B597015"/>
    <w:rsid w:val="5B5A2D8E"/>
    <w:rsid w:val="5B5A4B3C"/>
    <w:rsid w:val="5B5B0FE0"/>
    <w:rsid w:val="5B5C08B4"/>
    <w:rsid w:val="5B5C7E50"/>
    <w:rsid w:val="5B5F2152"/>
    <w:rsid w:val="5B6065F6"/>
    <w:rsid w:val="5B61236E"/>
    <w:rsid w:val="5B6139D7"/>
    <w:rsid w:val="5B61411C"/>
    <w:rsid w:val="5B6C3CDC"/>
    <w:rsid w:val="5B7200D7"/>
    <w:rsid w:val="5B745BFD"/>
    <w:rsid w:val="5B765E19"/>
    <w:rsid w:val="5B7C0F56"/>
    <w:rsid w:val="5B7C4516"/>
    <w:rsid w:val="5B7C55F9"/>
    <w:rsid w:val="5B7E082A"/>
    <w:rsid w:val="5B800A46"/>
    <w:rsid w:val="5B804F69"/>
    <w:rsid w:val="5B8322E4"/>
    <w:rsid w:val="5B922527"/>
    <w:rsid w:val="5B9444F1"/>
    <w:rsid w:val="5B962018"/>
    <w:rsid w:val="5B9718EC"/>
    <w:rsid w:val="5B9938B6"/>
    <w:rsid w:val="5B995664"/>
    <w:rsid w:val="5B9960CD"/>
    <w:rsid w:val="5B9C5154"/>
    <w:rsid w:val="5BAC15F8"/>
    <w:rsid w:val="5BAC2986"/>
    <w:rsid w:val="5BB02677"/>
    <w:rsid w:val="5BB5294E"/>
    <w:rsid w:val="5BB93F58"/>
    <w:rsid w:val="5BCD1E2F"/>
    <w:rsid w:val="5BCE7A03"/>
    <w:rsid w:val="5BCF72D8"/>
    <w:rsid w:val="5BD13050"/>
    <w:rsid w:val="5BD42B40"/>
    <w:rsid w:val="5BD62414"/>
    <w:rsid w:val="5BD67531"/>
    <w:rsid w:val="5BD91B0B"/>
    <w:rsid w:val="5BDF5D95"/>
    <w:rsid w:val="5BE00642"/>
    <w:rsid w:val="5BE03293"/>
    <w:rsid w:val="5BE70AC5"/>
    <w:rsid w:val="5BEA5EBF"/>
    <w:rsid w:val="5BEC1C38"/>
    <w:rsid w:val="5BED775E"/>
    <w:rsid w:val="5BF136F2"/>
    <w:rsid w:val="5BF31960"/>
    <w:rsid w:val="5BF64864"/>
    <w:rsid w:val="5BF8281F"/>
    <w:rsid w:val="5C0827EA"/>
    <w:rsid w:val="5C0A47B4"/>
    <w:rsid w:val="5C0E3BCB"/>
    <w:rsid w:val="5C0F5926"/>
    <w:rsid w:val="5C1271C4"/>
    <w:rsid w:val="5C142F3C"/>
    <w:rsid w:val="5C166CB5"/>
    <w:rsid w:val="5C1B076F"/>
    <w:rsid w:val="5C1B1C2D"/>
    <w:rsid w:val="5C1F025F"/>
    <w:rsid w:val="5C2238AB"/>
    <w:rsid w:val="5C225659"/>
    <w:rsid w:val="5C2313D1"/>
    <w:rsid w:val="5C237623"/>
    <w:rsid w:val="5C2440E9"/>
    <w:rsid w:val="5C2B0664"/>
    <w:rsid w:val="5C2D3FFE"/>
    <w:rsid w:val="5C2F421A"/>
    <w:rsid w:val="5C2F7D76"/>
    <w:rsid w:val="5C3029D4"/>
    <w:rsid w:val="5C34538D"/>
    <w:rsid w:val="5C3559D8"/>
    <w:rsid w:val="5C360278"/>
    <w:rsid w:val="5C361105"/>
    <w:rsid w:val="5C3933B5"/>
    <w:rsid w:val="5C485468"/>
    <w:rsid w:val="5C4952DC"/>
    <w:rsid w:val="5C4E28BC"/>
    <w:rsid w:val="5C4E28F2"/>
    <w:rsid w:val="5C4F75BF"/>
    <w:rsid w:val="5C5305C6"/>
    <w:rsid w:val="5C5617A7"/>
    <w:rsid w:val="5C58551F"/>
    <w:rsid w:val="5C594DF3"/>
    <w:rsid w:val="5C5C1087"/>
    <w:rsid w:val="5C62639E"/>
    <w:rsid w:val="5C65155C"/>
    <w:rsid w:val="5C663787"/>
    <w:rsid w:val="5C675762"/>
    <w:rsid w:val="5C6E7D9F"/>
    <w:rsid w:val="5C702869"/>
    <w:rsid w:val="5C757E7F"/>
    <w:rsid w:val="5C7D31D8"/>
    <w:rsid w:val="5C7D4F86"/>
    <w:rsid w:val="5C7E4CC3"/>
    <w:rsid w:val="5C8509BC"/>
    <w:rsid w:val="5C853E3A"/>
    <w:rsid w:val="5C86208C"/>
    <w:rsid w:val="5C877BB2"/>
    <w:rsid w:val="5C8C6F77"/>
    <w:rsid w:val="5C9119F8"/>
    <w:rsid w:val="5C9E33F5"/>
    <w:rsid w:val="5C9F4EFC"/>
    <w:rsid w:val="5CA16EC6"/>
    <w:rsid w:val="5CA42512"/>
    <w:rsid w:val="5CA442C0"/>
    <w:rsid w:val="5CA64CDB"/>
    <w:rsid w:val="5CA93FCD"/>
    <w:rsid w:val="5CAB49EC"/>
    <w:rsid w:val="5CB47963"/>
    <w:rsid w:val="5CB54F11"/>
    <w:rsid w:val="5CB85FBE"/>
    <w:rsid w:val="5CBC5AAE"/>
    <w:rsid w:val="5CBF10FA"/>
    <w:rsid w:val="5CC05F06"/>
    <w:rsid w:val="5CC26E3C"/>
    <w:rsid w:val="5CC56A29"/>
    <w:rsid w:val="5CC606DB"/>
    <w:rsid w:val="5CC6692D"/>
    <w:rsid w:val="5CC932A2"/>
    <w:rsid w:val="5CCB3F43"/>
    <w:rsid w:val="5CCB7A9F"/>
    <w:rsid w:val="5CCD7CBB"/>
    <w:rsid w:val="5CCE758F"/>
    <w:rsid w:val="5CD1707F"/>
    <w:rsid w:val="5CD32DF8"/>
    <w:rsid w:val="5CD54DC2"/>
    <w:rsid w:val="5CD76373"/>
    <w:rsid w:val="5CDC7EFE"/>
    <w:rsid w:val="5CDF354A"/>
    <w:rsid w:val="5CE172C2"/>
    <w:rsid w:val="5CEA4796"/>
    <w:rsid w:val="5CEB3BAF"/>
    <w:rsid w:val="5CEC5C67"/>
    <w:rsid w:val="5CEE378D"/>
    <w:rsid w:val="5CF54079"/>
    <w:rsid w:val="5CFB5EAA"/>
    <w:rsid w:val="5D02548B"/>
    <w:rsid w:val="5D042FB1"/>
    <w:rsid w:val="5D082FB3"/>
    <w:rsid w:val="5D096819"/>
    <w:rsid w:val="5D0E5BDE"/>
    <w:rsid w:val="5D101956"/>
    <w:rsid w:val="5D1256CE"/>
    <w:rsid w:val="5D1551BE"/>
    <w:rsid w:val="5D170F36"/>
    <w:rsid w:val="5D1A27D4"/>
    <w:rsid w:val="5D1B2582"/>
    <w:rsid w:val="5D1D22C5"/>
    <w:rsid w:val="5D1D3926"/>
    <w:rsid w:val="5D1D77F0"/>
    <w:rsid w:val="5D1F428F"/>
    <w:rsid w:val="5D2D075A"/>
    <w:rsid w:val="5D2E6280"/>
    <w:rsid w:val="5D347D3A"/>
    <w:rsid w:val="5D35760E"/>
    <w:rsid w:val="5D375134"/>
    <w:rsid w:val="5D395350"/>
    <w:rsid w:val="5D3C099D"/>
    <w:rsid w:val="5D3F223B"/>
    <w:rsid w:val="5D494E68"/>
    <w:rsid w:val="5D526412"/>
    <w:rsid w:val="5D564448"/>
    <w:rsid w:val="5D616655"/>
    <w:rsid w:val="5D6A375C"/>
    <w:rsid w:val="5D6D7849"/>
    <w:rsid w:val="5D704AEA"/>
    <w:rsid w:val="5D7235D2"/>
    <w:rsid w:val="5D730D16"/>
    <w:rsid w:val="5D7C523D"/>
    <w:rsid w:val="5D7E0FB5"/>
    <w:rsid w:val="5D7F0889"/>
    <w:rsid w:val="5D814602"/>
    <w:rsid w:val="5D821189"/>
    <w:rsid w:val="5D867E6A"/>
    <w:rsid w:val="5D883BE2"/>
    <w:rsid w:val="5D9200D4"/>
    <w:rsid w:val="5D94616F"/>
    <w:rsid w:val="5D955EEB"/>
    <w:rsid w:val="5D9A7B05"/>
    <w:rsid w:val="5DA87DE0"/>
    <w:rsid w:val="5DAD53F7"/>
    <w:rsid w:val="5DB171DF"/>
    <w:rsid w:val="5DB577BD"/>
    <w:rsid w:val="5DB76275"/>
    <w:rsid w:val="5DB93D9B"/>
    <w:rsid w:val="5DBC6D53"/>
    <w:rsid w:val="5DC10EA2"/>
    <w:rsid w:val="5DC43287"/>
    <w:rsid w:val="5DC866D4"/>
    <w:rsid w:val="5DCA7D57"/>
    <w:rsid w:val="5DD1456E"/>
    <w:rsid w:val="5DDB1F64"/>
    <w:rsid w:val="5DDD2180"/>
    <w:rsid w:val="5DE057CC"/>
    <w:rsid w:val="5DE0757A"/>
    <w:rsid w:val="5DEB5F1F"/>
    <w:rsid w:val="5DEB63BE"/>
    <w:rsid w:val="5DEC4171"/>
    <w:rsid w:val="5DF3340F"/>
    <w:rsid w:val="5DF41277"/>
    <w:rsid w:val="5DF64FF0"/>
    <w:rsid w:val="5DF87A0F"/>
    <w:rsid w:val="5DFD2E9D"/>
    <w:rsid w:val="5DFF2729"/>
    <w:rsid w:val="5E044CCE"/>
    <w:rsid w:val="5E0C4813"/>
    <w:rsid w:val="5E0F35C8"/>
    <w:rsid w:val="5E122843"/>
    <w:rsid w:val="5E145476"/>
    <w:rsid w:val="5E167440"/>
    <w:rsid w:val="5E176D14"/>
    <w:rsid w:val="5E18501A"/>
    <w:rsid w:val="5E2B548C"/>
    <w:rsid w:val="5E2C6C63"/>
    <w:rsid w:val="5E2D7187"/>
    <w:rsid w:val="5E337FF2"/>
    <w:rsid w:val="5E3421BB"/>
    <w:rsid w:val="5E3E24F3"/>
    <w:rsid w:val="5E40270F"/>
    <w:rsid w:val="5E40626B"/>
    <w:rsid w:val="5E483371"/>
    <w:rsid w:val="5E4A6B29"/>
    <w:rsid w:val="5E4C10B3"/>
    <w:rsid w:val="5E512226"/>
    <w:rsid w:val="5E5341F0"/>
    <w:rsid w:val="5E541D16"/>
    <w:rsid w:val="5E547F68"/>
    <w:rsid w:val="5E56783C"/>
    <w:rsid w:val="5E5D506F"/>
    <w:rsid w:val="5E653F23"/>
    <w:rsid w:val="5E6774CF"/>
    <w:rsid w:val="5E68756F"/>
    <w:rsid w:val="5E695530"/>
    <w:rsid w:val="5E6A32E8"/>
    <w:rsid w:val="5E710B1A"/>
    <w:rsid w:val="5E745F14"/>
    <w:rsid w:val="5E767EDE"/>
    <w:rsid w:val="5E781EA8"/>
    <w:rsid w:val="5E7A1EB6"/>
    <w:rsid w:val="5E7A3283"/>
    <w:rsid w:val="5E7B278E"/>
    <w:rsid w:val="5E7D126D"/>
    <w:rsid w:val="5E7F4FE5"/>
    <w:rsid w:val="5E8048B9"/>
    <w:rsid w:val="5E806C53"/>
    <w:rsid w:val="5E892B2C"/>
    <w:rsid w:val="5E8B1BDC"/>
    <w:rsid w:val="5E8E347A"/>
    <w:rsid w:val="5E913942"/>
    <w:rsid w:val="5E916AC6"/>
    <w:rsid w:val="5E975130"/>
    <w:rsid w:val="5E9842F9"/>
    <w:rsid w:val="5E9A1E1F"/>
    <w:rsid w:val="5EA20CD3"/>
    <w:rsid w:val="5EA507C4"/>
    <w:rsid w:val="5EA558D6"/>
    <w:rsid w:val="5EA66A16"/>
    <w:rsid w:val="5EA92062"/>
    <w:rsid w:val="5EA92521"/>
    <w:rsid w:val="5EAB5E7A"/>
    <w:rsid w:val="5EAB68BC"/>
    <w:rsid w:val="5EAE58CA"/>
    <w:rsid w:val="5EB033F0"/>
    <w:rsid w:val="5EB4159E"/>
    <w:rsid w:val="5EBA426F"/>
    <w:rsid w:val="5EC073AC"/>
    <w:rsid w:val="5EC450EE"/>
    <w:rsid w:val="5EC50F92"/>
    <w:rsid w:val="5EC92704"/>
    <w:rsid w:val="5ECF37B3"/>
    <w:rsid w:val="5ECF75EF"/>
    <w:rsid w:val="5ED05ACE"/>
    <w:rsid w:val="5ED115B9"/>
    <w:rsid w:val="5ED6097D"/>
    <w:rsid w:val="5ED66BCF"/>
    <w:rsid w:val="5ED846F5"/>
    <w:rsid w:val="5EDC303D"/>
    <w:rsid w:val="5EDF7832"/>
    <w:rsid w:val="5EE4753E"/>
    <w:rsid w:val="5EE65064"/>
    <w:rsid w:val="5EE66E12"/>
    <w:rsid w:val="5EE80859"/>
    <w:rsid w:val="5EE82168"/>
    <w:rsid w:val="5EEE5CC7"/>
    <w:rsid w:val="5EF4086E"/>
    <w:rsid w:val="5EF62DCD"/>
    <w:rsid w:val="5EF77271"/>
    <w:rsid w:val="5F0059FA"/>
    <w:rsid w:val="5F013C4C"/>
    <w:rsid w:val="5F061E42"/>
    <w:rsid w:val="5F08322C"/>
    <w:rsid w:val="5F092B01"/>
    <w:rsid w:val="5F0B0627"/>
    <w:rsid w:val="5F0B6879"/>
    <w:rsid w:val="5F0E0117"/>
    <w:rsid w:val="5F0E45BB"/>
    <w:rsid w:val="5F0E7E34"/>
    <w:rsid w:val="5F1514A5"/>
    <w:rsid w:val="5F1576F7"/>
    <w:rsid w:val="5F182D44"/>
    <w:rsid w:val="5F1A2B43"/>
    <w:rsid w:val="5F1D035A"/>
    <w:rsid w:val="5F1F2324"/>
    <w:rsid w:val="5F21088D"/>
    <w:rsid w:val="5F223BC2"/>
    <w:rsid w:val="5F245B8C"/>
    <w:rsid w:val="5F294F51"/>
    <w:rsid w:val="5F2C67EF"/>
    <w:rsid w:val="5F30008D"/>
    <w:rsid w:val="5F304531"/>
    <w:rsid w:val="5F3A715E"/>
    <w:rsid w:val="5F3F4090"/>
    <w:rsid w:val="5F405364"/>
    <w:rsid w:val="5F4104EC"/>
    <w:rsid w:val="5F4A7642"/>
    <w:rsid w:val="5F5226F9"/>
    <w:rsid w:val="5F546472"/>
    <w:rsid w:val="5F577D10"/>
    <w:rsid w:val="5F5F4E16"/>
    <w:rsid w:val="5F675A73"/>
    <w:rsid w:val="5F6A1B95"/>
    <w:rsid w:val="5F6B7317"/>
    <w:rsid w:val="5F6D12E1"/>
    <w:rsid w:val="5F700DD2"/>
    <w:rsid w:val="5F75455E"/>
    <w:rsid w:val="5F761608"/>
    <w:rsid w:val="5F7D704B"/>
    <w:rsid w:val="5F7E34EF"/>
    <w:rsid w:val="5F80653E"/>
    <w:rsid w:val="5F8623A3"/>
    <w:rsid w:val="5F8D4DCC"/>
    <w:rsid w:val="5F8D54E0"/>
    <w:rsid w:val="5F8E1258"/>
    <w:rsid w:val="5F97010C"/>
    <w:rsid w:val="5F9F5213"/>
    <w:rsid w:val="5FA32F55"/>
    <w:rsid w:val="5FA34D03"/>
    <w:rsid w:val="5FA42829"/>
    <w:rsid w:val="5FA8056B"/>
    <w:rsid w:val="5FA97E40"/>
    <w:rsid w:val="5FAA6092"/>
    <w:rsid w:val="5FAD000C"/>
    <w:rsid w:val="5FB31BE9"/>
    <w:rsid w:val="5FB36ECE"/>
    <w:rsid w:val="5FB707AE"/>
    <w:rsid w:val="5FB837BB"/>
    <w:rsid w:val="5FBA204D"/>
    <w:rsid w:val="5FBD3482"/>
    <w:rsid w:val="5FBE38EB"/>
    <w:rsid w:val="5FC15189"/>
    <w:rsid w:val="5FC37153"/>
    <w:rsid w:val="5FC52809"/>
    <w:rsid w:val="5FC773F1"/>
    <w:rsid w:val="5FCB6008"/>
    <w:rsid w:val="5FCD1D80"/>
    <w:rsid w:val="5FD27396"/>
    <w:rsid w:val="5FD44EBD"/>
    <w:rsid w:val="5FDA618F"/>
    <w:rsid w:val="5FE23F34"/>
    <w:rsid w:val="5FE315A4"/>
    <w:rsid w:val="5FE62E42"/>
    <w:rsid w:val="5FED41D0"/>
    <w:rsid w:val="5FEF0E70"/>
    <w:rsid w:val="5FEF1CF6"/>
    <w:rsid w:val="5FEF619A"/>
    <w:rsid w:val="5FF732A1"/>
    <w:rsid w:val="5FF7504F"/>
    <w:rsid w:val="5FFA1467"/>
    <w:rsid w:val="60002155"/>
    <w:rsid w:val="60025ECE"/>
    <w:rsid w:val="600357A2"/>
    <w:rsid w:val="60065E0F"/>
    <w:rsid w:val="60082DB8"/>
    <w:rsid w:val="600D44FB"/>
    <w:rsid w:val="60125EE4"/>
    <w:rsid w:val="6017124D"/>
    <w:rsid w:val="601A63AB"/>
    <w:rsid w:val="60206354"/>
    <w:rsid w:val="60255718"/>
    <w:rsid w:val="602A0F80"/>
    <w:rsid w:val="602A71D2"/>
    <w:rsid w:val="603242D9"/>
    <w:rsid w:val="603911C4"/>
    <w:rsid w:val="603F6369"/>
    <w:rsid w:val="60402552"/>
    <w:rsid w:val="60432479"/>
    <w:rsid w:val="60477D84"/>
    <w:rsid w:val="604D4C6F"/>
    <w:rsid w:val="604E1113"/>
    <w:rsid w:val="60520CB5"/>
    <w:rsid w:val="60591866"/>
    <w:rsid w:val="60593614"/>
    <w:rsid w:val="60594A54"/>
    <w:rsid w:val="606A75CF"/>
    <w:rsid w:val="607D004F"/>
    <w:rsid w:val="607D10C7"/>
    <w:rsid w:val="607E307A"/>
    <w:rsid w:val="60805044"/>
    <w:rsid w:val="60885CA7"/>
    <w:rsid w:val="608F34D9"/>
    <w:rsid w:val="60910B83"/>
    <w:rsid w:val="60912DAE"/>
    <w:rsid w:val="60917251"/>
    <w:rsid w:val="60936B26"/>
    <w:rsid w:val="6098413C"/>
    <w:rsid w:val="60997EB4"/>
    <w:rsid w:val="609D069B"/>
    <w:rsid w:val="609D11F2"/>
    <w:rsid w:val="609D79A4"/>
    <w:rsid w:val="609E371C"/>
    <w:rsid w:val="60A056E7"/>
    <w:rsid w:val="60A07495"/>
    <w:rsid w:val="60A56859"/>
    <w:rsid w:val="60A644EA"/>
    <w:rsid w:val="60A76A75"/>
    <w:rsid w:val="60A96349"/>
    <w:rsid w:val="60AC1FF9"/>
    <w:rsid w:val="60AE14F9"/>
    <w:rsid w:val="60B13610"/>
    <w:rsid w:val="60B30F76"/>
    <w:rsid w:val="60B66CA1"/>
    <w:rsid w:val="60B66CB8"/>
    <w:rsid w:val="60D55390"/>
    <w:rsid w:val="60D64C64"/>
    <w:rsid w:val="60D84E80"/>
    <w:rsid w:val="60DD4245"/>
    <w:rsid w:val="60E37E0A"/>
    <w:rsid w:val="60E76E71"/>
    <w:rsid w:val="60E94998"/>
    <w:rsid w:val="60E9572D"/>
    <w:rsid w:val="60EE1FAE"/>
    <w:rsid w:val="60EF48AF"/>
    <w:rsid w:val="60EF5D26"/>
    <w:rsid w:val="60F34B93"/>
    <w:rsid w:val="60F872D1"/>
    <w:rsid w:val="60F877AE"/>
    <w:rsid w:val="60F9034D"/>
    <w:rsid w:val="60F90953"/>
    <w:rsid w:val="60FD6695"/>
    <w:rsid w:val="60FF41BB"/>
    <w:rsid w:val="61016185"/>
    <w:rsid w:val="610417D1"/>
    <w:rsid w:val="61045C75"/>
    <w:rsid w:val="610C68D8"/>
    <w:rsid w:val="610D1BF1"/>
    <w:rsid w:val="610E08A2"/>
    <w:rsid w:val="610F7301"/>
    <w:rsid w:val="61102E0F"/>
    <w:rsid w:val="61165902"/>
    <w:rsid w:val="611759A9"/>
    <w:rsid w:val="611834CF"/>
    <w:rsid w:val="611A2DA3"/>
    <w:rsid w:val="6129748A"/>
    <w:rsid w:val="612B4CC9"/>
    <w:rsid w:val="612B4FB0"/>
    <w:rsid w:val="612F6F8F"/>
    <w:rsid w:val="613025C6"/>
    <w:rsid w:val="61377DF9"/>
    <w:rsid w:val="613876CD"/>
    <w:rsid w:val="6139071C"/>
    <w:rsid w:val="613F0A5C"/>
    <w:rsid w:val="6144421A"/>
    <w:rsid w:val="615053A3"/>
    <w:rsid w:val="6151253D"/>
    <w:rsid w:val="6152204F"/>
    <w:rsid w:val="61595DDF"/>
    <w:rsid w:val="615A3AE7"/>
    <w:rsid w:val="615D7134"/>
    <w:rsid w:val="615E35D8"/>
    <w:rsid w:val="615F10FE"/>
    <w:rsid w:val="61602923"/>
    <w:rsid w:val="6162299C"/>
    <w:rsid w:val="61652C96"/>
    <w:rsid w:val="61693D2A"/>
    <w:rsid w:val="616B7AA3"/>
    <w:rsid w:val="61700C15"/>
    <w:rsid w:val="6170768E"/>
    <w:rsid w:val="617701F5"/>
    <w:rsid w:val="61783F6D"/>
    <w:rsid w:val="6178408E"/>
    <w:rsid w:val="617A7CE6"/>
    <w:rsid w:val="617E77D6"/>
    <w:rsid w:val="61834DEC"/>
    <w:rsid w:val="618446C0"/>
    <w:rsid w:val="61897F29"/>
    <w:rsid w:val="618B5A4F"/>
    <w:rsid w:val="61903065"/>
    <w:rsid w:val="61907509"/>
    <w:rsid w:val="61926DDD"/>
    <w:rsid w:val="619743F4"/>
    <w:rsid w:val="61A15272"/>
    <w:rsid w:val="61A170E7"/>
    <w:rsid w:val="61A42FB4"/>
    <w:rsid w:val="61A66D2D"/>
    <w:rsid w:val="61AD3C17"/>
    <w:rsid w:val="61B2122D"/>
    <w:rsid w:val="61B551C2"/>
    <w:rsid w:val="61B56F70"/>
    <w:rsid w:val="61B96A60"/>
    <w:rsid w:val="61BE4076"/>
    <w:rsid w:val="61BF1B9C"/>
    <w:rsid w:val="61C80A51"/>
    <w:rsid w:val="61CA2A1B"/>
    <w:rsid w:val="61CB46C0"/>
    <w:rsid w:val="61CB62CF"/>
    <w:rsid w:val="61CE3B8D"/>
    <w:rsid w:val="61D373F6"/>
    <w:rsid w:val="61D70C94"/>
    <w:rsid w:val="61D86D49"/>
    <w:rsid w:val="61E03976"/>
    <w:rsid w:val="61E32DD8"/>
    <w:rsid w:val="61E37639"/>
    <w:rsid w:val="61E57855"/>
    <w:rsid w:val="61E84C4F"/>
    <w:rsid w:val="61EB0BE3"/>
    <w:rsid w:val="61EB473F"/>
    <w:rsid w:val="61ED04B8"/>
    <w:rsid w:val="61EF4230"/>
    <w:rsid w:val="61F01D56"/>
    <w:rsid w:val="61F950AE"/>
    <w:rsid w:val="61F96E5C"/>
    <w:rsid w:val="61FE0917"/>
    <w:rsid w:val="61FE26C5"/>
    <w:rsid w:val="62020581"/>
    <w:rsid w:val="62033E14"/>
    <w:rsid w:val="620A72BB"/>
    <w:rsid w:val="62287742"/>
    <w:rsid w:val="622A5268"/>
    <w:rsid w:val="6232236E"/>
    <w:rsid w:val="62344338"/>
    <w:rsid w:val="62361E5F"/>
    <w:rsid w:val="62364782"/>
    <w:rsid w:val="62375AF0"/>
    <w:rsid w:val="62375BD7"/>
    <w:rsid w:val="62397551"/>
    <w:rsid w:val="623A66C4"/>
    <w:rsid w:val="623E0D13"/>
    <w:rsid w:val="623E47E2"/>
    <w:rsid w:val="623E6F65"/>
    <w:rsid w:val="623F6839"/>
    <w:rsid w:val="62426A55"/>
    <w:rsid w:val="62436329"/>
    <w:rsid w:val="62483940"/>
    <w:rsid w:val="624A1848"/>
    <w:rsid w:val="624C78D4"/>
    <w:rsid w:val="624D53FA"/>
    <w:rsid w:val="62540537"/>
    <w:rsid w:val="625422E5"/>
    <w:rsid w:val="625B18C5"/>
    <w:rsid w:val="625B3673"/>
    <w:rsid w:val="625E0B40"/>
    <w:rsid w:val="62626B0C"/>
    <w:rsid w:val="62636AC5"/>
    <w:rsid w:val="62647CEB"/>
    <w:rsid w:val="626B762E"/>
    <w:rsid w:val="626F35C2"/>
    <w:rsid w:val="626F778E"/>
    <w:rsid w:val="627012E0"/>
    <w:rsid w:val="62726C0F"/>
    <w:rsid w:val="62740BD9"/>
    <w:rsid w:val="62783599"/>
    <w:rsid w:val="62791D4B"/>
    <w:rsid w:val="62797F9D"/>
    <w:rsid w:val="62830581"/>
    <w:rsid w:val="6286301C"/>
    <w:rsid w:val="62864468"/>
    <w:rsid w:val="628801E0"/>
    <w:rsid w:val="62881A95"/>
    <w:rsid w:val="62890576"/>
    <w:rsid w:val="62894684"/>
    <w:rsid w:val="628A21AA"/>
    <w:rsid w:val="628C7CD0"/>
    <w:rsid w:val="62946DCA"/>
    <w:rsid w:val="62950184"/>
    <w:rsid w:val="62975F54"/>
    <w:rsid w:val="629F3071"/>
    <w:rsid w:val="62A052B7"/>
    <w:rsid w:val="62A27CA7"/>
    <w:rsid w:val="62A768B8"/>
    <w:rsid w:val="62AA63A9"/>
    <w:rsid w:val="62AC2121"/>
    <w:rsid w:val="62AE5E99"/>
    <w:rsid w:val="62B2525D"/>
    <w:rsid w:val="62B47227"/>
    <w:rsid w:val="62B66AFB"/>
    <w:rsid w:val="62BD2580"/>
    <w:rsid w:val="62BD6C15"/>
    <w:rsid w:val="62BF7FA3"/>
    <w:rsid w:val="62C05BCC"/>
    <w:rsid w:val="62C0797A"/>
    <w:rsid w:val="62C236F2"/>
    <w:rsid w:val="62C456BC"/>
    <w:rsid w:val="62C751AC"/>
    <w:rsid w:val="62CC4571"/>
    <w:rsid w:val="62CE3B87"/>
    <w:rsid w:val="62D376AD"/>
    <w:rsid w:val="62D84CC4"/>
    <w:rsid w:val="62D94DD2"/>
    <w:rsid w:val="62DB155F"/>
    <w:rsid w:val="62DE6052"/>
    <w:rsid w:val="62E23D94"/>
    <w:rsid w:val="62E418BB"/>
    <w:rsid w:val="62E42611"/>
    <w:rsid w:val="62E713AB"/>
    <w:rsid w:val="62EC4C13"/>
    <w:rsid w:val="62EF025F"/>
    <w:rsid w:val="62F0280B"/>
    <w:rsid w:val="62F5014F"/>
    <w:rsid w:val="62FD297C"/>
    <w:rsid w:val="63021D41"/>
    <w:rsid w:val="6308735D"/>
    <w:rsid w:val="630930CF"/>
    <w:rsid w:val="630A6E47"/>
    <w:rsid w:val="630B4F5E"/>
    <w:rsid w:val="631101D6"/>
    <w:rsid w:val="631B1054"/>
    <w:rsid w:val="631B2E02"/>
    <w:rsid w:val="631B69F2"/>
    <w:rsid w:val="631F28F3"/>
    <w:rsid w:val="63205C13"/>
    <w:rsid w:val="63212B0F"/>
    <w:rsid w:val="63225184"/>
    <w:rsid w:val="63235063"/>
    <w:rsid w:val="6324615B"/>
    <w:rsid w:val="63260125"/>
    <w:rsid w:val="63286F28"/>
    <w:rsid w:val="632A1297"/>
    <w:rsid w:val="63332842"/>
    <w:rsid w:val="633914DA"/>
    <w:rsid w:val="633D18C0"/>
    <w:rsid w:val="633D2BD8"/>
    <w:rsid w:val="633D721D"/>
    <w:rsid w:val="63402869"/>
    <w:rsid w:val="63416D0D"/>
    <w:rsid w:val="63436152"/>
    <w:rsid w:val="63446617"/>
    <w:rsid w:val="634632A4"/>
    <w:rsid w:val="63471E49"/>
    <w:rsid w:val="63473653"/>
    <w:rsid w:val="63493E13"/>
    <w:rsid w:val="634C7460"/>
    <w:rsid w:val="634E142A"/>
    <w:rsid w:val="63554566"/>
    <w:rsid w:val="63556314"/>
    <w:rsid w:val="6356208C"/>
    <w:rsid w:val="635D78BF"/>
    <w:rsid w:val="63650337"/>
    <w:rsid w:val="6367429A"/>
    <w:rsid w:val="63676048"/>
    <w:rsid w:val="636B1FDC"/>
    <w:rsid w:val="636B5B38"/>
    <w:rsid w:val="636C365E"/>
    <w:rsid w:val="637013A0"/>
    <w:rsid w:val="6370314E"/>
    <w:rsid w:val="63711839"/>
    <w:rsid w:val="637644DD"/>
    <w:rsid w:val="637864A7"/>
    <w:rsid w:val="637C31BE"/>
    <w:rsid w:val="637C7D45"/>
    <w:rsid w:val="637D1D0F"/>
    <w:rsid w:val="637F3391"/>
    <w:rsid w:val="63811F35"/>
    <w:rsid w:val="63881DBD"/>
    <w:rsid w:val="63883103"/>
    <w:rsid w:val="638D4E7E"/>
    <w:rsid w:val="638E7A78"/>
    <w:rsid w:val="639130C5"/>
    <w:rsid w:val="63950E07"/>
    <w:rsid w:val="63952BB5"/>
    <w:rsid w:val="639808F7"/>
    <w:rsid w:val="639A466F"/>
    <w:rsid w:val="639B1A12"/>
    <w:rsid w:val="63A252D2"/>
    <w:rsid w:val="63A46FFC"/>
    <w:rsid w:val="63A849D2"/>
    <w:rsid w:val="63AB4186"/>
    <w:rsid w:val="63B05C41"/>
    <w:rsid w:val="63B76FCF"/>
    <w:rsid w:val="63C419B3"/>
    <w:rsid w:val="63C4349A"/>
    <w:rsid w:val="63C811DC"/>
    <w:rsid w:val="63C86A2B"/>
    <w:rsid w:val="63CD67F3"/>
    <w:rsid w:val="63D054A9"/>
    <w:rsid w:val="63D40BE9"/>
    <w:rsid w:val="63D47F9E"/>
    <w:rsid w:val="63D86F45"/>
    <w:rsid w:val="63DD455C"/>
    <w:rsid w:val="63E0211F"/>
    <w:rsid w:val="63E1404C"/>
    <w:rsid w:val="63E37DC4"/>
    <w:rsid w:val="63E678B4"/>
    <w:rsid w:val="63EB4ECB"/>
    <w:rsid w:val="63EC4EF3"/>
    <w:rsid w:val="63ED29F1"/>
    <w:rsid w:val="63ED479F"/>
    <w:rsid w:val="63FE69AC"/>
    <w:rsid w:val="6401024A"/>
    <w:rsid w:val="6405643E"/>
    <w:rsid w:val="64061D04"/>
    <w:rsid w:val="640815D9"/>
    <w:rsid w:val="6408782B"/>
    <w:rsid w:val="640F2D98"/>
    <w:rsid w:val="6410048D"/>
    <w:rsid w:val="64137F7D"/>
    <w:rsid w:val="64144421"/>
    <w:rsid w:val="64191A38"/>
    <w:rsid w:val="64195594"/>
    <w:rsid w:val="641C5084"/>
    <w:rsid w:val="641E704E"/>
    <w:rsid w:val="642167B4"/>
    <w:rsid w:val="642B3519"/>
    <w:rsid w:val="642F125B"/>
    <w:rsid w:val="643028DD"/>
    <w:rsid w:val="64370110"/>
    <w:rsid w:val="64393E88"/>
    <w:rsid w:val="643C5726"/>
    <w:rsid w:val="643E0E5C"/>
    <w:rsid w:val="643E5117"/>
    <w:rsid w:val="64432611"/>
    <w:rsid w:val="64485E79"/>
    <w:rsid w:val="644B034C"/>
    <w:rsid w:val="644E3D19"/>
    <w:rsid w:val="644F0FB6"/>
    <w:rsid w:val="64524F4A"/>
    <w:rsid w:val="64534785"/>
    <w:rsid w:val="64552344"/>
    <w:rsid w:val="645667E8"/>
    <w:rsid w:val="645B3DFE"/>
    <w:rsid w:val="645C7B76"/>
    <w:rsid w:val="645E38EF"/>
    <w:rsid w:val="645F0A48"/>
    <w:rsid w:val="64654C7D"/>
    <w:rsid w:val="64684E3B"/>
    <w:rsid w:val="646A2293"/>
    <w:rsid w:val="647535D9"/>
    <w:rsid w:val="647640BA"/>
    <w:rsid w:val="6477327D"/>
    <w:rsid w:val="647C1FC7"/>
    <w:rsid w:val="647C3D75"/>
    <w:rsid w:val="647F4AE8"/>
    <w:rsid w:val="6483767E"/>
    <w:rsid w:val="648746EA"/>
    <w:rsid w:val="6487551C"/>
    <w:rsid w:val="648917D7"/>
    <w:rsid w:val="648A46E4"/>
    <w:rsid w:val="648A7941"/>
    <w:rsid w:val="649308CA"/>
    <w:rsid w:val="649317EA"/>
    <w:rsid w:val="64933ABF"/>
    <w:rsid w:val="649E3CEB"/>
    <w:rsid w:val="64A4355C"/>
    <w:rsid w:val="64AD3F2E"/>
    <w:rsid w:val="64AF414A"/>
    <w:rsid w:val="64B452BD"/>
    <w:rsid w:val="64B55F14"/>
    <w:rsid w:val="64BE438D"/>
    <w:rsid w:val="64C00105"/>
    <w:rsid w:val="64C23E7D"/>
    <w:rsid w:val="64C45AF8"/>
    <w:rsid w:val="64C574CA"/>
    <w:rsid w:val="64C64FF0"/>
    <w:rsid w:val="64C73242"/>
    <w:rsid w:val="64C84907"/>
    <w:rsid w:val="64C97967"/>
    <w:rsid w:val="64CA0F84"/>
    <w:rsid w:val="64CB5679"/>
    <w:rsid w:val="64CC2606"/>
    <w:rsid w:val="64D836A1"/>
    <w:rsid w:val="64DB6CED"/>
    <w:rsid w:val="64DF43D9"/>
    <w:rsid w:val="64E060B2"/>
    <w:rsid w:val="64E41150"/>
    <w:rsid w:val="64E536C8"/>
    <w:rsid w:val="64E75692"/>
    <w:rsid w:val="64EA33D4"/>
    <w:rsid w:val="64EC08CE"/>
    <w:rsid w:val="64EC2CA8"/>
    <w:rsid w:val="64EF09EB"/>
    <w:rsid w:val="64F66EBC"/>
    <w:rsid w:val="64FB738F"/>
    <w:rsid w:val="64FD4EB5"/>
    <w:rsid w:val="64FF0C2E"/>
    <w:rsid w:val="6502071E"/>
    <w:rsid w:val="650B6F5C"/>
    <w:rsid w:val="650F65D3"/>
    <w:rsid w:val="65110961"/>
    <w:rsid w:val="65136487"/>
    <w:rsid w:val="651569E0"/>
    <w:rsid w:val="651D5558"/>
    <w:rsid w:val="651D7306"/>
    <w:rsid w:val="65230BB9"/>
    <w:rsid w:val="6525705F"/>
    <w:rsid w:val="652B54CB"/>
    <w:rsid w:val="652C16E9"/>
    <w:rsid w:val="652C579B"/>
    <w:rsid w:val="652E1513"/>
    <w:rsid w:val="65332685"/>
    <w:rsid w:val="653463FD"/>
    <w:rsid w:val="65373578"/>
    <w:rsid w:val="65384140"/>
    <w:rsid w:val="653A02CF"/>
    <w:rsid w:val="65422BA7"/>
    <w:rsid w:val="65442AE4"/>
    <w:rsid w:val="65494C94"/>
    <w:rsid w:val="654C3747"/>
    <w:rsid w:val="654E74BF"/>
    <w:rsid w:val="655467D1"/>
    <w:rsid w:val="655B398A"/>
    <w:rsid w:val="6560179B"/>
    <w:rsid w:val="65624D19"/>
    <w:rsid w:val="65652A5B"/>
    <w:rsid w:val="65654809"/>
    <w:rsid w:val="656D4024"/>
    <w:rsid w:val="65705687"/>
    <w:rsid w:val="65711400"/>
    <w:rsid w:val="65711DFC"/>
    <w:rsid w:val="65747D87"/>
    <w:rsid w:val="65756075"/>
    <w:rsid w:val="657809E0"/>
    <w:rsid w:val="657A4758"/>
    <w:rsid w:val="657F1404"/>
    <w:rsid w:val="657F3B1C"/>
    <w:rsid w:val="65856C59"/>
    <w:rsid w:val="658630FD"/>
    <w:rsid w:val="65896749"/>
    <w:rsid w:val="658C6239"/>
    <w:rsid w:val="65921AA2"/>
    <w:rsid w:val="65960165"/>
    <w:rsid w:val="6598163C"/>
    <w:rsid w:val="65997102"/>
    <w:rsid w:val="659B022A"/>
    <w:rsid w:val="659D21F5"/>
    <w:rsid w:val="659D2CB2"/>
    <w:rsid w:val="659D498D"/>
    <w:rsid w:val="65A101C8"/>
    <w:rsid w:val="65A11CE5"/>
    <w:rsid w:val="65A72B90"/>
    <w:rsid w:val="65AB2B63"/>
    <w:rsid w:val="65B4371E"/>
    <w:rsid w:val="65C459D3"/>
    <w:rsid w:val="65C47781"/>
    <w:rsid w:val="65C71020"/>
    <w:rsid w:val="65C94D98"/>
    <w:rsid w:val="65CC6636"/>
    <w:rsid w:val="65D025CA"/>
    <w:rsid w:val="65D16249"/>
    <w:rsid w:val="65D379C4"/>
    <w:rsid w:val="65D57BE0"/>
    <w:rsid w:val="65E472BA"/>
    <w:rsid w:val="65E6594A"/>
    <w:rsid w:val="65EB7404"/>
    <w:rsid w:val="65F004D2"/>
    <w:rsid w:val="65F067C8"/>
    <w:rsid w:val="65F57307"/>
    <w:rsid w:val="65F71905"/>
    <w:rsid w:val="65F938CF"/>
    <w:rsid w:val="65FC516D"/>
    <w:rsid w:val="65FD2C93"/>
    <w:rsid w:val="65FE1159"/>
    <w:rsid w:val="65FF6A0B"/>
    <w:rsid w:val="66017C1F"/>
    <w:rsid w:val="6603474E"/>
    <w:rsid w:val="66063C4D"/>
    <w:rsid w:val="660B1854"/>
    <w:rsid w:val="660C375D"/>
    <w:rsid w:val="66122D27"/>
    <w:rsid w:val="6612673F"/>
    <w:rsid w:val="66154481"/>
    <w:rsid w:val="66173518"/>
    <w:rsid w:val="661C3F42"/>
    <w:rsid w:val="662045C9"/>
    <w:rsid w:val="6624697A"/>
    <w:rsid w:val="66280D11"/>
    <w:rsid w:val="662841B4"/>
    <w:rsid w:val="662A1D70"/>
    <w:rsid w:val="662D5327"/>
    <w:rsid w:val="662F5543"/>
    <w:rsid w:val="66342B59"/>
    <w:rsid w:val="66377F53"/>
    <w:rsid w:val="663E0BF4"/>
    <w:rsid w:val="663E5786"/>
    <w:rsid w:val="663F0955"/>
    <w:rsid w:val="66434B4A"/>
    <w:rsid w:val="66476DEF"/>
    <w:rsid w:val="66482160"/>
    <w:rsid w:val="664B1C51"/>
    <w:rsid w:val="664B7EA3"/>
    <w:rsid w:val="664D7777"/>
    <w:rsid w:val="66544FA9"/>
    <w:rsid w:val="6655487D"/>
    <w:rsid w:val="665E3732"/>
    <w:rsid w:val="665E7BD6"/>
    <w:rsid w:val="66660838"/>
    <w:rsid w:val="666F1DE3"/>
    <w:rsid w:val="66703465"/>
    <w:rsid w:val="667967BE"/>
    <w:rsid w:val="667B0788"/>
    <w:rsid w:val="667B2536"/>
    <w:rsid w:val="6680501B"/>
    <w:rsid w:val="668313EA"/>
    <w:rsid w:val="66833198"/>
    <w:rsid w:val="668533B4"/>
    <w:rsid w:val="66854445"/>
    <w:rsid w:val="668D2269"/>
    <w:rsid w:val="668D7512"/>
    <w:rsid w:val="668E3573"/>
    <w:rsid w:val="668F5FE1"/>
    <w:rsid w:val="669B2BD8"/>
    <w:rsid w:val="669B6734"/>
    <w:rsid w:val="66A15D14"/>
    <w:rsid w:val="66A23F66"/>
    <w:rsid w:val="66A3383B"/>
    <w:rsid w:val="66A6332B"/>
    <w:rsid w:val="66A870A3"/>
    <w:rsid w:val="66AB0941"/>
    <w:rsid w:val="66B141AA"/>
    <w:rsid w:val="66B5531C"/>
    <w:rsid w:val="66B772E6"/>
    <w:rsid w:val="66B912B0"/>
    <w:rsid w:val="66BB7D21"/>
    <w:rsid w:val="66C51A03"/>
    <w:rsid w:val="66C57C55"/>
    <w:rsid w:val="66CD4D5B"/>
    <w:rsid w:val="66CF4630"/>
    <w:rsid w:val="66CF63DE"/>
    <w:rsid w:val="66D165FA"/>
    <w:rsid w:val="66D439F4"/>
    <w:rsid w:val="66D63C10"/>
    <w:rsid w:val="66DD63E5"/>
    <w:rsid w:val="66E16111"/>
    <w:rsid w:val="66EA76BB"/>
    <w:rsid w:val="66EC6F90"/>
    <w:rsid w:val="66F05F34"/>
    <w:rsid w:val="66F4477F"/>
    <w:rsid w:val="66F93E1B"/>
    <w:rsid w:val="66FD73EF"/>
    <w:rsid w:val="67000C8D"/>
    <w:rsid w:val="67006EDF"/>
    <w:rsid w:val="67167D84"/>
    <w:rsid w:val="671A2875"/>
    <w:rsid w:val="672030DD"/>
    <w:rsid w:val="67211A19"/>
    <w:rsid w:val="67220C03"/>
    <w:rsid w:val="6723497B"/>
    <w:rsid w:val="6727621A"/>
    <w:rsid w:val="67295A58"/>
    <w:rsid w:val="672A5D0A"/>
    <w:rsid w:val="672C6851"/>
    <w:rsid w:val="672D4457"/>
    <w:rsid w:val="672F1572"/>
    <w:rsid w:val="67317098"/>
    <w:rsid w:val="67335705"/>
    <w:rsid w:val="67380715"/>
    <w:rsid w:val="673B1CC5"/>
    <w:rsid w:val="673D77EB"/>
    <w:rsid w:val="673F2C7A"/>
    <w:rsid w:val="673F7A07"/>
    <w:rsid w:val="674072DB"/>
    <w:rsid w:val="674A094A"/>
    <w:rsid w:val="675016C2"/>
    <w:rsid w:val="67522FB5"/>
    <w:rsid w:val="67540894"/>
    <w:rsid w:val="67566EED"/>
    <w:rsid w:val="67580AC9"/>
    <w:rsid w:val="67584625"/>
    <w:rsid w:val="676254A4"/>
    <w:rsid w:val="67642FCA"/>
    <w:rsid w:val="6765041B"/>
    <w:rsid w:val="676540F5"/>
    <w:rsid w:val="676E3E49"/>
    <w:rsid w:val="676F196F"/>
    <w:rsid w:val="6773320D"/>
    <w:rsid w:val="67746F85"/>
    <w:rsid w:val="677671A1"/>
    <w:rsid w:val="67786A75"/>
    <w:rsid w:val="677B6565"/>
    <w:rsid w:val="677F6056"/>
    <w:rsid w:val="6780592A"/>
    <w:rsid w:val="678278F4"/>
    <w:rsid w:val="678418BE"/>
    <w:rsid w:val="67841F6B"/>
    <w:rsid w:val="6784366C"/>
    <w:rsid w:val="67883798"/>
    <w:rsid w:val="67892A30"/>
    <w:rsid w:val="67896ED4"/>
    <w:rsid w:val="678B49FB"/>
    <w:rsid w:val="678C0773"/>
    <w:rsid w:val="678E0047"/>
    <w:rsid w:val="678E6299"/>
    <w:rsid w:val="67900263"/>
    <w:rsid w:val="679413D5"/>
    <w:rsid w:val="67980EC5"/>
    <w:rsid w:val="67982C74"/>
    <w:rsid w:val="679A2E90"/>
    <w:rsid w:val="679B1BC9"/>
    <w:rsid w:val="67A05409"/>
    <w:rsid w:val="67A20640"/>
    <w:rsid w:val="67A26575"/>
    <w:rsid w:val="67AC4971"/>
    <w:rsid w:val="67B33F51"/>
    <w:rsid w:val="67B75622"/>
    <w:rsid w:val="67BD72E9"/>
    <w:rsid w:val="67C5088E"/>
    <w:rsid w:val="67C63C85"/>
    <w:rsid w:val="67CB3049"/>
    <w:rsid w:val="67CC0B6F"/>
    <w:rsid w:val="67CF2049"/>
    <w:rsid w:val="67D11A4E"/>
    <w:rsid w:val="67D22629"/>
    <w:rsid w:val="67D411EB"/>
    <w:rsid w:val="67D545BD"/>
    <w:rsid w:val="67DD4B2A"/>
    <w:rsid w:val="67E1286C"/>
    <w:rsid w:val="67E301C9"/>
    <w:rsid w:val="67E4235D"/>
    <w:rsid w:val="67E97973"/>
    <w:rsid w:val="67EB7247"/>
    <w:rsid w:val="67EC1211"/>
    <w:rsid w:val="67F51E74"/>
    <w:rsid w:val="67F74E5D"/>
    <w:rsid w:val="67F84642"/>
    <w:rsid w:val="67FF2CF3"/>
    <w:rsid w:val="68012F0F"/>
    <w:rsid w:val="68016A6B"/>
    <w:rsid w:val="6804655B"/>
    <w:rsid w:val="680622D3"/>
    <w:rsid w:val="68071BA7"/>
    <w:rsid w:val="680B5B3B"/>
    <w:rsid w:val="680D18B3"/>
    <w:rsid w:val="680E1188"/>
    <w:rsid w:val="68106CAE"/>
    <w:rsid w:val="681542C4"/>
    <w:rsid w:val="6818054C"/>
    <w:rsid w:val="68183DB4"/>
    <w:rsid w:val="68191A91"/>
    <w:rsid w:val="681B464D"/>
    <w:rsid w:val="681F15E7"/>
    <w:rsid w:val="681F5143"/>
    <w:rsid w:val="681F6961"/>
    <w:rsid w:val="682054F9"/>
    <w:rsid w:val="68224C33"/>
    <w:rsid w:val="68240B89"/>
    <w:rsid w:val="6826136B"/>
    <w:rsid w:val="68297D70"/>
    <w:rsid w:val="682B1D3A"/>
    <w:rsid w:val="682B7F8C"/>
    <w:rsid w:val="682C160E"/>
    <w:rsid w:val="683F3A37"/>
    <w:rsid w:val="683F7593"/>
    <w:rsid w:val="684271B5"/>
    <w:rsid w:val="685017A0"/>
    <w:rsid w:val="68541CB5"/>
    <w:rsid w:val="68570199"/>
    <w:rsid w:val="68570D81"/>
    <w:rsid w:val="685E669E"/>
    <w:rsid w:val="68610A2F"/>
    <w:rsid w:val="686A0AB4"/>
    <w:rsid w:val="68721717"/>
    <w:rsid w:val="68786042"/>
    <w:rsid w:val="687F3E33"/>
    <w:rsid w:val="68805514"/>
    <w:rsid w:val="688171D5"/>
    <w:rsid w:val="688B0A2A"/>
    <w:rsid w:val="688C138F"/>
    <w:rsid w:val="68905759"/>
    <w:rsid w:val="689358C5"/>
    <w:rsid w:val="68953657"/>
    <w:rsid w:val="68996CA3"/>
    <w:rsid w:val="689A15B9"/>
    <w:rsid w:val="68A13DAA"/>
    <w:rsid w:val="68A36A6C"/>
    <w:rsid w:val="68A839E0"/>
    <w:rsid w:val="68A84B24"/>
    <w:rsid w:val="68A85138"/>
    <w:rsid w:val="68AA7FC8"/>
    <w:rsid w:val="68AE0E91"/>
    <w:rsid w:val="68AE2423"/>
    <w:rsid w:val="68AF296B"/>
    <w:rsid w:val="68B03FED"/>
    <w:rsid w:val="68B2355C"/>
    <w:rsid w:val="68BA52A2"/>
    <w:rsid w:val="68BE2BAE"/>
    <w:rsid w:val="68BE495C"/>
    <w:rsid w:val="68C006D4"/>
    <w:rsid w:val="68C55CEA"/>
    <w:rsid w:val="68D43ED1"/>
    <w:rsid w:val="68D979E8"/>
    <w:rsid w:val="68DB3760"/>
    <w:rsid w:val="68DB72BC"/>
    <w:rsid w:val="68E31C7D"/>
    <w:rsid w:val="68E343C2"/>
    <w:rsid w:val="68E36170"/>
    <w:rsid w:val="68E57D0D"/>
    <w:rsid w:val="68EC771B"/>
    <w:rsid w:val="68ED5241"/>
    <w:rsid w:val="68F00A95"/>
    <w:rsid w:val="68F55EA4"/>
    <w:rsid w:val="68F760C0"/>
    <w:rsid w:val="68FB795E"/>
    <w:rsid w:val="68FE744E"/>
    <w:rsid w:val="6905258B"/>
    <w:rsid w:val="69076303"/>
    <w:rsid w:val="690903BD"/>
    <w:rsid w:val="690D040B"/>
    <w:rsid w:val="691643B3"/>
    <w:rsid w:val="69180510"/>
    <w:rsid w:val="69196036"/>
    <w:rsid w:val="691E364C"/>
    <w:rsid w:val="691F4FA3"/>
    <w:rsid w:val="692549DB"/>
    <w:rsid w:val="692F717A"/>
    <w:rsid w:val="69310AF9"/>
    <w:rsid w:val="693654E7"/>
    <w:rsid w:val="693D7F76"/>
    <w:rsid w:val="693E784B"/>
    <w:rsid w:val="694110E9"/>
    <w:rsid w:val="69490210"/>
    <w:rsid w:val="694C1F68"/>
    <w:rsid w:val="694E2071"/>
    <w:rsid w:val="69535A05"/>
    <w:rsid w:val="69562DE6"/>
    <w:rsid w:val="69586B5E"/>
    <w:rsid w:val="695B21AB"/>
    <w:rsid w:val="695E1C9B"/>
    <w:rsid w:val="695E7B16"/>
    <w:rsid w:val="69603C65"/>
    <w:rsid w:val="69603DA2"/>
    <w:rsid w:val="69683798"/>
    <w:rsid w:val="696A6E60"/>
    <w:rsid w:val="696E6382"/>
    <w:rsid w:val="69715E72"/>
    <w:rsid w:val="69731BEA"/>
    <w:rsid w:val="69782D5D"/>
    <w:rsid w:val="697A3B33"/>
    <w:rsid w:val="697E40EB"/>
    <w:rsid w:val="69852275"/>
    <w:rsid w:val="69881641"/>
    <w:rsid w:val="698A0CE2"/>
    <w:rsid w:val="698C6808"/>
    <w:rsid w:val="698E2580"/>
    <w:rsid w:val="699D6C67"/>
    <w:rsid w:val="699E2456"/>
    <w:rsid w:val="69A200AE"/>
    <w:rsid w:val="69A2602B"/>
    <w:rsid w:val="69A26117"/>
    <w:rsid w:val="69AA3132"/>
    <w:rsid w:val="69AB0181"/>
    <w:rsid w:val="69AE2C22"/>
    <w:rsid w:val="69B0699A"/>
    <w:rsid w:val="69B144C0"/>
    <w:rsid w:val="69B31FE7"/>
    <w:rsid w:val="69B33D95"/>
    <w:rsid w:val="69B47B0D"/>
    <w:rsid w:val="69B875FD"/>
    <w:rsid w:val="69BA15C7"/>
    <w:rsid w:val="69BA59A8"/>
    <w:rsid w:val="69BE2739"/>
    <w:rsid w:val="69C441F4"/>
    <w:rsid w:val="69C46CC3"/>
    <w:rsid w:val="69C97A5C"/>
    <w:rsid w:val="69CC12FA"/>
    <w:rsid w:val="69CC30A8"/>
    <w:rsid w:val="69D0459A"/>
    <w:rsid w:val="69D16911"/>
    <w:rsid w:val="69D361E5"/>
    <w:rsid w:val="69D72179"/>
    <w:rsid w:val="69DA3A17"/>
    <w:rsid w:val="69DB153D"/>
    <w:rsid w:val="69DD7064"/>
    <w:rsid w:val="69DF4B8A"/>
    <w:rsid w:val="69E46644"/>
    <w:rsid w:val="69E525A6"/>
    <w:rsid w:val="69E84666"/>
    <w:rsid w:val="69ED735F"/>
    <w:rsid w:val="69EE301F"/>
    <w:rsid w:val="69F30635"/>
    <w:rsid w:val="69FA5E67"/>
    <w:rsid w:val="69FC345A"/>
    <w:rsid w:val="69FC398E"/>
    <w:rsid w:val="69FF522C"/>
    <w:rsid w:val="6A0C7949"/>
    <w:rsid w:val="6A197154"/>
    <w:rsid w:val="6A25348F"/>
    <w:rsid w:val="6A2627B9"/>
    <w:rsid w:val="6A2904FB"/>
    <w:rsid w:val="6A294057"/>
    <w:rsid w:val="6A2B4273"/>
    <w:rsid w:val="6A2E78BF"/>
    <w:rsid w:val="6A2F590D"/>
    <w:rsid w:val="6A30161E"/>
    <w:rsid w:val="6A330AD1"/>
    <w:rsid w:val="6A356EA0"/>
    <w:rsid w:val="6A372C18"/>
    <w:rsid w:val="6A386990"/>
    <w:rsid w:val="6A3C3973"/>
    <w:rsid w:val="6A42336B"/>
    <w:rsid w:val="6A4B0471"/>
    <w:rsid w:val="6A4B06F6"/>
    <w:rsid w:val="6A575068"/>
    <w:rsid w:val="6A5A06B4"/>
    <w:rsid w:val="6A5E63F6"/>
    <w:rsid w:val="6A611A43"/>
    <w:rsid w:val="6A624A2F"/>
    <w:rsid w:val="6A627569"/>
    <w:rsid w:val="6A640209"/>
    <w:rsid w:val="6A652FD8"/>
    <w:rsid w:val="6A6534F3"/>
    <w:rsid w:val="6A682DD1"/>
    <w:rsid w:val="6A6921D7"/>
    <w:rsid w:val="6A696B49"/>
    <w:rsid w:val="6A6A3122"/>
    <w:rsid w:val="6A6B466F"/>
    <w:rsid w:val="6A731776"/>
    <w:rsid w:val="6A7379C8"/>
    <w:rsid w:val="6A796A9F"/>
    <w:rsid w:val="6A7A2B04"/>
    <w:rsid w:val="6A7E25F5"/>
    <w:rsid w:val="6A813E93"/>
    <w:rsid w:val="6A883473"/>
    <w:rsid w:val="6A8B2D2D"/>
    <w:rsid w:val="6A9260A0"/>
    <w:rsid w:val="6A9516EC"/>
    <w:rsid w:val="6A995680"/>
    <w:rsid w:val="6A99742E"/>
    <w:rsid w:val="6A9E0AB3"/>
    <w:rsid w:val="6AA302AD"/>
    <w:rsid w:val="6AA72412"/>
    <w:rsid w:val="6AAB7162"/>
    <w:rsid w:val="6AB06526"/>
    <w:rsid w:val="6AB627B0"/>
    <w:rsid w:val="6AB75B07"/>
    <w:rsid w:val="6AB9362D"/>
    <w:rsid w:val="6ABA55F7"/>
    <w:rsid w:val="6AC326FD"/>
    <w:rsid w:val="6AC344AB"/>
    <w:rsid w:val="6ACA583A"/>
    <w:rsid w:val="6ACF10A2"/>
    <w:rsid w:val="6AD05952"/>
    <w:rsid w:val="6AD12861"/>
    <w:rsid w:val="6AD246EE"/>
    <w:rsid w:val="6AD77F57"/>
    <w:rsid w:val="6ADA2581"/>
    <w:rsid w:val="6AEB755E"/>
    <w:rsid w:val="6AF02DC7"/>
    <w:rsid w:val="6AF86168"/>
    <w:rsid w:val="6AFA64AC"/>
    <w:rsid w:val="6AFE54E3"/>
    <w:rsid w:val="6B00125C"/>
    <w:rsid w:val="6B075151"/>
    <w:rsid w:val="6B0E1E52"/>
    <w:rsid w:val="6B0F4184"/>
    <w:rsid w:val="6B0F71E2"/>
    <w:rsid w:val="6B170353"/>
    <w:rsid w:val="6B1747F7"/>
    <w:rsid w:val="6B1B42E7"/>
    <w:rsid w:val="6B1F5FA9"/>
    <w:rsid w:val="6B217424"/>
    <w:rsid w:val="6B243303"/>
    <w:rsid w:val="6B282560"/>
    <w:rsid w:val="6B2A277C"/>
    <w:rsid w:val="6B322639"/>
    <w:rsid w:val="6B347157"/>
    <w:rsid w:val="6B362ECF"/>
    <w:rsid w:val="6B364C7D"/>
    <w:rsid w:val="6B413622"/>
    <w:rsid w:val="6B427C02"/>
    <w:rsid w:val="6B4C48E8"/>
    <w:rsid w:val="6B5363CE"/>
    <w:rsid w:val="6B5415A7"/>
    <w:rsid w:val="6B5430AF"/>
    <w:rsid w:val="6B56531F"/>
    <w:rsid w:val="6B572E46"/>
    <w:rsid w:val="6B572E49"/>
    <w:rsid w:val="6B581098"/>
    <w:rsid w:val="6B59096C"/>
    <w:rsid w:val="6B5B2936"/>
    <w:rsid w:val="6B637A3C"/>
    <w:rsid w:val="6B6932A5"/>
    <w:rsid w:val="6B6A2B79"/>
    <w:rsid w:val="6B6C3431"/>
    <w:rsid w:val="6B732539"/>
    <w:rsid w:val="6B7439F8"/>
    <w:rsid w:val="6B76151E"/>
    <w:rsid w:val="6B7B4D86"/>
    <w:rsid w:val="6B7E5284"/>
    <w:rsid w:val="6B824366"/>
    <w:rsid w:val="6B8D49EF"/>
    <w:rsid w:val="6B8D6867"/>
    <w:rsid w:val="6B8E2D0B"/>
    <w:rsid w:val="6B8F438D"/>
    <w:rsid w:val="6B910106"/>
    <w:rsid w:val="6B930322"/>
    <w:rsid w:val="6B930BEB"/>
    <w:rsid w:val="6B952F78"/>
    <w:rsid w:val="6B981494"/>
    <w:rsid w:val="6B9B2D32"/>
    <w:rsid w:val="6B9D2F4E"/>
    <w:rsid w:val="6B9F6CC6"/>
    <w:rsid w:val="6BA50055"/>
    <w:rsid w:val="6BAC3191"/>
    <w:rsid w:val="6BB43DF4"/>
    <w:rsid w:val="6BB81B36"/>
    <w:rsid w:val="6BB838E4"/>
    <w:rsid w:val="6BB9765C"/>
    <w:rsid w:val="6BBA3B00"/>
    <w:rsid w:val="6BBD0EFB"/>
    <w:rsid w:val="6BBF1117"/>
    <w:rsid w:val="6BC27058"/>
    <w:rsid w:val="6BC51FA8"/>
    <w:rsid w:val="6BCE3108"/>
    <w:rsid w:val="6BCE4EB6"/>
    <w:rsid w:val="6BD12AD1"/>
    <w:rsid w:val="6BD526E8"/>
    <w:rsid w:val="6BDD7547"/>
    <w:rsid w:val="6BE40B7D"/>
    <w:rsid w:val="6BE75F78"/>
    <w:rsid w:val="6BE85984"/>
    <w:rsid w:val="6BEA5A68"/>
    <w:rsid w:val="6BF5165A"/>
    <w:rsid w:val="6BF568E6"/>
    <w:rsid w:val="6BF8342F"/>
    <w:rsid w:val="6BF95CAB"/>
    <w:rsid w:val="6BFB1A23"/>
    <w:rsid w:val="6BFD1C3F"/>
    <w:rsid w:val="6BFF1513"/>
    <w:rsid w:val="6C005EAC"/>
    <w:rsid w:val="6C0528A2"/>
    <w:rsid w:val="6C0E1756"/>
    <w:rsid w:val="6C0E79A8"/>
    <w:rsid w:val="6C0F54CE"/>
    <w:rsid w:val="6C101972"/>
    <w:rsid w:val="6C117498"/>
    <w:rsid w:val="6C136D6D"/>
    <w:rsid w:val="6C155E31"/>
    <w:rsid w:val="6C165A05"/>
    <w:rsid w:val="6C1F3963"/>
    <w:rsid w:val="6C214EA2"/>
    <w:rsid w:val="6C223454"/>
    <w:rsid w:val="6C264CF2"/>
    <w:rsid w:val="6C272818"/>
    <w:rsid w:val="6C2B2308"/>
    <w:rsid w:val="6C2B3654"/>
    <w:rsid w:val="6C2C6080"/>
    <w:rsid w:val="6C33740F"/>
    <w:rsid w:val="6C3513D9"/>
    <w:rsid w:val="6C376EFF"/>
    <w:rsid w:val="6C3867D3"/>
    <w:rsid w:val="6C39522C"/>
    <w:rsid w:val="6C3D028D"/>
    <w:rsid w:val="6C3F7B62"/>
    <w:rsid w:val="6C417D7E"/>
    <w:rsid w:val="6C496C32"/>
    <w:rsid w:val="6C4C0AD1"/>
    <w:rsid w:val="6C4E140D"/>
    <w:rsid w:val="6C4E742C"/>
    <w:rsid w:val="6C5A2BED"/>
    <w:rsid w:val="6C5B1319"/>
    <w:rsid w:val="6C5B6D25"/>
    <w:rsid w:val="6C5C0714"/>
    <w:rsid w:val="6C5E2E70"/>
    <w:rsid w:val="6C621AA2"/>
    <w:rsid w:val="6C636C38"/>
    <w:rsid w:val="6C661592"/>
    <w:rsid w:val="6C6677E4"/>
    <w:rsid w:val="6C6D0B73"/>
    <w:rsid w:val="6C733CAF"/>
    <w:rsid w:val="6C757A27"/>
    <w:rsid w:val="6C7A503E"/>
    <w:rsid w:val="6C7C1405"/>
    <w:rsid w:val="6C7F4402"/>
    <w:rsid w:val="6C804DEF"/>
    <w:rsid w:val="6C847C6A"/>
    <w:rsid w:val="6C8E2897"/>
    <w:rsid w:val="6C8E6D3B"/>
    <w:rsid w:val="6C9102FF"/>
    <w:rsid w:val="6C92218A"/>
    <w:rsid w:val="6C924135"/>
    <w:rsid w:val="6C937EAD"/>
    <w:rsid w:val="6C9500C9"/>
    <w:rsid w:val="6C97174C"/>
    <w:rsid w:val="6C9C2E87"/>
    <w:rsid w:val="6C9D2ADA"/>
    <w:rsid w:val="6CA34594"/>
    <w:rsid w:val="6CA65E33"/>
    <w:rsid w:val="6CA67BE1"/>
    <w:rsid w:val="6CA9147F"/>
    <w:rsid w:val="6CAB51F7"/>
    <w:rsid w:val="6CAE6A95"/>
    <w:rsid w:val="6CB06CB1"/>
    <w:rsid w:val="6CBC5656"/>
    <w:rsid w:val="6CC16DF1"/>
    <w:rsid w:val="6CC462B9"/>
    <w:rsid w:val="6CC664D5"/>
    <w:rsid w:val="6CCC4996"/>
    <w:rsid w:val="6CD26C28"/>
    <w:rsid w:val="6CD3474E"/>
    <w:rsid w:val="6CE26D5D"/>
    <w:rsid w:val="6CE32BE3"/>
    <w:rsid w:val="6CE4695B"/>
    <w:rsid w:val="6CE60925"/>
    <w:rsid w:val="6CEB0E5F"/>
    <w:rsid w:val="6CEB120D"/>
    <w:rsid w:val="6CED5810"/>
    <w:rsid w:val="6CF52916"/>
    <w:rsid w:val="6CF63A92"/>
    <w:rsid w:val="6CFC32B8"/>
    <w:rsid w:val="6CFC4F20"/>
    <w:rsid w:val="6CFC5A53"/>
    <w:rsid w:val="6CFF0B45"/>
    <w:rsid w:val="6D0112BB"/>
    <w:rsid w:val="6D026DC6"/>
    <w:rsid w:val="6D0512FF"/>
    <w:rsid w:val="6D0646EB"/>
    <w:rsid w:val="6D0B4F67"/>
    <w:rsid w:val="6D154D66"/>
    <w:rsid w:val="6D194857"/>
    <w:rsid w:val="6D1C7EA3"/>
    <w:rsid w:val="6D1E1E6D"/>
    <w:rsid w:val="6D205BE5"/>
    <w:rsid w:val="6D2154B9"/>
    <w:rsid w:val="6D267B26"/>
    <w:rsid w:val="6D2A6A64"/>
    <w:rsid w:val="6D2C27DC"/>
    <w:rsid w:val="6D34343E"/>
    <w:rsid w:val="6D372F2F"/>
    <w:rsid w:val="6D374CDD"/>
    <w:rsid w:val="6D3A657B"/>
    <w:rsid w:val="6D3C1731"/>
    <w:rsid w:val="6D3E42BD"/>
    <w:rsid w:val="6D435308"/>
    <w:rsid w:val="6D464F20"/>
    <w:rsid w:val="6D4A4A10"/>
    <w:rsid w:val="6D4B3F19"/>
    <w:rsid w:val="6D4C2F0D"/>
    <w:rsid w:val="6D515941"/>
    <w:rsid w:val="6D5238C5"/>
    <w:rsid w:val="6D543AE1"/>
    <w:rsid w:val="6D5910F7"/>
    <w:rsid w:val="6D602485"/>
    <w:rsid w:val="6D605FE2"/>
    <w:rsid w:val="6D617FAC"/>
    <w:rsid w:val="6D673814"/>
    <w:rsid w:val="6D6A6E60"/>
    <w:rsid w:val="6D6E6E45"/>
    <w:rsid w:val="6D723F67"/>
    <w:rsid w:val="6D741A8D"/>
    <w:rsid w:val="6D7766CE"/>
    <w:rsid w:val="6D7D4DE5"/>
    <w:rsid w:val="6D7E290C"/>
    <w:rsid w:val="6D836174"/>
    <w:rsid w:val="6D864791"/>
    <w:rsid w:val="6D8A7502"/>
    <w:rsid w:val="6D8C14BB"/>
    <w:rsid w:val="6D8D2B4F"/>
    <w:rsid w:val="6D8F4B19"/>
    <w:rsid w:val="6D967C55"/>
    <w:rsid w:val="6D997745"/>
    <w:rsid w:val="6D9A2D85"/>
    <w:rsid w:val="6D9C0FE4"/>
    <w:rsid w:val="6DA265FA"/>
    <w:rsid w:val="6DA41B00"/>
    <w:rsid w:val="6DAA1953"/>
    <w:rsid w:val="6DB157EC"/>
    <w:rsid w:val="6DB34098"/>
    <w:rsid w:val="6DB545B6"/>
    <w:rsid w:val="6DBC594E"/>
    <w:rsid w:val="6DBE0F5A"/>
    <w:rsid w:val="6DC02C1E"/>
    <w:rsid w:val="6DC04CD2"/>
    <w:rsid w:val="6DC16B04"/>
    <w:rsid w:val="6DC42A14"/>
    <w:rsid w:val="6DC9627D"/>
    <w:rsid w:val="6DCA3DA3"/>
    <w:rsid w:val="6DD51ED2"/>
    <w:rsid w:val="6DD54C21"/>
    <w:rsid w:val="6DD86E68"/>
    <w:rsid w:val="6DD9192B"/>
    <w:rsid w:val="6DDA1931"/>
    <w:rsid w:val="6DDD7632"/>
    <w:rsid w:val="6DDF4286"/>
    <w:rsid w:val="6DE07122"/>
    <w:rsid w:val="6DE50BDD"/>
    <w:rsid w:val="6DE9247B"/>
    <w:rsid w:val="6DE94229"/>
    <w:rsid w:val="6DEE2714"/>
    <w:rsid w:val="6DF130DE"/>
    <w:rsid w:val="6DF350A8"/>
    <w:rsid w:val="6DF826BE"/>
    <w:rsid w:val="6DF901E4"/>
    <w:rsid w:val="6DFA4688"/>
    <w:rsid w:val="6DFA6436"/>
    <w:rsid w:val="6DFB1424"/>
    <w:rsid w:val="6DFE5D2E"/>
    <w:rsid w:val="6E04380A"/>
    <w:rsid w:val="6E0472B5"/>
    <w:rsid w:val="6E072901"/>
    <w:rsid w:val="6E0948CB"/>
    <w:rsid w:val="6E0A6EA2"/>
    <w:rsid w:val="6E0B4EFC"/>
    <w:rsid w:val="6E0F17B6"/>
    <w:rsid w:val="6E1B281B"/>
    <w:rsid w:val="6E22598D"/>
    <w:rsid w:val="6E22773B"/>
    <w:rsid w:val="6E2407C0"/>
    <w:rsid w:val="6E2434B3"/>
    <w:rsid w:val="6E245261"/>
    <w:rsid w:val="6E2A4841"/>
    <w:rsid w:val="6E2A65F0"/>
    <w:rsid w:val="6E2B2A93"/>
    <w:rsid w:val="6E2C2368"/>
    <w:rsid w:val="6E2D2940"/>
    <w:rsid w:val="6E381E92"/>
    <w:rsid w:val="6E3918BE"/>
    <w:rsid w:val="6E3B25AB"/>
    <w:rsid w:val="6E3F02ED"/>
    <w:rsid w:val="6E430122"/>
    <w:rsid w:val="6E4375A0"/>
    <w:rsid w:val="6E4771A1"/>
    <w:rsid w:val="6E493F8C"/>
    <w:rsid w:val="6E496F01"/>
    <w:rsid w:val="6E4E6782"/>
    <w:rsid w:val="6E5024FA"/>
    <w:rsid w:val="6E514CED"/>
    <w:rsid w:val="6E526272"/>
    <w:rsid w:val="6E546B28"/>
    <w:rsid w:val="6E5518BE"/>
    <w:rsid w:val="6E565636"/>
    <w:rsid w:val="6E587601"/>
    <w:rsid w:val="6E597DC9"/>
    <w:rsid w:val="6E5D4C17"/>
    <w:rsid w:val="6E5D6D8A"/>
    <w:rsid w:val="6E625D89"/>
    <w:rsid w:val="6E650E15"/>
    <w:rsid w:val="6E6C7882"/>
    <w:rsid w:val="6E76798E"/>
    <w:rsid w:val="6E7736BC"/>
    <w:rsid w:val="6E786E93"/>
    <w:rsid w:val="6E79491A"/>
    <w:rsid w:val="6E906D9A"/>
    <w:rsid w:val="6E91666F"/>
    <w:rsid w:val="6E941144"/>
    <w:rsid w:val="6E985C4F"/>
    <w:rsid w:val="6E9C573F"/>
    <w:rsid w:val="6E9D3265"/>
    <w:rsid w:val="6E9F6FDD"/>
    <w:rsid w:val="6EA37E3E"/>
    <w:rsid w:val="6EA445F4"/>
    <w:rsid w:val="6EA510B2"/>
    <w:rsid w:val="6EA6211A"/>
    <w:rsid w:val="6EB1286D"/>
    <w:rsid w:val="6EB20ABF"/>
    <w:rsid w:val="6EB41E64"/>
    <w:rsid w:val="6EB563D5"/>
    <w:rsid w:val="6EBA6F09"/>
    <w:rsid w:val="6EBD7464"/>
    <w:rsid w:val="6EC30F1E"/>
    <w:rsid w:val="6EC407F2"/>
    <w:rsid w:val="6EC425A0"/>
    <w:rsid w:val="6EC46A44"/>
    <w:rsid w:val="6EC66318"/>
    <w:rsid w:val="6EC72090"/>
    <w:rsid w:val="6EC86534"/>
    <w:rsid w:val="6ECA1007"/>
    <w:rsid w:val="6ED21161"/>
    <w:rsid w:val="6ED50C51"/>
    <w:rsid w:val="6EDA0016"/>
    <w:rsid w:val="6EDC0332"/>
    <w:rsid w:val="6EDE1721"/>
    <w:rsid w:val="6EDF562C"/>
    <w:rsid w:val="6EE3336E"/>
    <w:rsid w:val="6EE75650"/>
    <w:rsid w:val="6EED1AF7"/>
    <w:rsid w:val="6EED1FF5"/>
    <w:rsid w:val="6EED5F9B"/>
    <w:rsid w:val="6EF235B1"/>
    <w:rsid w:val="6EF54E4F"/>
    <w:rsid w:val="6EFC7F8C"/>
    <w:rsid w:val="6EFF440A"/>
    <w:rsid w:val="6F0137F4"/>
    <w:rsid w:val="6F082DD5"/>
    <w:rsid w:val="6F086931"/>
    <w:rsid w:val="6F094F9E"/>
    <w:rsid w:val="6F0D03EB"/>
    <w:rsid w:val="6F1144B0"/>
    <w:rsid w:val="6F126B79"/>
    <w:rsid w:val="6F152DFC"/>
    <w:rsid w:val="6F1C1F3D"/>
    <w:rsid w:val="6F225983"/>
    <w:rsid w:val="6F2319BD"/>
    <w:rsid w:val="6F287F6F"/>
    <w:rsid w:val="6F295640"/>
    <w:rsid w:val="6F2D45E9"/>
    <w:rsid w:val="6F2E3C02"/>
    <w:rsid w:val="6F2F65B3"/>
    <w:rsid w:val="6F345978"/>
    <w:rsid w:val="6F394D3C"/>
    <w:rsid w:val="6F3C65DA"/>
    <w:rsid w:val="6F3E05A4"/>
    <w:rsid w:val="6F3E67F6"/>
    <w:rsid w:val="6F413BF1"/>
    <w:rsid w:val="6F433E0D"/>
    <w:rsid w:val="6F481423"/>
    <w:rsid w:val="6F490CF7"/>
    <w:rsid w:val="6F4A519B"/>
    <w:rsid w:val="6F4B0F13"/>
    <w:rsid w:val="6F4B2CC1"/>
    <w:rsid w:val="6F4D07E7"/>
    <w:rsid w:val="6F4D4C8B"/>
    <w:rsid w:val="6F4F630E"/>
    <w:rsid w:val="6F5007E2"/>
    <w:rsid w:val="6F54601A"/>
    <w:rsid w:val="6F5A4CB2"/>
    <w:rsid w:val="6F5D2C01"/>
    <w:rsid w:val="6F5E0C47"/>
    <w:rsid w:val="6F60676D"/>
    <w:rsid w:val="6F6124E5"/>
    <w:rsid w:val="6F644787"/>
    <w:rsid w:val="6F673B85"/>
    <w:rsid w:val="6F6D491A"/>
    <w:rsid w:val="6F72517F"/>
    <w:rsid w:val="6F725BBB"/>
    <w:rsid w:val="6F745D74"/>
    <w:rsid w:val="6F751AEC"/>
    <w:rsid w:val="6F7904EA"/>
    <w:rsid w:val="6F7D517D"/>
    <w:rsid w:val="6F7F743C"/>
    <w:rsid w:val="6F810491"/>
    <w:rsid w:val="6F885CC3"/>
    <w:rsid w:val="6F8A1A3C"/>
    <w:rsid w:val="6F8F1B70"/>
    <w:rsid w:val="6F914312"/>
    <w:rsid w:val="6F934682"/>
    <w:rsid w:val="6F984159"/>
    <w:rsid w:val="6F997ED1"/>
    <w:rsid w:val="6F9B1553"/>
    <w:rsid w:val="6FA22640"/>
    <w:rsid w:val="6FA279E0"/>
    <w:rsid w:val="6FA32AFD"/>
    <w:rsid w:val="6FA34A20"/>
    <w:rsid w:val="6FA353DF"/>
    <w:rsid w:val="6FA80114"/>
    <w:rsid w:val="6FA83C70"/>
    <w:rsid w:val="6FAA3E8C"/>
    <w:rsid w:val="6FAC19B2"/>
    <w:rsid w:val="6FAF3250"/>
    <w:rsid w:val="6FB03B79"/>
    <w:rsid w:val="6FB12BB4"/>
    <w:rsid w:val="6FB371D3"/>
    <w:rsid w:val="6FB70357"/>
    <w:rsid w:val="6FC247B9"/>
    <w:rsid w:val="6FC50CC6"/>
    <w:rsid w:val="6FC82564"/>
    <w:rsid w:val="6FD11419"/>
    <w:rsid w:val="6FD20CED"/>
    <w:rsid w:val="6FD311BE"/>
    <w:rsid w:val="6FD35191"/>
    <w:rsid w:val="6FD42CB7"/>
    <w:rsid w:val="6FD809F9"/>
    <w:rsid w:val="6FDF69AC"/>
    <w:rsid w:val="6FE27A2C"/>
    <w:rsid w:val="6FE3114C"/>
    <w:rsid w:val="6FE50A20"/>
    <w:rsid w:val="6FE543B9"/>
    <w:rsid w:val="6FE85244"/>
    <w:rsid w:val="6FEA072C"/>
    <w:rsid w:val="6FEA4288"/>
    <w:rsid w:val="6FED5B27"/>
    <w:rsid w:val="6FEE1FCA"/>
    <w:rsid w:val="6FEF2BB1"/>
    <w:rsid w:val="6FF5548D"/>
    <w:rsid w:val="6FF70753"/>
    <w:rsid w:val="6FF84BF7"/>
    <w:rsid w:val="6FF869A5"/>
    <w:rsid w:val="6FFA3B3C"/>
    <w:rsid w:val="6FFB0243"/>
    <w:rsid w:val="6FFB46E7"/>
    <w:rsid w:val="6FFC5590"/>
    <w:rsid w:val="6FFD3FBC"/>
    <w:rsid w:val="6FFE7D34"/>
    <w:rsid w:val="70003AAC"/>
    <w:rsid w:val="7003534A"/>
    <w:rsid w:val="7003546C"/>
    <w:rsid w:val="70082960"/>
    <w:rsid w:val="700D7F77"/>
    <w:rsid w:val="70111815"/>
    <w:rsid w:val="701337DF"/>
    <w:rsid w:val="70141305"/>
    <w:rsid w:val="70144C09"/>
    <w:rsid w:val="70175A87"/>
    <w:rsid w:val="70186826"/>
    <w:rsid w:val="701B2694"/>
    <w:rsid w:val="701D640C"/>
    <w:rsid w:val="70221C74"/>
    <w:rsid w:val="70231548"/>
    <w:rsid w:val="702459EC"/>
    <w:rsid w:val="702754DC"/>
    <w:rsid w:val="7029639C"/>
    <w:rsid w:val="702C664F"/>
    <w:rsid w:val="702E0844"/>
    <w:rsid w:val="702E3539"/>
    <w:rsid w:val="702E686B"/>
    <w:rsid w:val="702F4391"/>
    <w:rsid w:val="702F4530"/>
    <w:rsid w:val="70301DA3"/>
    <w:rsid w:val="7036571F"/>
    <w:rsid w:val="70383246"/>
    <w:rsid w:val="70473489"/>
    <w:rsid w:val="70497201"/>
    <w:rsid w:val="704C0A9F"/>
    <w:rsid w:val="70531E2E"/>
    <w:rsid w:val="70534151"/>
    <w:rsid w:val="70585696"/>
    <w:rsid w:val="70593891"/>
    <w:rsid w:val="705F4C76"/>
    <w:rsid w:val="70691651"/>
    <w:rsid w:val="70696F3D"/>
    <w:rsid w:val="706A63CD"/>
    <w:rsid w:val="706D1DD0"/>
    <w:rsid w:val="706D7810"/>
    <w:rsid w:val="706E310B"/>
    <w:rsid w:val="706E6C67"/>
    <w:rsid w:val="7075449A"/>
    <w:rsid w:val="70765B1C"/>
    <w:rsid w:val="707A560C"/>
    <w:rsid w:val="707A59BC"/>
    <w:rsid w:val="707B3132"/>
    <w:rsid w:val="708244C1"/>
    <w:rsid w:val="70840239"/>
    <w:rsid w:val="70856B87"/>
    <w:rsid w:val="70891CF3"/>
    <w:rsid w:val="708C752D"/>
    <w:rsid w:val="708E25E0"/>
    <w:rsid w:val="708E730A"/>
    <w:rsid w:val="708F6BDE"/>
    <w:rsid w:val="70935816"/>
    <w:rsid w:val="70974410"/>
    <w:rsid w:val="70986DE0"/>
    <w:rsid w:val="709A5CAE"/>
    <w:rsid w:val="709B291A"/>
    <w:rsid w:val="709D754D"/>
    <w:rsid w:val="709E4AA2"/>
    <w:rsid w:val="70A32137"/>
    <w:rsid w:val="70AC7790"/>
    <w:rsid w:val="70AE3508"/>
    <w:rsid w:val="70B044EA"/>
    <w:rsid w:val="70B34FC2"/>
    <w:rsid w:val="70B54896"/>
    <w:rsid w:val="70B623BC"/>
    <w:rsid w:val="70B825D8"/>
    <w:rsid w:val="70BF74C3"/>
    <w:rsid w:val="70C42D2B"/>
    <w:rsid w:val="70C660AD"/>
    <w:rsid w:val="70C7243A"/>
    <w:rsid w:val="70C8281B"/>
    <w:rsid w:val="70CC398E"/>
    <w:rsid w:val="70D1605B"/>
    <w:rsid w:val="70D171F6"/>
    <w:rsid w:val="70D527EE"/>
    <w:rsid w:val="70D70CB1"/>
    <w:rsid w:val="70DF5DB7"/>
    <w:rsid w:val="70E1568B"/>
    <w:rsid w:val="70E231B1"/>
    <w:rsid w:val="70E7115A"/>
    <w:rsid w:val="70F30C50"/>
    <w:rsid w:val="70F3716D"/>
    <w:rsid w:val="70F80C27"/>
    <w:rsid w:val="70F829D5"/>
    <w:rsid w:val="70F84783"/>
    <w:rsid w:val="7104581E"/>
    <w:rsid w:val="71053EA6"/>
    <w:rsid w:val="710851C5"/>
    <w:rsid w:val="710A276A"/>
    <w:rsid w:val="710A4543"/>
    <w:rsid w:val="710E3140"/>
    <w:rsid w:val="71105F71"/>
    <w:rsid w:val="71123A97"/>
    <w:rsid w:val="7113780F"/>
    <w:rsid w:val="71153587"/>
    <w:rsid w:val="71186BD3"/>
    <w:rsid w:val="71285068"/>
    <w:rsid w:val="71311217"/>
    <w:rsid w:val="71347EB1"/>
    <w:rsid w:val="7137174F"/>
    <w:rsid w:val="713A4D9B"/>
    <w:rsid w:val="714025F2"/>
    <w:rsid w:val="71410FFA"/>
    <w:rsid w:val="714479C8"/>
    <w:rsid w:val="71494FDF"/>
    <w:rsid w:val="714E77C7"/>
    <w:rsid w:val="7150636D"/>
    <w:rsid w:val="7154037D"/>
    <w:rsid w:val="71542301"/>
    <w:rsid w:val="715B3690"/>
    <w:rsid w:val="715B5300"/>
    <w:rsid w:val="715C11B6"/>
    <w:rsid w:val="715D3781"/>
    <w:rsid w:val="715F4BD7"/>
    <w:rsid w:val="71692DEE"/>
    <w:rsid w:val="71695F16"/>
    <w:rsid w:val="716A5681"/>
    <w:rsid w:val="716C66CF"/>
    <w:rsid w:val="71702252"/>
    <w:rsid w:val="717958C4"/>
    <w:rsid w:val="717C41F3"/>
    <w:rsid w:val="718524BB"/>
    <w:rsid w:val="71864485"/>
    <w:rsid w:val="718D136F"/>
    <w:rsid w:val="718E4C5A"/>
    <w:rsid w:val="71946BA2"/>
    <w:rsid w:val="71950224"/>
    <w:rsid w:val="71956476"/>
    <w:rsid w:val="71985ADC"/>
    <w:rsid w:val="71995F66"/>
    <w:rsid w:val="719E474F"/>
    <w:rsid w:val="71A31B56"/>
    <w:rsid w:val="71A52274"/>
    <w:rsid w:val="71A67840"/>
    <w:rsid w:val="71A861A9"/>
    <w:rsid w:val="71AB48B1"/>
    <w:rsid w:val="71B132B0"/>
    <w:rsid w:val="71B40FF2"/>
    <w:rsid w:val="71B52674"/>
    <w:rsid w:val="71B763EC"/>
    <w:rsid w:val="71BC7EA6"/>
    <w:rsid w:val="71BD7E79"/>
    <w:rsid w:val="71C56D5B"/>
    <w:rsid w:val="71C6373E"/>
    <w:rsid w:val="71C72AD3"/>
    <w:rsid w:val="71CD3E62"/>
    <w:rsid w:val="71CD79BE"/>
    <w:rsid w:val="71D27F8A"/>
    <w:rsid w:val="71DD7011"/>
    <w:rsid w:val="71E511AB"/>
    <w:rsid w:val="71EC078C"/>
    <w:rsid w:val="71ED21B3"/>
    <w:rsid w:val="71EF202A"/>
    <w:rsid w:val="71F413EE"/>
    <w:rsid w:val="71F744C6"/>
    <w:rsid w:val="71F92EA9"/>
    <w:rsid w:val="71F960CF"/>
    <w:rsid w:val="71FC02A3"/>
    <w:rsid w:val="71FE0CFF"/>
    <w:rsid w:val="72084E9A"/>
    <w:rsid w:val="72090091"/>
    <w:rsid w:val="720930EC"/>
    <w:rsid w:val="72113D47"/>
    <w:rsid w:val="72135089"/>
    <w:rsid w:val="7214383E"/>
    <w:rsid w:val="72144E11"/>
    <w:rsid w:val="72165809"/>
    <w:rsid w:val="72190E55"/>
    <w:rsid w:val="72203F91"/>
    <w:rsid w:val="72206F55"/>
    <w:rsid w:val="722147FB"/>
    <w:rsid w:val="72226347"/>
    <w:rsid w:val="72232B8E"/>
    <w:rsid w:val="722515A8"/>
    <w:rsid w:val="722577FA"/>
    <w:rsid w:val="722717C4"/>
    <w:rsid w:val="72330169"/>
    <w:rsid w:val="723932A5"/>
    <w:rsid w:val="7243340D"/>
    <w:rsid w:val="72435ED2"/>
    <w:rsid w:val="72442376"/>
    <w:rsid w:val="72457E9C"/>
    <w:rsid w:val="7249040E"/>
    <w:rsid w:val="7249173A"/>
    <w:rsid w:val="7249798C"/>
    <w:rsid w:val="724A3704"/>
    <w:rsid w:val="724C2FD8"/>
    <w:rsid w:val="724C4D86"/>
    <w:rsid w:val="724C706C"/>
    <w:rsid w:val="724D0AFE"/>
    <w:rsid w:val="724F7474"/>
    <w:rsid w:val="7251239D"/>
    <w:rsid w:val="72516841"/>
    <w:rsid w:val="7252339E"/>
    <w:rsid w:val="72563E57"/>
    <w:rsid w:val="725E2D0C"/>
    <w:rsid w:val="72620A4E"/>
    <w:rsid w:val="7264459B"/>
    <w:rsid w:val="72655E48"/>
    <w:rsid w:val="726B1116"/>
    <w:rsid w:val="726F6CC7"/>
    <w:rsid w:val="7275721E"/>
    <w:rsid w:val="727A5D97"/>
    <w:rsid w:val="72842772"/>
    <w:rsid w:val="728564EA"/>
    <w:rsid w:val="72862DE7"/>
    <w:rsid w:val="728E091D"/>
    <w:rsid w:val="72914E8F"/>
    <w:rsid w:val="72930C07"/>
    <w:rsid w:val="729329B5"/>
    <w:rsid w:val="7297664B"/>
    <w:rsid w:val="7298446F"/>
    <w:rsid w:val="72A44BC2"/>
    <w:rsid w:val="72A46970"/>
    <w:rsid w:val="72A9418F"/>
    <w:rsid w:val="72A9667D"/>
    <w:rsid w:val="72AF5315"/>
    <w:rsid w:val="72AF5690"/>
    <w:rsid w:val="72B00E8D"/>
    <w:rsid w:val="72B172DF"/>
    <w:rsid w:val="72B56DCF"/>
    <w:rsid w:val="72BB015E"/>
    <w:rsid w:val="72C131B2"/>
    <w:rsid w:val="72C214EC"/>
    <w:rsid w:val="72C76912"/>
    <w:rsid w:val="72C963D7"/>
    <w:rsid w:val="72CC236B"/>
    <w:rsid w:val="72CE7E91"/>
    <w:rsid w:val="72D00517"/>
    <w:rsid w:val="72D27149"/>
    <w:rsid w:val="72D644DE"/>
    <w:rsid w:val="72D66D46"/>
    <w:rsid w:val="72D73968"/>
    <w:rsid w:val="72D80D10"/>
    <w:rsid w:val="72DA3A73"/>
    <w:rsid w:val="72DD00D4"/>
    <w:rsid w:val="72DD5F01"/>
    <w:rsid w:val="72E75119"/>
    <w:rsid w:val="72E94CCB"/>
    <w:rsid w:val="72E96A79"/>
    <w:rsid w:val="72EB0530"/>
    <w:rsid w:val="72EB27F1"/>
    <w:rsid w:val="72F14A1A"/>
    <w:rsid w:val="72F31907"/>
    <w:rsid w:val="72FA74C9"/>
    <w:rsid w:val="72FB055A"/>
    <w:rsid w:val="72FD42D3"/>
    <w:rsid w:val="730218E9"/>
    <w:rsid w:val="73027B3B"/>
    <w:rsid w:val="73063468"/>
    <w:rsid w:val="7306762B"/>
    <w:rsid w:val="73076EFF"/>
    <w:rsid w:val="730833A3"/>
    <w:rsid w:val="731A30D6"/>
    <w:rsid w:val="731C2459"/>
    <w:rsid w:val="731F5D5E"/>
    <w:rsid w:val="73216213"/>
    <w:rsid w:val="73221F8B"/>
    <w:rsid w:val="73263829"/>
    <w:rsid w:val="7327064F"/>
    <w:rsid w:val="7329156C"/>
    <w:rsid w:val="733817AF"/>
    <w:rsid w:val="73397A01"/>
    <w:rsid w:val="733F2B3D"/>
    <w:rsid w:val="73426189"/>
    <w:rsid w:val="73465C7A"/>
    <w:rsid w:val="73472096"/>
    <w:rsid w:val="734A7BDE"/>
    <w:rsid w:val="734E2D80"/>
    <w:rsid w:val="734E4B2E"/>
    <w:rsid w:val="7352461E"/>
    <w:rsid w:val="73530396"/>
    <w:rsid w:val="735465E8"/>
    <w:rsid w:val="7355410F"/>
    <w:rsid w:val="735635E4"/>
    <w:rsid w:val="7359395E"/>
    <w:rsid w:val="735C36EF"/>
    <w:rsid w:val="735D79A5"/>
    <w:rsid w:val="735E1215"/>
    <w:rsid w:val="735E1E53"/>
    <w:rsid w:val="736305DA"/>
    <w:rsid w:val="736D76AA"/>
    <w:rsid w:val="73700F48"/>
    <w:rsid w:val="73702CF6"/>
    <w:rsid w:val="73742238"/>
    <w:rsid w:val="737462E1"/>
    <w:rsid w:val="73775FE8"/>
    <w:rsid w:val="7379604F"/>
    <w:rsid w:val="737A3B75"/>
    <w:rsid w:val="737F18E2"/>
    <w:rsid w:val="737F73DD"/>
    <w:rsid w:val="7383282E"/>
    <w:rsid w:val="73840550"/>
    <w:rsid w:val="7386076C"/>
    <w:rsid w:val="73886292"/>
    <w:rsid w:val="738F520D"/>
    <w:rsid w:val="7398711B"/>
    <w:rsid w:val="7399579D"/>
    <w:rsid w:val="739C1D3D"/>
    <w:rsid w:val="739C3AEB"/>
    <w:rsid w:val="73A115C0"/>
    <w:rsid w:val="73A3131E"/>
    <w:rsid w:val="73A40BF2"/>
    <w:rsid w:val="73A6496A"/>
    <w:rsid w:val="73AB01D2"/>
    <w:rsid w:val="73AB1F81"/>
    <w:rsid w:val="73B726D3"/>
    <w:rsid w:val="73BB1DFB"/>
    <w:rsid w:val="73BE3A62"/>
    <w:rsid w:val="73BF31E9"/>
    <w:rsid w:val="73C05A2C"/>
    <w:rsid w:val="73C13552"/>
    <w:rsid w:val="73C179F6"/>
    <w:rsid w:val="73CC2623"/>
    <w:rsid w:val="73D028F7"/>
    <w:rsid w:val="73D03795"/>
    <w:rsid w:val="73D72D76"/>
    <w:rsid w:val="73DC213A"/>
    <w:rsid w:val="73DC4E36"/>
    <w:rsid w:val="73DE5EB2"/>
    <w:rsid w:val="73E01C2A"/>
    <w:rsid w:val="73E32748"/>
    <w:rsid w:val="73EA3012"/>
    <w:rsid w:val="73EF1E6D"/>
    <w:rsid w:val="73EF4563"/>
    <w:rsid w:val="73F05BE5"/>
    <w:rsid w:val="73F2195D"/>
    <w:rsid w:val="73F27BAF"/>
    <w:rsid w:val="73F61F09"/>
    <w:rsid w:val="73F676A0"/>
    <w:rsid w:val="73F819A5"/>
    <w:rsid w:val="73F97190"/>
    <w:rsid w:val="73FE0302"/>
    <w:rsid w:val="74017DF2"/>
    <w:rsid w:val="74024296"/>
    <w:rsid w:val="74031DBD"/>
    <w:rsid w:val="740718AD"/>
    <w:rsid w:val="74082FD3"/>
    <w:rsid w:val="740C48D9"/>
    <w:rsid w:val="741915E0"/>
    <w:rsid w:val="7419338E"/>
    <w:rsid w:val="741E793C"/>
    <w:rsid w:val="74213FF1"/>
    <w:rsid w:val="742400E9"/>
    <w:rsid w:val="74277E3A"/>
    <w:rsid w:val="74324450"/>
    <w:rsid w:val="743326A2"/>
    <w:rsid w:val="7434641A"/>
    <w:rsid w:val="74381A66"/>
    <w:rsid w:val="743A04AC"/>
    <w:rsid w:val="743C0E2B"/>
    <w:rsid w:val="743D707D"/>
    <w:rsid w:val="743E688A"/>
    <w:rsid w:val="74410A17"/>
    <w:rsid w:val="744523D5"/>
    <w:rsid w:val="74457850"/>
    <w:rsid w:val="74487DCD"/>
    <w:rsid w:val="744C5512"/>
    <w:rsid w:val="744C72C0"/>
    <w:rsid w:val="744E128A"/>
    <w:rsid w:val="74546174"/>
    <w:rsid w:val="74566390"/>
    <w:rsid w:val="74575798"/>
    <w:rsid w:val="745B5755"/>
    <w:rsid w:val="74631ADE"/>
    <w:rsid w:val="74640AAD"/>
    <w:rsid w:val="746565D3"/>
    <w:rsid w:val="74675EA7"/>
    <w:rsid w:val="746C7962"/>
    <w:rsid w:val="746D092B"/>
    <w:rsid w:val="74734539"/>
    <w:rsid w:val="74745D74"/>
    <w:rsid w:val="74746816"/>
    <w:rsid w:val="7476301D"/>
    <w:rsid w:val="74784559"/>
    <w:rsid w:val="7479207F"/>
    <w:rsid w:val="74793E2D"/>
    <w:rsid w:val="747C2324"/>
    <w:rsid w:val="74806E03"/>
    <w:rsid w:val="748527D2"/>
    <w:rsid w:val="748A4CEE"/>
    <w:rsid w:val="748C0004"/>
    <w:rsid w:val="748C590E"/>
    <w:rsid w:val="748D49CD"/>
    <w:rsid w:val="748F1AFC"/>
    <w:rsid w:val="74934EEE"/>
    <w:rsid w:val="74980757"/>
    <w:rsid w:val="7499002B"/>
    <w:rsid w:val="749B0247"/>
    <w:rsid w:val="749B1FF5"/>
    <w:rsid w:val="749B5C86"/>
    <w:rsid w:val="749D6880"/>
    <w:rsid w:val="749D7B1B"/>
    <w:rsid w:val="74A50BEC"/>
    <w:rsid w:val="74A52E74"/>
    <w:rsid w:val="74AC35B3"/>
    <w:rsid w:val="74AE3AD6"/>
    <w:rsid w:val="74AE4B4E"/>
    <w:rsid w:val="74B135C7"/>
    <w:rsid w:val="74B314A3"/>
    <w:rsid w:val="74B64406"/>
    <w:rsid w:val="74BA31C7"/>
    <w:rsid w:val="74BE7A92"/>
    <w:rsid w:val="74C351B8"/>
    <w:rsid w:val="74C4154C"/>
    <w:rsid w:val="74C432FA"/>
    <w:rsid w:val="74C4779E"/>
    <w:rsid w:val="74CB28DA"/>
    <w:rsid w:val="74CC2B9D"/>
    <w:rsid w:val="74CC7FCC"/>
    <w:rsid w:val="74D1030C"/>
    <w:rsid w:val="74D540E1"/>
    <w:rsid w:val="74D80B53"/>
    <w:rsid w:val="74D97E42"/>
    <w:rsid w:val="74DD6779"/>
    <w:rsid w:val="74DE2DFA"/>
    <w:rsid w:val="74E03EAC"/>
    <w:rsid w:val="74E05C5A"/>
    <w:rsid w:val="74E221F2"/>
    <w:rsid w:val="74E25E76"/>
    <w:rsid w:val="74E90AEC"/>
    <w:rsid w:val="74E97204"/>
    <w:rsid w:val="74EC45FF"/>
    <w:rsid w:val="74EE481B"/>
    <w:rsid w:val="74EF50AE"/>
    <w:rsid w:val="74F87447"/>
    <w:rsid w:val="74FC2045"/>
    <w:rsid w:val="74FD4A5E"/>
    <w:rsid w:val="75022074"/>
    <w:rsid w:val="7503583D"/>
    <w:rsid w:val="75061B64"/>
    <w:rsid w:val="75071439"/>
    <w:rsid w:val="750D643F"/>
    <w:rsid w:val="7524023C"/>
    <w:rsid w:val="75241FEA"/>
    <w:rsid w:val="752975C2"/>
    <w:rsid w:val="752C5ED8"/>
    <w:rsid w:val="752C70F1"/>
    <w:rsid w:val="752D5343"/>
    <w:rsid w:val="752D7D55"/>
    <w:rsid w:val="752F1C88"/>
    <w:rsid w:val="7532211D"/>
    <w:rsid w:val="75330480"/>
    <w:rsid w:val="7533222E"/>
    <w:rsid w:val="75363ACC"/>
    <w:rsid w:val="75394CD8"/>
    <w:rsid w:val="753B10E2"/>
    <w:rsid w:val="753F0BD2"/>
    <w:rsid w:val="753F6E24"/>
    <w:rsid w:val="75412B9C"/>
    <w:rsid w:val="75491A51"/>
    <w:rsid w:val="754A37EC"/>
    <w:rsid w:val="754B7577"/>
    <w:rsid w:val="75504B8E"/>
    <w:rsid w:val="75530B22"/>
    <w:rsid w:val="7553467E"/>
    <w:rsid w:val="755521A4"/>
    <w:rsid w:val="755A5A0C"/>
    <w:rsid w:val="755E374E"/>
    <w:rsid w:val="75630D65"/>
    <w:rsid w:val="75662603"/>
    <w:rsid w:val="756845CD"/>
    <w:rsid w:val="756B19C7"/>
    <w:rsid w:val="75703448"/>
    <w:rsid w:val="75734D20"/>
    <w:rsid w:val="75792336"/>
    <w:rsid w:val="757B16F4"/>
    <w:rsid w:val="757C3BD5"/>
    <w:rsid w:val="757F36C5"/>
    <w:rsid w:val="7581743D"/>
    <w:rsid w:val="75874327"/>
    <w:rsid w:val="75882579"/>
    <w:rsid w:val="75894543"/>
    <w:rsid w:val="758D193E"/>
    <w:rsid w:val="758D75E2"/>
    <w:rsid w:val="758F1B5A"/>
    <w:rsid w:val="7590669F"/>
    <w:rsid w:val="75986327"/>
    <w:rsid w:val="75994786"/>
    <w:rsid w:val="759A04FF"/>
    <w:rsid w:val="759C7DD3"/>
    <w:rsid w:val="759F4EC0"/>
    <w:rsid w:val="75AA17D7"/>
    <w:rsid w:val="75AD1FE0"/>
    <w:rsid w:val="75AE7B06"/>
    <w:rsid w:val="75B415C0"/>
    <w:rsid w:val="75B84DD4"/>
    <w:rsid w:val="75BC0475"/>
    <w:rsid w:val="75BE0ADD"/>
    <w:rsid w:val="75BF14D2"/>
    <w:rsid w:val="75C31803"/>
    <w:rsid w:val="75C67E24"/>
    <w:rsid w:val="75CA04F1"/>
    <w:rsid w:val="75CB4B5C"/>
    <w:rsid w:val="75CF008B"/>
    <w:rsid w:val="75D25EEA"/>
    <w:rsid w:val="75D752AF"/>
    <w:rsid w:val="75D7705D"/>
    <w:rsid w:val="75DF5F11"/>
    <w:rsid w:val="75E8126A"/>
    <w:rsid w:val="75EA6D90"/>
    <w:rsid w:val="75EF0F06"/>
    <w:rsid w:val="75F06371"/>
    <w:rsid w:val="75F25C45"/>
    <w:rsid w:val="75FE45EA"/>
    <w:rsid w:val="75FE6CDF"/>
    <w:rsid w:val="7601232C"/>
    <w:rsid w:val="760140DA"/>
    <w:rsid w:val="76024A7F"/>
    <w:rsid w:val="7610431D"/>
    <w:rsid w:val="76120323"/>
    <w:rsid w:val="761262E7"/>
    <w:rsid w:val="7613626B"/>
    <w:rsid w:val="76157B85"/>
    <w:rsid w:val="761734C3"/>
    <w:rsid w:val="761C7166"/>
    <w:rsid w:val="76200A04"/>
    <w:rsid w:val="76206C56"/>
    <w:rsid w:val="762229CE"/>
    <w:rsid w:val="76263B40"/>
    <w:rsid w:val="76285B0A"/>
    <w:rsid w:val="76312C11"/>
    <w:rsid w:val="76341118"/>
    <w:rsid w:val="76391AC6"/>
    <w:rsid w:val="763E532E"/>
    <w:rsid w:val="764346F2"/>
    <w:rsid w:val="76465F91"/>
    <w:rsid w:val="76472434"/>
    <w:rsid w:val="764A782F"/>
    <w:rsid w:val="764D19B8"/>
    <w:rsid w:val="765468FF"/>
    <w:rsid w:val="765E777E"/>
    <w:rsid w:val="76647C0A"/>
    <w:rsid w:val="766823AB"/>
    <w:rsid w:val="766E5C13"/>
    <w:rsid w:val="76736211"/>
    <w:rsid w:val="767945B8"/>
    <w:rsid w:val="767A350B"/>
    <w:rsid w:val="767D197B"/>
    <w:rsid w:val="767E008B"/>
    <w:rsid w:val="767E397C"/>
    <w:rsid w:val="76864AFC"/>
    <w:rsid w:val="76880357"/>
    <w:rsid w:val="7688510D"/>
    <w:rsid w:val="768C7E47"/>
    <w:rsid w:val="768E0063"/>
    <w:rsid w:val="76927701"/>
    <w:rsid w:val="769413F2"/>
    <w:rsid w:val="76960CC6"/>
    <w:rsid w:val="769A6A08"/>
    <w:rsid w:val="769B008A"/>
    <w:rsid w:val="769E0E20"/>
    <w:rsid w:val="76A258BD"/>
    <w:rsid w:val="76A333E3"/>
    <w:rsid w:val="76A553AD"/>
    <w:rsid w:val="76AA651F"/>
    <w:rsid w:val="76AB19E8"/>
    <w:rsid w:val="76AE24B4"/>
    <w:rsid w:val="76BD44A5"/>
    <w:rsid w:val="76BD6253"/>
    <w:rsid w:val="76C269AB"/>
    <w:rsid w:val="76C27D0D"/>
    <w:rsid w:val="76C375E1"/>
    <w:rsid w:val="76CE1B2D"/>
    <w:rsid w:val="76D33CC8"/>
    <w:rsid w:val="76D717A6"/>
    <w:rsid w:val="76D90FCE"/>
    <w:rsid w:val="76DA32A9"/>
    <w:rsid w:val="76DA5057"/>
    <w:rsid w:val="76DB2B7D"/>
    <w:rsid w:val="76DD06A3"/>
    <w:rsid w:val="76DE441B"/>
    <w:rsid w:val="76E45ED5"/>
    <w:rsid w:val="76E6765B"/>
    <w:rsid w:val="76E97048"/>
    <w:rsid w:val="76EA1012"/>
    <w:rsid w:val="76ED1FB3"/>
    <w:rsid w:val="76F459ED"/>
    <w:rsid w:val="76F61765"/>
    <w:rsid w:val="76F62D49"/>
    <w:rsid w:val="76F65C09"/>
    <w:rsid w:val="76F679B7"/>
    <w:rsid w:val="76FD2AF3"/>
    <w:rsid w:val="76FE0619"/>
    <w:rsid w:val="77043E82"/>
    <w:rsid w:val="770713DB"/>
    <w:rsid w:val="77101B8D"/>
    <w:rsid w:val="771542E1"/>
    <w:rsid w:val="771A18F7"/>
    <w:rsid w:val="771C566F"/>
    <w:rsid w:val="771D36E6"/>
    <w:rsid w:val="771F2A69"/>
    <w:rsid w:val="771F319A"/>
    <w:rsid w:val="772067E2"/>
    <w:rsid w:val="77274014"/>
    <w:rsid w:val="77274B25"/>
    <w:rsid w:val="772766B1"/>
    <w:rsid w:val="772938E8"/>
    <w:rsid w:val="77297EB7"/>
    <w:rsid w:val="772B7660"/>
    <w:rsid w:val="772C33D8"/>
    <w:rsid w:val="772C5186"/>
    <w:rsid w:val="772D6C40"/>
    <w:rsid w:val="772E7150"/>
    <w:rsid w:val="773504DF"/>
    <w:rsid w:val="7735567E"/>
    <w:rsid w:val="77364257"/>
    <w:rsid w:val="77387FCF"/>
    <w:rsid w:val="773A3D47"/>
    <w:rsid w:val="77426B90"/>
    <w:rsid w:val="774271E1"/>
    <w:rsid w:val="774C75D7"/>
    <w:rsid w:val="774D25F6"/>
    <w:rsid w:val="774E334F"/>
    <w:rsid w:val="77501DCD"/>
    <w:rsid w:val="775947BB"/>
    <w:rsid w:val="77597468"/>
    <w:rsid w:val="775A7F45"/>
    <w:rsid w:val="775F555C"/>
    <w:rsid w:val="77613082"/>
    <w:rsid w:val="77664B3C"/>
    <w:rsid w:val="77707E71"/>
    <w:rsid w:val="77735147"/>
    <w:rsid w:val="77752FD1"/>
    <w:rsid w:val="77762421"/>
    <w:rsid w:val="77784870"/>
    <w:rsid w:val="77796881"/>
    <w:rsid w:val="777D1726"/>
    <w:rsid w:val="77813412"/>
    <w:rsid w:val="778154D2"/>
    <w:rsid w:val="77846CDF"/>
    <w:rsid w:val="77846D70"/>
    <w:rsid w:val="778B00FF"/>
    <w:rsid w:val="778F5914"/>
    <w:rsid w:val="779276DF"/>
    <w:rsid w:val="77935205"/>
    <w:rsid w:val="779571D0"/>
    <w:rsid w:val="77974CF6"/>
    <w:rsid w:val="779E0807"/>
    <w:rsid w:val="779F004E"/>
    <w:rsid w:val="77A15B74"/>
    <w:rsid w:val="77A45665"/>
    <w:rsid w:val="77AA48B7"/>
    <w:rsid w:val="77AB69F3"/>
    <w:rsid w:val="77B6195A"/>
    <w:rsid w:val="77B95E16"/>
    <w:rsid w:val="77BA0F87"/>
    <w:rsid w:val="77BC475C"/>
    <w:rsid w:val="77C27899"/>
    <w:rsid w:val="77C67628"/>
    <w:rsid w:val="77CC444C"/>
    <w:rsid w:val="77CD6969"/>
    <w:rsid w:val="77CF345E"/>
    <w:rsid w:val="77D23F80"/>
    <w:rsid w:val="77D655BF"/>
    <w:rsid w:val="77D777E8"/>
    <w:rsid w:val="77D96FB3"/>
    <w:rsid w:val="77DC2E91"/>
    <w:rsid w:val="77E048EF"/>
    <w:rsid w:val="77E37AD6"/>
    <w:rsid w:val="77E421DC"/>
    <w:rsid w:val="77E77FA4"/>
    <w:rsid w:val="77EA751B"/>
    <w:rsid w:val="77ED2B68"/>
    <w:rsid w:val="780103C1"/>
    <w:rsid w:val="78016613"/>
    <w:rsid w:val="780600CD"/>
    <w:rsid w:val="78063C29"/>
    <w:rsid w:val="78085BF3"/>
    <w:rsid w:val="780B1240"/>
    <w:rsid w:val="780D4FB8"/>
    <w:rsid w:val="780F09F4"/>
    <w:rsid w:val="78186399"/>
    <w:rsid w:val="781A1483"/>
    <w:rsid w:val="782B18E2"/>
    <w:rsid w:val="782C7B34"/>
    <w:rsid w:val="782D565A"/>
    <w:rsid w:val="782F1C1A"/>
    <w:rsid w:val="78324A1E"/>
    <w:rsid w:val="78342545"/>
    <w:rsid w:val="78397B5B"/>
    <w:rsid w:val="783C1535"/>
    <w:rsid w:val="78454752"/>
    <w:rsid w:val="784F02E1"/>
    <w:rsid w:val="7851759A"/>
    <w:rsid w:val="785229A8"/>
    <w:rsid w:val="785901FD"/>
    <w:rsid w:val="785C7CED"/>
    <w:rsid w:val="785E75C1"/>
    <w:rsid w:val="785F0F7A"/>
    <w:rsid w:val="7860333A"/>
    <w:rsid w:val="7866354D"/>
    <w:rsid w:val="786A124A"/>
    <w:rsid w:val="786B1CDE"/>
    <w:rsid w:val="78760DAF"/>
    <w:rsid w:val="78793171"/>
    <w:rsid w:val="787943FB"/>
    <w:rsid w:val="787D20B0"/>
    <w:rsid w:val="787E5EB6"/>
    <w:rsid w:val="78810287"/>
    <w:rsid w:val="78824593"/>
    <w:rsid w:val="788860C0"/>
    <w:rsid w:val="788D434B"/>
    <w:rsid w:val="788F1E71"/>
    <w:rsid w:val="788F3C1F"/>
    <w:rsid w:val="789254BD"/>
    <w:rsid w:val="789456D9"/>
    <w:rsid w:val="78964FAD"/>
    <w:rsid w:val="789C4F47"/>
    <w:rsid w:val="789C633C"/>
    <w:rsid w:val="78A11715"/>
    <w:rsid w:val="78A37DFC"/>
    <w:rsid w:val="78A551F0"/>
    <w:rsid w:val="78A90480"/>
    <w:rsid w:val="78A95AD5"/>
    <w:rsid w:val="78AC0BE6"/>
    <w:rsid w:val="78B1554E"/>
    <w:rsid w:val="78B35B5F"/>
    <w:rsid w:val="78B43685"/>
    <w:rsid w:val="78C31B1A"/>
    <w:rsid w:val="78C57641"/>
    <w:rsid w:val="78C7785D"/>
    <w:rsid w:val="78CC351E"/>
    <w:rsid w:val="78CE2999"/>
    <w:rsid w:val="78D35BBD"/>
    <w:rsid w:val="78D36201"/>
    <w:rsid w:val="78D37FAF"/>
    <w:rsid w:val="78D646F6"/>
    <w:rsid w:val="78D67AA0"/>
    <w:rsid w:val="78DA734C"/>
    <w:rsid w:val="78DA7590"/>
    <w:rsid w:val="78DB5571"/>
    <w:rsid w:val="78E0447A"/>
    <w:rsid w:val="78E163DA"/>
    <w:rsid w:val="78E201F2"/>
    <w:rsid w:val="78E20A03"/>
    <w:rsid w:val="78E24696"/>
    <w:rsid w:val="78E26444"/>
    <w:rsid w:val="78E30EC4"/>
    <w:rsid w:val="78E8315E"/>
    <w:rsid w:val="78F10436"/>
    <w:rsid w:val="78F36279"/>
    <w:rsid w:val="78F817C4"/>
    <w:rsid w:val="78F9201C"/>
    <w:rsid w:val="78FD0B56"/>
    <w:rsid w:val="7904104F"/>
    <w:rsid w:val="790463BB"/>
    <w:rsid w:val="790939D1"/>
    <w:rsid w:val="790A14F7"/>
    <w:rsid w:val="790D1571"/>
    <w:rsid w:val="79122B54"/>
    <w:rsid w:val="791650FE"/>
    <w:rsid w:val="791660EE"/>
    <w:rsid w:val="79175833"/>
    <w:rsid w:val="7919798C"/>
    <w:rsid w:val="791D747D"/>
    <w:rsid w:val="791F1447"/>
    <w:rsid w:val="79297BCF"/>
    <w:rsid w:val="792A1B99"/>
    <w:rsid w:val="792C4CC9"/>
    <w:rsid w:val="79312F28"/>
    <w:rsid w:val="79330A4E"/>
    <w:rsid w:val="79350C82"/>
    <w:rsid w:val="79352A18"/>
    <w:rsid w:val="7936053E"/>
    <w:rsid w:val="793B7903"/>
    <w:rsid w:val="7940316B"/>
    <w:rsid w:val="79404F19"/>
    <w:rsid w:val="79426EE3"/>
    <w:rsid w:val="79442C5B"/>
    <w:rsid w:val="79490AB5"/>
    <w:rsid w:val="794C38BE"/>
    <w:rsid w:val="794F33AE"/>
    <w:rsid w:val="79507900"/>
    <w:rsid w:val="79594081"/>
    <w:rsid w:val="796450AB"/>
    <w:rsid w:val="796B49DC"/>
    <w:rsid w:val="796D289A"/>
    <w:rsid w:val="796E46DA"/>
    <w:rsid w:val="796E7CD8"/>
    <w:rsid w:val="797057FE"/>
    <w:rsid w:val="79717E77"/>
    <w:rsid w:val="7973709D"/>
    <w:rsid w:val="79752E15"/>
    <w:rsid w:val="79761652"/>
    <w:rsid w:val="79780B57"/>
    <w:rsid w:val="797A042B"/>
    <w:rsid w:val="797C0647"/>
    <w:rsid w:val="79811327"/>
    <w:rsid w:val="798219D5"/>
    <w:rsid w:val="79876FEC"/>
    <w:rsid w:val="798C63B0"/>
    <w:rsid w:val="798D4602"/>
    <w:rsid w:val="798E3ED6"/>
    <w:rsid w:val="798E437D"/>
    <w:rsid w:val="79905EA0"/>
    <w:rsid w:val="799314ED"/>
    <w:rsid w:val="79935991"/>
    <w:rsid w:val="79951709"/>
    <w:rsid w:val="79974728"/>
    <w:rsid w:val="79983E20"/>
    <w:rsid w:val="799C1155"/>
    <w:rsid w:val="799D236B"/>
    <w:rsid w:val="79A11E5C"/>
    <w:rsid w:val="79A8143C"/>
    <w:rsid w:val="79A90CAB"/>
    <w:rsid w:val="79AC0800"/>
    <w:rsid w:val="79B0209F"/>
    <w:rsid w:val="79B43D9D"/>
    <w:rsid w:val="79B74AA6"/>
    <w:rsid w:val="79B778D1"/>
    <w:rsid w:val="79B86634"/>
    <w:rsid w:val="79BD47BC"/>
    <w:rsid w:val="79BE0C60"/>
    <w:rsid w:val="79C03F87"/>
    <w:rsid w:val="79C124FE"/>
    <w:rsid w:val="79C96EB1"/>
    <w:rsid w:val="79CE69C9"/>
    <w:rsid w:val="79D42231"/>
    <w:rsid w:val="79D45972"/>
    <w:rsid w:val="79DA711C"/>
    <w:rsid w:val="79DB76E8"/>
    <w:rsid w:val="79DE4E5E"/>
    <w:rsid w:val="79DF4732"/>
    <w:rsid w:val="79E104AA"/>
    <w:rsid w:val="79E838CA"/>
    <w:rsid w:val="79E93803"/>
    <w:rsid w:val="79ED50A1"/>
    <w:rsid w:val="79F24465"/>
    <w:rsid w:val="79F62EF9"/>
    <w:rsid w:val="79F703FC"/>
    <w:rsid w:val="79F71A7C"/>
    <w:rsid w:val="79FC52E4"/>
    <w:rsid w:val="79FE72AE"/>
    <w:rsid w:val="7A083C89"/>
    <w:rsid w:val="7A097A01"/>
    <w:rsid w:val="7A0A5C53"/>
    <w:rsid w:val="7A137FC7"/>
    <w:rsid w:val="7A1C7734"/>
    <w:rsid w:val="7A1E16FE"/>
    <w:rsid w:val="7A1F0FD2"/>
    <w:rsid w:val="7A1F5B4D"/>
    <w:rsid w:val="7A22231A"/>
    <w:rsid w:val="7A23637B"/>
    <w:rsid w:val="7A24780B"/>
    <w:rsid w:val="7A274CFC"/>
    <w:rsid w:val="7A2A3180"/>
    <w:rsid w:val="7A2B5BC9"/>
    <w:rsid w:val="7A2D7B93"/>
    <w:rsid w:val="7A2F56B9"/>
    <w:rsid w:val="7A316DFD"/>
    <w:rsid w:val="7A322E75"/>
    <w:rsid w:val="7A364017"/>
    <w:rsid w:val="7A3A5144"/>
    <w:rsid w:val="7A3B22B0"/>
    <w:rsid w:val="7A3E3B4E"/>
    <w:rsid w:val="7A41719B"/>
    <w:rsid w:val="7A48677B"/>
    <w:rsid w:val="7A4B626B"/>
    <w:rsid w:val="7A505630"/>
    <w:rsid w:val="7A5E1AFB"/>
    <w:rsid w:val="7A665F33"/>
    <w:rsid w:val="7A6660F8"/>
    <w:rsid w:val="7A682979"/>
    <w:rsid w:val="7A6B1967"/>
    <w:rsid w:val="7A6D48C0"/>
    <w:rsid w:val="7A6F3D08"/>
    <w:rsid w:val="7A70182E"/>
    <w:rsid w:val="7A7024D5"/>
    <w:rsid w:val="7A715CD2"/>
    <w:rsid w:val="7A7C3632"/>
    <w:rsid w:val="7A7C6425"/>
    <w:rsid w:val="7A8265E1"/>
    <w:rsid w:val="7A886347"/>
    <w:rsid w:val="7A903C7E"/>
    <w:rsid w:val="7A9574D4"/>
    <w:rsid w:val="7A9B4AFD"/>
    <w:rsid w:val="7A9F0E90"/>
    <w:rsid w:val="7AA240DD"/>
    <w:rsid w:val="7AAC11BF"/>
    <w:rsid w:val="7AB07CD4"/>
    <w:rsid w:val="7AB21E46"/>
    <w:rsid w:val="7AB94F83"/>
    <w:rsid w:val="7ABE0549"/>
    <w:rsid w:val="7AC04563"/>
    <w:rsid w:val="7AC11659"/>
    <w:rsid w:val="7AC314BE"/>
    <w:rsid w:val="7AC322A6"/>
    <w:rsid w:val="7AC57DCC"/>
    <w:rsid w:val="7AD65B35"/>
    <w:rsid w:val="7AD86316"/>
    <w:rsid w:val="7ADB75EF"/>
    <w:rsid w:val="7ADF6323"/>
    <w:rsid w:val="7AE475C4"/>
    <w:rsid w:val="7AE9497B"/>
    <w:rsid w:val="7AF10BC1"/>
    <w:rsid w:val="7AF4245F"/>
    <w:rsid w:val="7AFA2D33"/>
    <w:rsid w:val="7AFB0B4F"/>
    <w:rsid w:val="7B007056"/>
    <w:rsid w:val="7B0613DB"/>
    <w:rsid w:val="7B072192"/>
    <w:rsid w:val="7B09415C"/>
    <w:rsid w:val="7B0A57DF"/>
    <w:rsid w:val="7B14665D"/>
    <w:rsid w:val="7B1B3E90"/>
    <w:rsid w:val="7B1B5C3E"/>
    <w:rsid w:val="7B1D5512"/>
    <w:rsid w:val="7B1F572E"/>
    <w:rsid w:val="7B205002"/>
    <w:rsid w:val="7B272834"/>
    <w:rsid w:val="7B2A7C2F"/>
    <w:rsid w:val="7B2C3224"/>
    <w:rsid w:val="7B2F5245"/>
    <w:rsid w:val="7B3650A3"/>
    <w:rsid w:val="7B3B410F"/>
    <w:rsid w:val="7B42766E"/>
    <w:rsid w:val="7B43689E"/>
    <w:rsid w:val="7B4738E3"/>
    <w:rsid w:val="7B486307"/>
    <w:rsid w:val="7B4E1B6F"/>
    <w:rsid w:val="7B4E6013"/>
    <w:rsid w:val="7B537186"/>
    <w:rsid w:val="7B5770BD"/>
    <w:rsid w:val="7B5829EE"/>
    <w:rsid w:val="7B58479C"/>
    <w:rsid w:val="7B5A472C"/>
    <w:rsid w:val="7B5E1E17"/>
    <w:rsid w:val="7B5E43AD"/>
    <w:rsid w:val="7B6018A2"/>
    <w:rsid w:val="7B6249F8"/>
    <w:rsid w:val="7B6479E6"/>
    <w:rsid w:val="7B686D42"/>
    <w:rsid w:val="7B6969A9"/>
    <w:rsid w:val="7B6A54D9"/>
    <w:rsid w:val="7B6C0247"/>
    <w:rsid w:val="7B727A53"/>
    <w:rsid w:val="7B74267B"/>
    <w:rsid w:val="7B7470FC"/>
    <w:rsid w:val="7B7A0FC8"/>
    <w:rsid w:val="7B7D06A6"/>
    <w:rsid w:val="7B7F61CD"/>
    <w:rsid w:val="7B827A6B"/>
    <w:rsid w:val="7B841746"/>
    <w:rsid w:val="7B86755B"/>
    <w:rsid w:val="7B871525"/>
    <w:rsid w:val="7B8B207E"/>
    <w:rsid w:val="7B8B4B71"/>
    <w:rsid w:val="7B8D7AD7"/>
    <w:rsid w:val="7B901128"/>
    <w:rsid w:val="7B917878"/>
    <w:rsid w:val="7B925FE7"/>
    <w:rsid w:val="7B95154C"/>
    <w:rsid w:val="7B95779E"/>
    <w:rsid w:val="7B98103C"/>
    <w:rsid w:val="7B9A3A6E"/>
    <w:rsid w:val="7B9A4DB4"/>
    <w:rsid w:val="7B9A4F9A"/>
    <w:rsid w:val="7B9D6653"/>
    <w:rsid w:val="7BA14395"/>
    <w:rsid w:val="7BA53E28"/>
    <w:rsid w:val="7BA63759"/>
    <w:rsid w:val="7BA94FF8"/>
    <w:rsid w:val="7BAE0225"/>
    <w:rsid w:val="7BBD0AA3"/>
    <w:rsid w:val="7BBD4F47"/>
    <w:rsid w:val="7BCE0F02"/>
    <w:rsid w:val="7BD209F2"/>
    <w:rsid w:val="7BD3786A"/>
    <w:rsid w:val="7BD37981"/>
    <w:rsid w:val="7BD55DED"/>
    <w:rsid w:val="7BD61B65"/>
    <w:rsid w:val="7BD8369B"/>
    <w:rsid w:val="7BD858DD"/>
    <w:rsid w:val="7BDA5FBB"/>
    <w:rsid w:val="7BDC717B"/>
    <w:rsid w:val="7BE01E2D"/>
    <w:rsid w:val="7BE55C9F"/>
    <w:rsid w:val="7BE6624C"/>
    <w:rsid w:val="7BEB1AB4"/>
    <w:rsid w:val="7BF6580F"/>
    <w:rsid w:val="7BFA3C79"/>
    <w:rsid w:val="7C00348C"/>
    <w:rsid w:val="7C0045FA"/>
    <w:rsid w:val="7C013085"/>
    <w:rsid w:val="7C014E34"/>
    <w:rsid w:val="7C04545E"/>
    <w:rsid w:val="7C0473F0"/>
    <w:rsid w:val="7C06069C"/>
    <w:rsid w:val="7C075F3B"/>
    <w:rsid w:val="7C0E7550"/>
    <w:rsid w:val="7C1032C9"/>
    <w:rsid w:val="7C1508DF"/>
    <w:rsid w:val="7C1728A9"/>
    <w:rsid w:val="7C1B0ED7"/>
    <w:rsid w:val="7C1C3A1B"/>
    <w:rsid w:val="7C2154D6"/>
    <w:rsid w:val="7C246915"/>
    <w:rsid w:val="7C2823C0"/>
    <w:rsid w:val="7C322B65"/>
    <w:rsid w:val="7C330D65"/>
    <w:rsid w:val="7C333AF9"/>
    <w:rsid w:val="7C3F3BAE"/>
    <w:rsid w:val="7C464F3C"/>
    <w:rsid w:val="7C484810"/>
    <w:rsid w:val="7C4A67DB"/>
    <w:rsid w:val="7C4B60AF"/>
    <w:rsid w:val="7C4C69A8"/>
    <w:rsid w:val="7C4F3DF1"/>
    <w:rsid w:val="7C5076B5"/>
    <w:rsid w:val="7C5A2FCC"/>
    <w:rsid w:val="7C611D76"/>
    <w:rsid w:val="7C63789C"/>
    <w:rsid w:val="7C644183"/>
    <w:rsid w:val="7C644564"/>
    <w:rsid w:val="7C653614"/>
    <w:rsid w:val="7C6F4493"/>
    <w:rsid w:val="7C6F6241"/>
    <w:rsid w:val="7C730E76"/>
    <w:rsid w:val="7C743857"/>
    <w:rsid w:val="7C751A11"/>
    <w:rsid w:val="7C773348"/>
    <w:rsid w:val="7C7F3FAA"/>
    <w:rsid w:val="7C857813"/>
    <w:rsid w:val="7C896BD7"/>
    <w:rsid w:val="7C8D3F98"/>
    <w:rsid w:val="7C8D5D00"/>
    <w:rsid w:val="7C8F0691"/>
    <w:rsid w:val="7C943EFA"/>
    <w:rsid w:val="7C950E2A"/>
    <w:rsid w:val="7C952014"/>
    <w:rsid w:val="7C9663A3"/>
    <w:rsid w:val="7C9712F4"/>
    <w:rsid w:val="7C98391B"/>
    <w:rsid w:val="7C9C6796"/>
    <w:rsid w:val="7C9E6B26"/>
    <w:rsid w:val="7CA0770A"/>
    <w:rsid w:val="7CA103C5"/>
    <w:rsid w:val="7CA52E86"/>
    <w:rsid w:val="7CA67789"/>
    <w:rsid w:val="7CA83501"/>
    <w:rsid w:val="7CB00608"/>
    <w:rsid w:val="7CB579CC"/>
    <w:rsid w:val="7CB73744"/>
    <w:rsid w:val="7CB9570E"/>
    <w:rsid w:val="7CBC0D5A"/>
    <w:rsid w:val="7CBC51FE"/>
    <w:rsid w:val="7CCA3477"/>
    <w:rsid w:val="7CCF0A8E"/>
    <w:rsid w:val="7CCF4C6B"/>
    <w:rsid w:val="7CD10CAA"/>
    <w:rsid w:val="7CD2057E"/>
    <w:rsid w:val="7CD20D82"/>
    <w:rsid w:val="7CDE5175"/>
    <w:rsid w:val="7CE00EED"/>
    <w:rsid w:val="7CE26411"/>
    <w:rsid w:val="7CE309DD"/>
    <w:rsid w:val="7CE34539"/>
    <w:rsid w:val="7CE502B1"/>
    <w:rsid w:val="7CE7227B"/>
    <w:rsid w:val="7CED7B72"/>
    <w:rsid w:val="7CF36423"/>
    <w:rsid w:val="7CF46746"/>
    <w:rsid w:val="7CF6426C"/>
    <w:rsid w:val="7CF83BBE"/>
    <w:rsid w:val="7CF93D5D"/>
    <w:rsid w:val="7D0239FF"/>
    <w:rsid w:val="7D034BDB"/>
    <w:rsid w:val="7D0428EB"/>
    <w:rsid w:val="7D0467C0"/>
    <w:rsid w:val="7D0A41BC"/>
    <w:rsid w:val="7D0A66E9"/>
    <w:rsid w:val="7D0D15B6"/>
    <w:rsid w:val="7D0E1EA7"/>
    <w:rsid w:val="7D11554A"/>
    <w:rsid w:val="7D115EA6"/>
    <w:rsid w:val="7D142945"/>
    <w:rsid w:val="7D146DE8"/>
    <w:rsid w:val="7D195AC8"/>
    <w:rsid w:val="7D1A7E16"/>
    <w:rsid w:val="7D1F7C67"/>
    <w:rsid w:val="7D21405B"/>
    <w:rsid w:val="7D225061"/>
    <w:rsid w:val="7D23702C"/>
    <w:rsid w:val="7D252DA4"/>
    <w:rsid w:val="7D284642"/>
    <w:rsid w:val="7D311CF4"/>
    <w:rsid w:val="7D33726F"/>
    <w:rsid w:val="7D341239"/>
    <w:rsid w:val="7D342FE7"/>
    <w:rsid w:val="7D344D95"/>
    <w:rsid w:val="7D37575A"/>
    <w:rsid w:val="7D3905FD"/>
    <w:rsid w:val="7D3D2AA8"/>
    <w:rsid w:val="7D3F0F24"/>
    <w:rsid w:val="7D4274B2"/>
    <w:rsid w:val="7D450D50"/>
    <w:rsid w:val="7D513B99"/>
    <w:rsid w:val="7D515947"/>
    <w:rsid w:val="7D52346D"/>
    <w:rsid w:val="7D580A83"/>
    <w:rsid w:val="7D5947FB"/>
    <w:rsid w:val="7D5B67C5"/>
    <w:rsid w:val="7D5E40CD"/>
    <w:rsid w:val="7D605B8A"/>
    <w:rsid w:val="7D6500F5"/>
    <w:rsid w:val="7D6531A0"/>
    <w:rsid w:val="7D693BED"/>
    <w:rsid w:val="7D694C7C"/>
    <w:rsid w:val="7D6C2781"/>
    <w:rsid w:val="7D6C6195"/>
    <w:rsid w:val="7D6F3CF1"/>
    <w:rsid w:val="7D7004C3"/>
    <w:rsid w:val="7D705BFF"/>
    <w:rsid w:val="7D711B45"/>
    <w:rsid w:val="7D781125"/>
    <w:rsid w:val="7D7A4E9D"/>
    <w:rsid w:val="7D7D04EA"/>
    <w:rsid w:val="7D824B7F"/>
    <w:rsid w:val="7D8950E1"/>
    <w:rsid w:val="7D8E7BDF"/>
    <w:rsid w:val="7D8F0799"/>
    <w:rsid w:val="7D944F65"/>
    <w:rsid w:val="7D9558DE"/>
    <w:rsid w:val="7D957F29"/>
    <w:rsid w:val="7D983576"/>
    <w:rsid w:val="7D9B2D0E"/>
    <w:rsid w:val="7D9B2E98"/>
    <w:rsid w:val="7D9D6DDE"/>
    <w:rsid w:val="7D9F0BCB"/>
    <w:rsid w:val="7DA0067C"/>
    <w:rsid w:val="7DA61F6B"/>
    <w:rsid w:val="7DAC3C93"/>
    <w:rsid w:val="7DB06B11"/>
    <w:rsid w:val="7DB13B00"/>
    <w:rsid w:val="7DB3215D"/>
    <w:rsid w:val="7DB92447"/>
    <w:rsid w:val="7DBA7990"/>
    <w:rsid w:val="7DC10D1E"/>
    <w:rsid w:val="7DC51888"/>
    <w:rsid w:val="7DC600E3"/>
    <w:rsid w:val="7DC92BE0"/>
    <w:rsid w:val="7DCB394B"/>
    <w:rsid w:val="7DCE51E9"/>
    <w:rsid w:val="7DD37B87"/>
    <w:rsid w:val="7DD44EEC"/>
    <w:rsid w:val="7DD722F0"/>
    <w:rsid w:val="7DD81BC4"/>
    <w:rsid w:val="7DD86068"/>
    <w:rsid w:val="7DDE34B5"/>
    <w:rsid w:val="7DDF2F52"/>
    <w:rsid w:val="7DEB7B49"/>
    <w:rsid w:val="7DF10ED8"/>
    <w:rsid w:val="7DF12C86"/>
    <w:rsid w:val="7DF34C50"/>
    <w:rsid w:val="7DFA5FDE"/>
    <w:rsid w:val="7E024E93"/>
    <w:rsid w:val="7E040C0B"/>
    <w:rsid w:val="7E052BDE"/>
    <w:rsid w:val="7E057D7A"/>
    <w:rsid w:val="7E0B440B"/>
    <w:rsid w:val="7E0D5D12"/>
    <w:rsid w:val="7E0E55E6"/>
    <w:rsid w:val="7E121B01"/>
    <w:rsid w:val="7E132BFC"/>
    <w:rsid w:val="7E1532BF"/>
    <w:rsid w:val="7E156974"/>
    <w:rsid w:val="7E1846B6"/>
    <w:rsid w:val="7E1A042F"/>
    <w:rsid w:val="7E1A6BBD"/>
    <w:rsid w:val="7E1B52D0"/>
    <w:rsid w:val="7E1D118B"/>
    <w:rsid w:val="7E1D624C"/>
    <w:rsid w:val="7E1F77F3"/>
    <w:rsid w:val="7E2117BD"/>
    <w:rsid w:val="7E24305B"/>
    <w:rsid w:val="7E246BF6"/>
    <w:rsid w:val="7E2B68F4"/>
    <w:rsid w:val="7E2E3EDA"/>
    <w:rsid w:val="7E2E5C88"/>
    <w:rsid w:val="7E371D41"/>
    <w:rsid w:val="7E3C666E"/>
    <w:rsid w:val="7E3D5ECB"/>
    <w:rsid w:val="7E3E411D"/>
    <w:rsid w:val="7E4B2FD1"/>
    <w:rsid w:val="7E4D6024"/>
    <w:rsid w:val="7E4E04C2"/>
    <w:rsid w:val="7E50377C"/>
    <w:rsid w:val="7E5316BF"/>
    <w:rsid w:val="7E553215"/>
    <w:rsid w:val="7E5637D7"/>
    <w:rsid w:val="7E58122B"/>
    <w:rsid w:val="7E5A4CCF"/>
    <w:rsid w:val="7E5D031B"/>
    <w:rsid w:val="7E5F4093"/>
    <w:rsid w:val="7E5F7640"/>
    <w:rsid w:val="7E6873EC"/>
    <w:rsid w:val="7E6D1E3F"/>
    <w:rsid w:val="7E6D67B0"/>
    <w:rsid w:val="7E722019"/>
    <w:rsid w:val="7E762DB4"/>
    <w:rsid w:val="7E7A0ECD"/>
    <w:rsid w:val="7E7B3C1E"/>
    <w:rsid w:val="7E7C69F3"/>
    <w:rsid w:val="7E7F64E4"/>
    <w:rsid w:val="7E8104AE"/>
    <w:rsid w:val="7E81225C"/>
    <w:rsid w:val="7E8458A8"/>
    <w:rsid w:val="7E865AC4"/>
    <w:rsid w:val="7E891110"/>
    <w:rsid w:val="7E8A1149"/>
    <w:rsid w:val="7E8A55B4"/>
    <w:rsid w:val="7E8B30DA"/>
    <w:rsid w:val="7E8D6E52"/>
    <w:rsid w:val="7E8E4F55"/>
    <w:rsid w:val="7E9401E1"/>
    <w:rsid w:val="7E97382D"/>
    <w:rsid w:val="7E99373B"/>
    <w:rsid w:val="7EA30424"/>
    <w:rsid w:val="7EA33FDE"/>
    <w:rsid w:val="7EA40AE0"/>
    <w:rsid w:val="7EA45F4A"/>
    <w:rsid w:val="7EA5419C"/>
    <w:rsid w:val="7EAB552B"/>
    <w:rsid w:val="7EB264E4"/>
    <w:rsid w:val="7EB42631"/>
    <w:rsid w:val="7EB56F67"/>
    <w:rsid w:val="7EB837A6"/>
    <w:rsid w:val="7EBB6578"/>
    <w:rsid w:val="7EC42148"/>
    <w:rsid w:val="7EC64112"/>
    <w:rsid w:val="7EC65EC0"/>
    <w:rsid w:val="7EC860DC"/>
    <w:rsid w:val="7ECD36F3"/>
    <w:rsid w:val="7ED455CC"/>
    <w:rsid w:val="7ED71E7C"/>
    <w:rsid w:val="7ED92098"/>
    <w:rsid w:val="7ED92904"/>
    <w:rsid w:val="7EE527EB"/>
    <w:rsid w:val="7EEF0C53"/>
    <w:rsid w:val="7EEF18BB"/>
    <w:rsid w:val="7EF42A2E"/>
    <w:rsid w:val="7EF961DF"/>
    <w:rsid w:val="7F050C92"/>
    <w:rsid w:val="7F0709B3"/>
    <w:rsid w:val="7F076C05"/>
    <w:rsid w:val="7F0A6D29"/>
    <w:rsid w:val="7F0B7D77"/>
    <w:rsid w:val="7F0F1615"/>
    <w:rsid w:val="7F10538E"/>
    <w:rsid w:val="7F1135E0"/>
    <w:rsid w:val="7F1429AC"/>
    <w:rsid w:val="7F1629A4"/>
    <w:rsid w:val="7F17496E"/>
    <w:rsid w:val="7F1950C0"/>
    <w:rsid w:val="7F236931"/>
    <w:rsid w:val="7F250E39"/>
    <w:rsid w:val="7F264BB1"/>
    <w:rsid w:val="7F272E03"/>
    <w:rsid w:val="7F2A28F3"/>
    <w:rsid w:val="7F2D4191"/>
    <w:rsid w:val="7F2D7CEE"/>
    <w:rsid w:val="7F3124A9"/>
    <w:rsid w:val="7F3217A8"/>
    <w:rsid w:val="7F364DF4"/>
    <w:rsid w:val="7F3E639F"/>
    <w:rsid w:val="7F405C73"/>
    <w:rsid w:val="7F4219EB"/>
    <w:rsid w:val="7F435763"/>
    <w:rsid w:val="7F4A08A0"/>
    <w:rsid w:val="7F4C4618"/>
    <w:rsid w:val="7F57023D"/>
    <w:rsid w:val="7F5867C0"/>
    <w:rsid w:val="7F5931D8"/>
    <w:rsid w:val="7F597551"/>
    <w:rsid w:val="7F5C7D12"/>
    <w:rsid w:val="7F625BE9"/>
    <w:rsid w:val="7F6A7224"/>
    <w:rsid w:val="7F6C6A68"/>
    <w:rsid w:val="7F6F0306"/>
    <w:rsid w:val="7F775DA9"/>
    <w:rsid w:val="7F7A0869"/>
    <w:rsid w:val="7F7D0C75"/>
    <w:rsid w:val="7F7D2A23"/>
    <w:rsid w:val="7F7E49ED"/>
    <w:rsid w:val="7F7F7177"/>
    <w:rsid w:val="7F800765"/>
    <w:rsid w:val="7F916650"/>
    <w:rsid w:val="7F9D1317"/>
    <w:rsid w:val="7F9F508F"/>
    <w:rsid w:val="7FA12C09"/>
    <w:rsid w:val="7FA1658D"/>
    <w:rsid w:val="7FA206DC"/>
    <w:rsid w:val="7FA2692E"/>
    <w:rsid w:val="7FA43F27"/>
    <w:rsid w:val="7FA44454"/>
    <w:rsid w:val="7FA44DC6"/>
    <w:rsid w:val="7FA91A6A"/>
    <w:rsid w:val="7FA96067"/>
    <w:rsid w:val="7FB34697"/>
    <w:rsid w:val="7FB4040F"/>
    <w:rsid w:val="7FB421BD"/>
    <w:rsid w:val="7FB83A5B"/>
    <w:rsid w:val="7FB87EFF"/>
    <w:rsid w:val="7FBB179D"/>
    <w:rsid w:val="7FBB354B"/>
    <w:rsid w:val="7FBD3767"/>
    <w:rsid w:val="7FBE40A5"/>
    <w:rsid w:val="7FBE43E0"/>
    <w:rsid w:val="7FC37379"/>
    <w:rsid w:val="7FC44AF6"/>
    <w:rsid w:val="7FC66CD0"/>
    <w:rsid w:val="7FCC39AA"/>
    <w:rsid w:val="7FD5285F"/>
    <w:rsid w:val="7FD83B4E"/>
    <w:rsid w:val="7FD85EAB"/>
    <w:rsid w:val="7FDB04BF"/>
    <w:rsid w:val="7FDC1E3F"/>
    <w:rsid w:val="7FDF527F"/>
    <w:rsid w:val="7FE42AA2"/>
    <w:rsid w:val="7FE47E50"/>
    <w:rsid w:val="7FE76BED"/>
    <w:rsid w:val="7FE80AE4"/>
    <w:rsid w:val="7FE9630A"/>
    <w:rsid w:val="7FEE3921"/>
    <w:rsid w:val="7FF57CB4"/>
    <w:rsid w:val="7FF57F11"/>
    <w:rsid w:val="7FF75A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38"/>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39"/>
    <w:autoRedefine/>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autoRedefine/>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autoRedefine/>
    <w:qFormat/>
    <w:locked/>
    <w:uiPriority w:val="99"/>
    <w:pPr>
      <w:keepNext/>
      <w:keepLines/>
      <w:numPr>
        <w:ilvl w:val="3"/>
        <w:numId w:val="1"/>
      </w:numPr>
      <w:ind w:left="0" w:firstLine="0"/>
      <w:jc w:val="left"/>
      <w:outlineLvl w:val="3"/>
    </w:pPr>
    <w:rPr>
      <w:b/>
      <w:bCs/>
      <w:szCs w:val="28"/>
    </w:rPr>
  </w:style>
  <w:style w:type="character" w:default="1" w:styleId="37">
    <w:name w:val="Default Paragraph Font"/>
    <w:autoRedefine/>
    <w:semiHidden/>
    <w:unhideWhenUsed/>
    <w:qFormat/>
    <w:uiPriority w:val="1"/>
  </w:style>
  <w:style w:type="table" w:default="1" w:styleId="35">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52"/>
    <w:autoRedefine/>
    <w:qFormat/>
    <w:uiPriority w:val="0"/>
    <w:pPr>
      <w:widowControl/>
      <w:snapToGrid w:val="0"/>
      <w:spacing w:before="60" w:after="160" w:line="259" w:lineRule="auto"/>
      <w:ind w:right="113"/>
    </w:pPr>
    <w:rPr>
      <w:kern w:val="0"/>
      <w:sz w:val="18"/>
      <w:szCs w:val="18"/>
    </w:rPr>
  </w:style>
  <w:style w:type="paragraph" w:customStyle="1" w:styleId="3">
    <w:name w:val="Normal (Web)1"/>
    <w:basedOn w:val="1"/>
    <w:next w:val="4"/>
    <w:autoRedefine/>
    <w:qFormat/>
    <w:uiPriority w:val="0"/>
    <w:pPr>
      <w:widowControl/>
    </w:pPr>
    <w:rPr>
      <w:rFonts w:ascii="宋体"/>
      <w:sz w:val="24"/>
      <w:szCs w:val="21"/>
    </w:rPr>
  </w:style>
  <w:style w:type="paragraph" w:customStyle="1" w:styleId="4">
    <w:name w:val="Date1"/>
    <w:basedOn w:val="1"/>
    <w:next w:val="1"/>
    <w:autoRedefine/>
    <w:qFormat/>
    <w:uiPriority w:val="0"/>
    <w:pPr>
      <w:ind w:left="2500" w:leftChars="2500"/>
    </w:pPr>
  </w:style>
  <w:style w:type="paragraph" w:styleId="9">
    <w:name w:val="Normal Indent"/>
    <w:basedOn w:val="1"/>
    <w:next w:val="2"/>
    <w:autoRedefine/>
    <w:qFormat/>
    <w:uiPriority w:val="0"/>
    <w:pPr>
      <w:spacing w:line="460" w:lineRule="atLeast"/>
      <w:ind w:firstLine="420"/>
    </w:pPr>
    <w:rPr>
      <w:szCs w:val="20"/>
    </w:rPr>
  </w:style>
  <w:style w:type="paragraph" w:styleId="10">
    <w:name w:val="caption"/>
    <w:basedOn w:val="1"/>
    <w:next w:val="1"/>
    <w:autoRedefine/>
    <w:qFormat/>
    <w:locked/>
    <w:uiPriority w:val="0"/>
    <w:rPr>
      <w:rFonts w:ascii="Arial" w:hAnsi="Arial" w:eastAsia="黑体"/>
      <w:sz w:val="20"/>
      <w:szCs w:val="20"/>
    </w:rPr>
  </w:style>
  <w:style w:type="paragraph" w:styleId="11">
    <w:name w:val="annotation text"/>
    <w:basedOn w:val="1"/>
    <w:link w:val="51"/>
    <w:autoRedefine/>
    <w:semiHidden/>
    <w:qFormat/>
    <w:uiPriority w:val="0"/>
    <w:pPr>
      <w:jc w:val="left"/>
    </w:pPr>
    <w:rPr>
      <w:kern w:val="0"/>
      <w:sz w:val="20"/>
    </w:rPr>
  </w:style>
  <w:style w:type="paragraph" w:styleId="12">
    <w:name w:val="Body Text Indent"/>
    <w:basedOn w:val="1"/>
    <w:link w:val="53"/>
    <w:autoRedefine/>
    <w:semiHidden/>
    <w:qFormat/>
    <w:uiPriority w:val="0"/>
    <w:pPr>
      <w:spacing w:after="120"/>
      <w:ind w:left="420" w:leftChars="200"/>
    </w:pPr>
  </w:style>
  <w:style w:type="paragraph" w:styleId="13">
    <w:name w:val="Block Text"/>
    <w:basedOn w:val="1"/>
    <w:next w:val="1"/>
    <w:autoRedefine/>
    <w:qFormat/>
    <w:uiPriority w:val="0"/>
    <w:pPr>
      <w:spacing w:line="240" w:lineRule="auto"/>
      <w:ind w:left="113" w:right="113" w:firstLine="3584"/>
      <w:jc w:val="center"/>
    </w:pPr>
  </w:style>
  <w:style w:type="paragraph" w:styleId="14">
    <w:name w:val="Plain Text"/>
    <w:basedOn w:val="1"/>
    <w:next w:val="15"/>
    <w:autoRedefine/>
    <w:qFormat/>
    <w:uiPriority w:val="0"/>
    <w:rPr>
      <w:rFonts w:ascii="宋体" w:hAnsi="Courier New" w:cs="Courier New"/>
      <w:szCs w:val="21"/>
    </w:rPr>
  </w:style>
  <w:style w:type="paragraph" w:styleId="15">
    <w:name w:val="toc 1"/>
    <w:basedOn w:val="1"/>
    <w:next w:val="1"/>
    <w:autoRedefine/>
    <w:qFormat/>
    <w:locked/>
    <w:uiPriority w:val="0"/>
    <w:pPr>
      <w:spacing w:line="360" w:lineRule="auto"/>
    </w:pPr>
    <w:rPr>
      <w:b/>
      <w:sz w:val="24"/>
    </w:rPr>
  </w:style>
  <w:style w:type="paragraph" w:styleId="16">
    <w:name w:val="Date"/>
    <w:basedOn w:val="1"/>
    <w:next w:val="1"/>
    <w:link w:val="54"/>
    <w:autoRedefine/>
    <w:qFormat/>
    <w:uiPriority w:val="0"/>
    <w:pPr>
      <w:ind w:left="100" w:leftChars="2500"/>
    </w:pPr>
    <w:rPr>
      <w:kern w:val="0"/>
      <w:sz w:val="20"/>
    </w:rPr>
  </w:style>
  <w:style w:type="paragraph" w:styleId="17">
    <w:name w:val="Body Text Indent 2"/>
    <w:basedOn w:val="1"/>
    <w:next w:val="1"/>
    <w:autoRedefine/>
    <w:qFormat/>
    <w:uiPriority w:val="0"/>
    <w:pPr>
      <w:spacing w:after="120" w:line="480" w:lineRule="auto"/>
      <w:ind w:left="420" w:leftChars="200"/>
    </w:pPr>
  </w:style>
  <w:style w:type="paragraph" w:styleId="18">
    <w:name w:val="Balloon Text"/>
    <w:basedOn w:val="1"/>
    <w:next w:val="13"/>
    <w:link w:val="55"/>
    <w:autoRedefine/>
    <w:semiHidden/>
    <w:qFormat/>
    <w:uiPriority w:val="0"/>
    <w:rPr>
      <w:sz w:val="18"/>
      <w:szCs w:val="18"/>
    </w:rPr>
  </w:style>
  <w:style w:type="paragraph" w:styleId="19">
    <w:name w:val="footer"/>
    <w:basedOn w:val="1"/>
    <w:link w:val="56"/>
    <w:autoRedefine/>
    <w:qFormat/>
    <w:uiPriority w:val="0"/>
    <w:pPr>
      <w:tabs>
        <w:tab w:val="center" w:pos="4153"/>
        <w:tab w:val="right" w:pos="8306"/>
      </w:tabs>
      <w:snapToGrid w:val="0"/>
      <w:jc w:val="left"/>
    </w:pPr>
    <w:rPr>
      <w:sz w:val="18"/>
      <w:szCs w:val="18"/>
    </w:rPr>
  </w:style>
  <w:style w:type="paragraph" w:styleId="20">
    <w:name w:val="header"/>
    <w:basedOn w:val="1"/>
    <w:next w:val="21"/>
    <w:link w:val="5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1">
    <w:name w:val="样式5"/>
    <w:basedOn w:val="1"/>
    <w:autoRedefine/>
    <w:qFormat/>
    <w:uiPriority w:val="0"/>
    <w:pPr>
      <w:spacing w:line="380" w:lineRule="exact"/>
      <w:ind w:firstLine="566" w:firstLineChars="202"/>
    </w:pPr>
    <w:rPr>
      <w:rFonts w:eastAsia="华文行楷"/>
    </w:rPr>
  </w:style>
  <w:style w:type="paragraph" w:styleId="22">
    <w:name w:val="List"/>
    <w:basedOn w:val="1"/>
    <w:autoRedefine/>
    <w:qFormat/>
    <w:uiPriority w:val="0"/>
    <w:pPr>
      <w:ind w:left="200" w:hanging="200" w:hangingChars="200"/>
    </w:pPr>
  </w:style>
  <w:style w:type="paragraph" w:styleId="23">
    <w:name w:val="toc 6"/>
    <w:basedOn w:val="1"/>
    <w:next w:val="1"/>
    <w:autoRedefine/>
    <w:qFormat/>
    <w:locked/>
    <w:uiPriority w:val="0"/>
    <w:pPr>
      <w:ind w:left="2100" w:leftChars="1000"/>
    </w:pPr>
  </w:style>
  <w:style w:type="paragraph" w:styleId="24">
    <w:name w:val="Body Text Indent 3"/>
    <w:basedOn w:val="1"/>
    <w:next w:val="18"/>
    <w:autoRedefine/>
    <w:qFormat/>
    <w:uiPriority w:val="0"/>
    <w:pPr>
      <w:spacing w:after="120"/>
      <w:ind w:left="420" w:leftChars="200"/>
    </w:pPr>
    <w:rPr>
      <w:sz w:val="16"/>
      <w:szCs w:val="16"/>
    </w:rPr>
  </w:style>
  <w:style w:type="paragraph" w:styleId="25">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6">
    <w:name w:val="toc 2"/>
    <w:basedOn w:val="1"/>
    <w:next w:val="1"/>
    <w:autoRedefine/>
    <w:unhideWhenUsed/>
    <w:qFormat/>
    <w:locked/>
    <w:uiPriority w:val="39"/>
    <w:pPr>
      <w:ind w:left="420" w:leftChars="200"/>
    </w:pPr>
    <w:rPr>
      <w:rFonts w:ascii="Calibri" w:hAnsi="Calibri"/>
    </w:rPr>
  </w:style>
  <w:style w:type="paragraph" w:styleId="27">
    <w:name w:val="Body Text 2"/>
    <w:basedOn w:val="1"/>
    <w:qFormat/>
    <w:uiPriority w:val="0"/>
    <w:rPr>
      <w:sz w:val="28"/>
    </w:rPr>
  </w:style>
  <w:style w:type="paragraph" w:styleId="28">
    <w:name w:val="Message Header"/>
    <w:basedOn w:val="1"/>
    <w:autoRedefine/>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29">
    <w:name w:val="Normal (Web)"/>
    <w:basedOn w:val="1"/>
    <w:link w:val="58"/>
    <w:autoRedefine/>
    <w:qFormat/>
    <w:uiPriority w:val="0"/>
    <w:pPr>
      <w:widowControl/>
      <w:spacing w:before="100" w:beforeAutospacing="1" w:after="100" w:afterAutospacing="1"/>
      <w:jc w:val="left"/>
    </w:pPr>
    <w:rPr>
      <w:rFonts w:ascii="宋体" w:hAnsi="宋体"/>
      <w:kern w:val="0"/>
      <w:sz w:val="24"/>
    </w:rPr>
  </w:style>
  <w:style w:type="paragraph" w:styleId="30">
    <w:name w:val="Title"/>
    <w:basedOn w:val="1"/>
    <w:next w:val="1"/>
    <w:qFormat/>
    <w:locked/>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31">
    <w:name w:val="annotation subject"/>
    <w:basedOn w:val="11"/>
    <w:next w:val="11"/>
    <w:link w:val="59"/>
    <w:autoRedefine/>
    <w:semiHidden/>
    <w:qFormat/>
    <w:uiPriority w:val="0"/>
    <w:rPr>
      <w:b/>
      <w:bCs/>
    </w:rPr>
  </w:style>
  <w:style w:type="paragraph" w:styleId="32">
    <w:name w:val="Body Text First Indent"/>
    <w:basedOn w:val="1"/>
    <w:next w:val="33"/>
    <w:autoRedefine/>
    <w:qFormat/>
    <w:uiPriority w:val="0"/>
    <w:pPr>
      <w:ind w:firstLine="420" w:firstLineChars="100"/>
    </w:pPr>
  </w:style>
  <w:style w:type="paragraph" w:customStyle="1" w:styleId="33">
    <w:name w:val="样式 正文首行缩进 + 首行缩进:  2 字符1"/>
    <w:basedOn w:val="32"/>
    <w:next w:val="15"/>
    <w:autoRedefine/>
    <w:qFormat/>
    <w:uiPriority w:val="0"/>
    <w:pPr>
      <w:spacing w:line="360" w:lineRule="auto"/>
      <w:ind w:firstLine="480" w:firstLineChars="200"/>
    </w:pPr>
    <w:rPr>
      <w:sz w:val="24"/>
    </w:rPr>
  </w:style>
  <w:style w:type="paragraph" w:styleId="34">
    <w:name w:val="Body Text First Indent 2"/>
    <w:basedOn w:val="12"/>
    <w:next w:val="1"/>
    <w:autoRedefine/>
    <w:qFormat/>
    <w:uiPriority w:val="0"/>
    <w:pPr>
      <w:adjustRightInd/>
      <w:spacing w:after="120" w:line="240" w:lineRule="auto"/>
      <w:ind w:left="420" w:leftChars="200" w:firstLine="420" w:firstLineChars="200"/>
    </w:pPr>
    <w:rPr>
      <w:rFonts w:ascii="Times New Roman" w:hAnsi="Times New Roman" w:eastAsia="宋体" w:cs="Times New Roman"/>
      <w:color w:val="auto"/>
      <w:sz w:val="21"/>
      <w:szCs w:val="21"/>
    </w:rPr>
  </w:style>
  <w:style w:type="table" w:styleId="36">
    <w:name w:val="Table Grid"/>
    <w:basedOn w:val="3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autoRedefine/>
    <w:qFormat/>
    <w:locked/>
    <w:uiPriority w:val="0"/>
    <w:rPr>
      <w:b/>
    </w:rPr>
  </w:style>
  <w:style w:type="character" w:styleId="39">
    <w:name w:val="page number"/>
    <w:basedOn w:val="37"/>
    <w:autoRedefine/>
    <w:qFormat/>
    <w:uiPriority w:val="0"/>
    <w:rPr>
      <w:rFonts w:hint="default" w:ascii="Times New Roman" w:hAnsi="Times New Roman" w:cs="Times New Roman"/>
    </w:rPr>
  </w:style>
  <w:style w:type="character" w:styleId="40">
    <w:name w:val="FollowedHyperlink"/>
    <w:basedOn w:val="37"/>
    <w:autoRedefine/>
    <w:qFormat/>
    <w:uiPriority w:val="0"/>
    <w:rPr>
      <w:color w:val="185ECF"/>
      <w:u w:val="none"/>
    </w:rPr>
  </w:style>
  <w:style w:type="character" w:styleId="41">
    <w:name w:val="Emphasis"/>
    <w:autoRedefine/>
    <w:qFormat/>
    <w:locked/>
    <w:uiPriority w:val="0"/>
    <w:rPr>
      <w:i/>
    </w:rPr>
  </w:style>
  <w:style w:type="character" w:styleId="42">
    <w:name w:val="Hyperlink"/>
    <w:autoRedefine/>
    <w:qFormat/>
    <w:uiPriority w:val="0"/>
    <w:rPr>
      <w:color w:val="0000FF"/>
      <w:u w:val="single"/>
    </w:rPr>
  </w:style>
  <w:style w:type="character" w:styleId="43">
    <w:name w:val="annotation reference"/>
    <w:autoRedefine/>
    <w:semiHidden/>
    <w:qFormat/>
    <w:uiPriority w:val="0"/>
    <w:rPr>
      <w:sz w:val="21"/>
    </w:rPr>
  </w:style>
  <w:style w:type="paragraph" w:customStyle="1" w:styleId="44">
    <w:name w:val="BodyText"/>
    <w:basedOn w:val="1"/>
    <w:autoRedefine/>
    <w:qFormat/>
    <w:uiPriority w:val="0"/>
    <w:pPr>
      <w:textAlignment w:val="baseline"/>
    </w:pPr>
    <w:rPr>
      <w:rFonts w:ascii="宋体" w:hAnsi="宋体"/>
      <w:szCs w:val="21"/>
    </w:rPr>
  </w:style>
  <w:style w:type="paragraph" w:customStyle="1" w:styleId="45">
    <w:name w:val="表头"/>
    <w:basedOn w:val="22"/>
    <w:next w:val="1"/>
    <w:autoRedefine/>
    <w:qFormat/>
    <w:uiPriority w:val="0"/>
    <w:rPr>
      <w:rFonts w:eastAsia="黑体"/>
    </w:rPr>
  </w:style>
  <w:style w:type="paragraph" w:customStyle="1" w:styleId="46">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7">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8">
    <w:name w:val="内容"/>
    <w:basedOn w:val="1"/>
    <w:autoRedefine/>
    <w:qFormat/>
    <w:uiPriority w:val="0"/>
    <w:pPr>
      <w:spacing w:beforeLines="50" w:afterLines="50"/>
      <w:ind w:firstLine="200" w:firstLineChars="200"/>
    </w:pPr>
    <w:rPr>
      <w:color w:val="000000"/>
      <w:sz w:val="24"/>
    </w:rPr>
  </w:style>
  <w:style w:type="paragraph" w:customStyle="1" w:styleId="49">
    <w:name w:val="Default"/>
    <w:basedOn w:val="50"/>
    <w:next w:val="1"/>
    <w:autoRedefine/>
    <w:qFormat/>
    <w:uiPriority w:val="0"/>
    <w:pPr>
      <w:widowControl w:val="0"/>
      <w:autoSpaceDE w:val="0"/>
      <w:autoSpaceDN w:val="0"/>
    </w:pPr>
    <w:rPr>
      <w:color w:val="000000"/>
    </w:rPr>
  </w:style>
  <w:style w:type="paragraph" w:customStyle="1" w:styleId="50">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51">
    <w:name w:val="批注文字 字符"/>
    <w:link w:val="11"/>
    <w:autoRedefine/>
    <w:qFormat/>
    <w:locked/>
    <w:uiPriority w:val="0"/>
    <w:rPr>
      <w:rFonts w:ascii="Times New Roman" w:hAnsi="Times New Roman" w:eastAsia="宋体"/>
      <w:sz w:val="24"/>
    </w:rPr>
  </w:style>
  <w:style w:type="character" w:customStyle="1" w:styleId="52">
    <w:name w:val="正文文本 字符"/>
    <w:link w:val="2"/>
    <w:autoRedefine/>
    <w:qFormat/>
    <w:locked/>
    <w:uiPriority w:val="0"/>
    <w:rPr>
      <w:sz w:val="18"/>
    </w:rPr>
  </w:style>
  <w:style w:type="character" w:customStyle="1" w:styleId="53">
    <w:name w:val="正文文本缩进 字符"/>
    <w:link w:val="12"/>
    <w:autoRedefine/>
    <w:semiHidden/>
    <w:qFormat/>
    <w:locked/>
    <w:uiPriority w:val="0"/>
    <w:rPr>
      <w:rFonts w:ascii="Times New Roman" w:hAnsi="Times New Roman" w:eastAsia="宋体" w:cs="Times New Roman"/>
      <w:sz w:val="24"/>
      <w:szCs w:val="24"/>
    </w:rPr>
  </w:style>
  <w:style w:type="character" w:customStyle="1" w:styleId="54">
    <w:name w:val="日期 字符1"/>
    <w:link w:val="16"/>
    <w:autoRedefine/>
    <w:qFormat/>
    <w:locked/>
    <w:uiPriority w:val="0"/>
    <w:rPr>
      <w:rFonts w:ascii="Times New Roman" w:hAnsi="Times New Roman" w:eastAsia="宋体"/>
      <w:sz w:val="24"/>
    </w:rPr>
  </w:style>
  <w:style w:type="character" w:customStyle="1" w:styleId="55">
    <w:name w:val="批注框文本 字符"/>
    <w:link w:val="18"/>
    <w:autoRedefine/>
    <w:semiHidden/>
    <w:qFormat/>
    <w:locked/>
    <w:uiPriority w:val="0"/>
    <w:rPr>
      <w:rFonts w:ascii="Times New Roman" w:hAnsi="Times New Roman" w:eastAsia="宋体" w:cs="Times New Roman"/>
      <w:sz w:val="18"/>
      <w:szCs w:val="18"/>
    </w:rPr>
  </w:style>
  <w:style w:type="character" w:customStyle="1" w:styleId="56">
    <w:name w:val="页脚 字符"/>
    <w:link w:val="19"/>
    <w:autoRedefine/>
    <w:qFormat/>
    <w:locked/>
    <w:uiPriority w:val="0"/>
    <w:rPr>
      <w:rFonts w:cs="Times New Roman"/>
      <w:sz w:val="18"/>
      <w:szCs w:val="18"/>
    </w:rPr>
  </w:style>
  <w:style w:type="character" w:customStyle="1" w:styleId="57">
    <w:name w:val="页眉 字符1"/>
    <w:link w:val="20"/>
    <w:autoRedefine/>
    <w:qFormat/>
    <w:locked/>
    <w:uiPriority w:val="0"/>
    <w:rPr>
      <w:rFonts w:cs="Times New Roman"/>
      <w:sz w:val="18"/>
      <w:szCs w:val="18"/>
    </w:rPr>
  </w:style>
  <w:style w:type="character" w:customStyle="1" w:styleId="58">
    <w:name w:val="普通(网站) 字符"/>
    <w:link w:val="29"/>
    <w:autoRedefine/>
    <w:qFormat/>
    <w:locked/>
    <w:uiPriority w:val="0"/>
    <w:rPr>
      <w:rFonts w:ascii="宋体" w:hAnsi="宋体" w:eastAsia="宋体"/>
      <w:sz w:val="24"/>
    </w:rPr>
  </w:style>
  <w:style w:type="character" w:customStyle="1" w:styleId="59">
    <w:name w:val="批注主题 字符"/>
    <w:link w:val="31"/>
    <w:autoRedefine/>
    <w:semiHidden/>
    <w:qFormat/>
    <w:locked/>
    <w:uiPriority w:val="0"/>
    <w:rPr>
      <w:rFonts w:cs="Times New Roman"/>
      <w:b/>
      <w:bCs/>
      <w:kern w:val="2"/>
      <w:szCs w:val="24"/>
    </w:rPr>
  </w:style>
  <w:style w:type="character" w:customStyle="1" w:styleId="60">
    <w:name w:val="页眉 字符"/>
    <w:autoRedefine/>
    <w:qFormat/>
    <w:uiPriority w:val="0"/>
    <w:rPr>
      <w:rFonts w:hint="default" w:ascii="Calibri" w:hAnsi="Calibri" w:cs="Calibri"/>
    </w:rPr>
  </w:style>
  <w:style w:type="character" w:customStyle="1" w:styleId="61">
    <w:name w:val="普通(网站) Char"/>
    <w:autoRedefine/>
    <w:qFormat/>
    <w:locked/>
    <w:uiPriority w:val="0"/>
    <w:rPr>
      <w:rFonts w:ascii="宋体" w:hAnsi="宋体" w:eastAsia="宋体"/>
      <w:sz w:val="24"/>
    </w:rPr>
  </w:style>
  <w:style w:type="character" w:customStyle="1" w:styleId="62">
    <w:name w:val="日期 字符"/>
    <w:autoRedefine/>
    <w:semiHidden/>
    <w:qFormat/>
    <w:uiPriority w:val="0"/>
    <w:rPr>
      <w:rFonts w:ascii="Times New Roman" w:hAnsi="Times New Roman" w:eastAsia="宋体" w:cs="Times New Roman"/>
      <w:sz w:val="24"/>
      <w:szCs w:val="24"/>
    </w:rPr>
  </w:style>
  <w:style w:type="character" w:customStyle="1" w:styleId="63">
    <w:name w:val="批注文字 字符1"/>
    <w:autoRedefine/>
    <w:semiHidden/>
    <w:qFormat/>
    <w:uiPriority w:val="0"/>
    <w:rPr>
      <w:rFonts w:ascii="Times New Roman" w:hAnsi="Times New Roman" w:eastAsia="宋体" w:cs="Times New Roman"/>
      <w:sz w:val="24"/>
      <w:szCs w:val="24"/>
    </w:rPr>
  </w:style>
  <w:style w:type="character" w:customStyle="1" w:styleId="64">
    <w:name w:val="正文文本 字符1"/>
    <w:autoRedefine/>
    <w:semiHidden/>
    <w:qFormat/>
    <w:uiPriority w:val="0"/>
    <w:rPr>
      <w:rFonts w:ascii="Times New Roman" w:hAnsi="Times New Roman" w:eastAsia="宋体" w:cs="Times New Roman"/>
      <w:sz w:val="24"/>
      <w:szCs w:val="24"/>
    </w:rPr>
  </w:style>
  <w:style w:type="character" w:customStyle="1" w:styleId="65">
    <w:name w:val="表格 Char"/>
    <w:link w:val="66"/>
    <w:autoRedefine/>
    <w:qFormat/>
    <w:locked/>
    <w:uiPriority w:val="0"/>
    <w:rPr>
      <w:rFonts w:ascii="宋体"/>
      <w:sz w:val="21"/>
    </w:rPr>
  </w:style>
  <w:style w:type="paragraph" w:customStyle="1" w:styleId="66">
    <w:name w:val="表格"/>
    <w:basedOn w:val="9"/>
    <w:next w:val="1"/>
    <w:link w:val="65"/>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67">
    <w:name w:val="apple-converted-space"/>
    <w:autoRedefine/>
    <w:qFormat/>
    <w:uiPriority w:val="0"/>
    <w:rPr>
      <w:rFonts w:hint="default" w:ascii="Times New Roman" w:hAnsi="Times New Roman" w:cs="Times New Roman"/>
    </w:rPr>
  </w:style>
  <w:style w:type="paragraph" w:customStyle="1" w:styleId="68">
    <w:name w:val="样式 标题 1 + 首行缩进:  2 字符"/>
    <w:basedOn w:val="5"/>
    <w:autoRedefine/>
    <w:qFormat/>
    <w:uiPriority w:val="0"/>
    <w:pPr>
      <w:spacing w:before="0" w:after="0" w:line="720" w:lineRule="auto"/>
      <w:ind w:firstLine="200" w:firstLineChars="200"/>
      <w:jc w:val="center"/>
    </w:pPr>
    <w:rPr>
      <w:rFonts w:ascii="黑体" w:cs="宋体"/>
      <w:kern w:val="2"/>
      <w:sz w:val="36"/>
      <w:szCs w:val="20"/>
    </w:rPr>
  </w:style>
  <w:style w:type="paragraph" w:customStyle="1" w:styleId="69">
    <w:name w:val="报告表正文"/>
    <w:basedOn w:val="70"/>
    <w:next w:val="1"/>
    <w:autoRedefine/>
    <w:qFormat/>
    <w:uiPriority w:val="0"/>
    <w:pPr>
      <w:adjustRightInd w:val="0"/>
      <w:spacing w:line="312" w:lineRule="auto"/>
      <w:ind w:left="113" w:right="113" w:firstLine="482"/>
      <w:jc w:val="left"/>
      <w:textAlignment w:val="baseline"/>
    </w:pPr>
    <w:rPr>
      <w:kern w:val="0"/>
      <w:sz w:val="24"/>
    </w:rPr>
  </w:style>
  <w:style w:type="paragraph" w:customStyle="1" w:styleId="70">
    <w:name w:val="CM4"/>
    <w:basedOn w:val="1"/>
    <w:next w:val="1"/>
    <w:autoRedefine/>
    <w:qFormat/>
    <w:uiPriority w:val="0"/>
    <w:pPr>
      <w:keepNext/>
      <w:spacing w:line="520" w:lineRule="exact"/>
      <w:jc w:val="center"/>
    </w:pPr>
    <w:rPr>
      <w:b/>
      <w:kern w:val="0"/>
      <w:szCs w:val="21"/>
    </w:rPr>
  </w:style>
  <w:style w:type="paragraph" w:customStyle="1" w:styleId="71">
    <w:name w:val="表格标题"/>
    <w:basedOn w:val="1"/>
    <w:next w:val="1"/>
    <w:autoRedefine/>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2">
    <w:name w:val="【表头】"/>
    <w:basedOn w:val="73"/>
    <w:autoRedefine/>
    <w:qFormat/>
    <w:uiPriority w:val="0"/>
    <w:pPr>
      <w:spacing w:line="460" w:lineRule="exact"/>
      <w:jc w:val="center"/>
    </w:pPr>
    <w:rPr>
      <w:rFonts w:eastAsia="黑体"/>
      <w:sz w:val="24"/>
    </w:rPr>
  </w:style>
  <w:style w:type="paragraph" w:customStyle="1" w:styleId="73">
    <w:name w:val="0"/>
    <w:basedOn w:val="1"/>
    <w:autoRedefine/>
    <w:qFormat/>
    <w:uiPriority w:val="99"/>
    <w:pPr>
      <w:widowControl/>
      <w:snapToGrid w:val="0"/>
      <w:jc w:val="left"/>
    </w:pPr>
    <w:rPr>
      <w:rFonts w:ascii="宋体"/>
      <w:kern w:val="0"/>
      <w:sz w:val="20"/>
      <w:szCs w:val="20"/>
    </w:rPr>
  </w:style>
  <w:style w:type="paragraph" w:customStyle="1" w:styleId="74">
    <w:name w:val="【正文】"/>
    <w:basedOn w:val="1"/>
    <w:next w:val="28"/>
    <w:autoRedefine/>
    <w:qFormat/>
    <w:uiPriority w:val="0"/>
    <w:pPr>
      <w:spacing w:line="440" w:lineRule="exact"/>
      <w:ind w:firstLine="544"/>
    </w:pPr>
    <w:rPr>
      <w:rFonts w:cs="宋体"/>
      <w:szCs w:val="20"/>
    </w:rPr>
  </w:style>
  <w:style w:type="paragraph" w:customStyle="1" w:styleId="75">
    <w:name w:val="正文00"/>
    <w:basedOn w:val="1"/>
    <w:autoRedefine/>
    <w:qFormat/>
    <w:uiPriority w:val="0"/>
    <w:pPr>
      <w:widowControl/>
      <w:spacing w:line="425" w:lineRule="atLeast"/>
      <w:ind w:left="107" w:leftChars="51" w:right="124" w:rightChars="59" w:firstLine="480"/>
      <w:textAlignment w:val="baseline"/>
    </w:pPr>
    <w:rPr>
      <w:rFonts w:ascii="Calibri"/>
      <w:sz w:val="28"/>
    </w:rPr>
  </w:style>
  <w:style w:type="paragraph" w:customStyle="1" w:styleId="76">
    <w:name w:val="样式4"/>
    <w:basedOn w:val="2"/>
    <w:autoRedefine/>
    <w:qFormat/>
    <w:uiPriority w:val="0"/>
    <w:pPr>
      <w:adjustRightInd w:val="0"/>
      <w:jc w:val="center"/>
    </w:pPr>
    <w:rPr>
      <w:sz w:val="24"/>
    </w:rPr>
  </w:style>
  <w:style w:type="paragraph" w:customStyle="1" w:styleId="77">
    <w:name w:val="Table Paragraph"/>
    <w:basedOn w:val="1"/>
    <w:autoRedefine/>
    <w:unhideWhenUsed/>
    <w:qFormat/>
    <w:uiPriority w:val="1"/>
    <w:rPr>
      <w:sz w:val="24"/>
    </w:rPr>
  </w:style>
  <w:style w:type="paragraph" w:customStyle="1" w:styleId="78">
    <w:name w:val="煤炭资源普查报告格式"/>
    <w:basedOn w:val="1"/>
    <w:autoRedefine/>
    <w:qFormat/>
    <w:uiPriority w:val="0"/>
    <w:pPr>
      <w:spacing w:line="500" w:lineRule="exact"/>
    </w:pPr>
  </w:style>
  <w:style w:type="paragraph" w:customStyle="1" w:styleId="79">
    <w:name w:val="表头文字"/>
    <w:basedOn w:val="1"/>
    <w:autoRedefine/>
    <w:qFormat/>
    <w:uiPriority w:val="0"/>
    <w:pPr>
      <w:adjustRightInd w:val="0"/>
      <w:jc w:val="center"/>
    </w:pPr>
    <w:rPr>
      <w:sz w:val="28"/>
      <w:szCs w:val="20"/>
    </w:rPr>
  </w:style>
  <w:style w:type="paragraph" w:customStyle="1" w:styleId="80">
    <w:name w:val="标题4"/>
    <w:basedOn w:val="75"/>
    <w:autoRedefine/>
    <w:qFormat/>
    <w:uiPriority w:val="0"/>
    <w:pPr>
      <w:ind w:left="51" w:right="59" w:firstLine="100" w:firstLineChars="100"/>
    </w:pPr>
    <w:rPr>
      <w:b/>
    </w:rPr>
  </w:style>
  <w:style w:type="paragraph" w:customStyle="1" w:styleId="81">
    <w:name w:val="正文----------------"/>
    <w:basedOn w:val="1"/>
    <w:autoRedefine/>
    <w:qFormat/>
    <w:uiPriority w:val="0"/>
    <w:pPr>
      <w:spacing w:line="440" w:lineRule="exact"/>
      <w:ind w:firstLine="544" w:firstLineChars="200"/>
    </w:pPr>
    <w:rPr>
      <w:rFonts w:ascii="Calibri" w:cs="宋体"/>
      <w:spacing w:val="16"/>
      <w:szCs w:val="20"/>
    </w:rPr>
  </w:style>
  <w:style w:type="paragraph" w:customStyle="1" w:styleId="82">
    <w:name w:val="表文"/>
    <w:basedOn w:val="1"/>
    <w:autoRedefine/>
    <w:qFormat/>
    <w:uiPriority w:val="0"/>
    <w:pPr>
      <w:tabs>
        <w:tab w:val="left" w:pos="6480"/>
      </w:tabs>
      <w:spacing w:line="360" w:lineRule="exact"/>
    </w:pPr>
    <w:rPr>
      <w:rFonts w:ascii="宋体" w:hAnsi="宋体"/>
      <w:sz w:val="24"/>
    </w:rPr>
  </w:style>
  <w:style w:type="paragraph" w:customStyle="1" w:styleId="83">
    <w:name w:val="表格文字"/>
    <w:basedOn w:val="1"/>
    <w:link w:val="151"/>
    <w:autoRedefine/>
    <w:qFormat/>
    <w:uiPriority w:val="0"/>
    <w:pPr>
      <w:jc w:val="center"/>
    </w:pPr>
    <w:rPr>
      <w:rFonts w:ascii="new times roma" w:hAnsi="new times roma"/>
    </w:rPr>
  </w:style>
  <w:style w:type="paragraph" w:styleId="84">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5">
    <w:name w:val="表格内容"/>
    <w:basedOn w:val="86"/>
    <w:next w:val="1"/>
    <w:autoRedefine/>
    <w:qFormat/>
    <w:uiPriority w:val="0"/>
    <w:pPr>
      <w:spacing w:line="240" w:lineRule="exact"/>
    </w:pPr>
    <w:rPr>
      <w:snapToGrid w:val="0"/>
      <w:color w:val="FF0000"/>
      <w:kern w:val="0"/>
      <w:sz w:val="21"/>
      <w:szCs w:val="21"/>
    </w:rPr>
  </w:style>
  <w:style w:type="paragraph" w:customStyle="1" w:styleId="86">
    <w:name w:val="封皮-证书编号"/>
    <w:basedOn w:val="1"/>
    <w:autoRedefine/>
    <w:qFormat/>
    <w:uiPriority w:val="0"/>
    <w:pPr>
      <w:jc w:val="center"/>
    </w:pPr>
    <w:rPr>
      <w:rFonts w:eastAsia="黑体"/>
      <w:sz w:val="28"/>
    </w:rPr>
  </w:style>
  <w:style w:type="paragraph" w:customStyle="1" w:styleId="87">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8">
    <w:name w:val="表头-------------"/>
    <w:basedOn w:val="1"/>
    <w:autoRedefine/>
    <w:qFormat/>
    <w:uiPriority w:val="0"/>
    <w:pPr>
      <w:spacing w:line="460" w:lineRule="exact"/>
      <w:jc w:val="center"/>
    </w:pPr>
    <w:rPr>
      <w:rFonts w:ascii="Calibri" w:eastAsia="黑体" w:cs="宋体"/>
      <w:szCs w:val="20"/>
    </w:rPr>
  </w:style>
  <w:style w:type="paragraph" w:customStyle="1" w:styleId="89">
    <w:name w:val="正文01"/>
    <w:basedOn w:val="1"/>
    <w:autoRedefine/>
    <w:qFormat/>
    <w:uiPriority w:val="0"/>
    <w:pPr>
      <w:spacing w:before="60" w:line="460" w:lineRule="exact"/>
      <w:ind w:firstLine="200" w:firstLineChars="200"/>
    </w:pPr>
    <w:rPr>
      <w:snapToGrid w:val="0"/>
      <w:kern w:val="0"/>
      <w:sz w:val="24"/>
    </w:rPr>
  </w:style>
  <w:style w:type="paragraph" w:customStyle="1" w:styleId="90">
    <w:name w:val="样式 正文文字-1 + 首行缩进:  2.1 字符1"/>
    <w:basedOn w:val="91"/>
    <w:autoRedefine/>
    <w:qFormat/>
    <w:uiPriority w:val="0"/>
    <w:pPr>
      <w:spacing w:line="440" w:lineRule="exact"/>
      <w:ind w:firstLine="210"/>
    </w:pPr>
    <w:rPr>
      <w:rFonts w:cs="宋体"/>
      <w:szCs w:val="20"/>
    </w:rPr>
  </w:style>
  <w:style w:type="paragraph" w:customStyle="1" w:styleId="91">
    <w:name w:val="正文文字-1 Char"/>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2">
    <w:name w:val="表格正文"/>
    <w:basedOn w:val="1"/>
    <w:autoRedefine/>
    <w:qFormat/>
    <w:uiPriority w:val="0"/>
    <w:pPr>
      <w:spacing w:line="360" w:lineRule="exact"/>
      <w:ind w:firstLine="640" w:firstLineChars="200"/>
      <w:jc w:val="center"/>
    </w:pPr>
    <w:rPr>
      <w:sz w:val="28"/>
      <w:szCs w:val="28"/>
    </w:rPr>
  </w:style>
  <w:style w:type="paragraph" w:customStyle="1" w:styleId="93">
    <w:name w:val="Table caption|1"/>
    <w:basedOn w:val="1"/>
    <w:autoRedefine/>
    <w:qFormat/>
    <w:uiPriority w:val="0"/>
    <w:rPr>
      <w:rFonts w:ascii="宋体" w:hAnsi="宋体" w:cs="宋体"/>
      <w:sz w:val="13"/>
      <w:szCs w:val="13"/>
      <w:lang w:val="zh-TW" w:eastAsia="zh-TW" w:bidi="zh-TW"/>
    </w:rPr>
  </w:style>
  <w:style w:type="paragraph" w:customStyle="1" w:styleId="94">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5">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6">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7">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98">
    <w:name w:val="List Paragraph"/>
    <w:basedOn w:val="1"/>
    <w:autoRedefine/>
    <w:qFormat/>
    <w:uiPriority w:val="34"/>
    <w:pPr>
      <w:ind w:firstLine="420" w:firstLineChars="200"/>
    </w:pPr>
    <w:rPr>
      <w:szCs w:val="22"/>
    </w:rPr>
  </w:style>
  <w:style w:type="paragraph" w:customStyle="1" w:styleId="99">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0">
    <w:name w:val="样式 Times New Roman 五号 居中1"/>
    <w:basedOn w:val="1"/>
    <w:autoRedefine/>
    <w:qFormat/>
    <w:uiPriority w:val="0"/>
    <w:pPr>
      <w:jc w:val="center"/>
    </w:pPr>
    <w:rPr>
      <w:rFonts w:cs="宋体"/>
      <w:szCs w:val="20"/>
    </w:rPr>
  </w:style>
  <w:style w:type="paragraph" w:customStyle="1" w:styleId="101">
    <w:name w:val="_Style 3"/>
    <w:basedOn w:val="1"/>
    <w:autoRedefine/>
    <w:qFormat/>
    <w:uiPriority w:val="34"/>
    <w:pPr>
      <w:ind w:firstLine="420" w:firstLineChars="200"/>
    </w:pPr>
    <w:rPr>
      <w:rFonts w:ascii="Calibri" w:hAnsi="Calibri"/>
      <w:szCs w:val="22"/>
    </w:rPr>
  </w:style>
  <w:style w:type="paragraph" w:customStyle="1" w:styleId="102">
    <w:name w:val="表1"/>
    <w:next w:val="1"/>
    <w:autoRedefine/>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3">
    <w:name w:val="Body text|4"/>
    <w:basedOn w:val="1"/>
    <w:autoRedefine/>
    <w:qFormat/>
    <w:uiPriority w:val="0"/>
    <w:pPr>
      <w:spacing w:line="434" w:lineRule="auto"/>
      <w:ind w:firstLine="500"/>
    </w:pPr>
    <w:rPr>
      <w:color w:val="FF0000"/>
    </w:rPr>
  </w:style>
  <w:style w:type="paragraph" w:customStyle="1" w:styleId="104">
    <w:name w:val="Body text|1"/>
    <w:basedOn w:val="1"/>
    <w:autoRedefine/>
    <w:qFormat/>
    <w:uiPriority w:val="0"/>
    <w:pPr>
      <w:spacing w:line="480" w:lineRule="auto"/>
      <w:ind w:firstLine="400"/>
    </w:pPr>
    <w:rPr>
      <w:rFonts w:ascii="宋体" w:hAnsi="宋体" w:cs="宋体"/>
      <w:sz w:val="22"/>
      <w:szCs w:val="22"/>
      <w:lang w:val="zh-TW" w:eastAsia="zh-TW" w:bidi="zh-TW"/>
    </w:rPr>
  </w:style>
  <w:style w:type="paragraph" w:customStyle="1" w:styleId="105">
    <w:name w:val="Other|1"/>
    <w:basedOn w:val="1"/>
    <w:autoRedefine/>
    <w:qFormat/>
    <w:uiPriority w:val="0"/>
    <w:pPr>
      <w:jc w:val="center"/>
    </w:pPr>
    <w:rPr>
      <w:rFonts w:ascii="宋体" w:hAnsi="宋体" w:cs="宋体"/>
      <w:sz w:val="20"/>
      <w:szCs w:val="20"/>
      <w:lang w:val="zh-TW" w:eastAsia="zh-TW" w:bidi="zh-TW"/>
    </w:rPr>
  </w:style>
  <w:style w:type="paragraph" w:customStyle="1" w:styleId="106">
    <w:name w:val="首行缩进表格正文"/>
    <w:basedOn w:val="1"/>
    <w:autoRedefine/>
    <w:qFormat/>
    <w:uiPriority w:val="0"/>
    <w:pPr>
      <w:spacing w:line="360" w:lineRule="auto"/>
      <w:ind w:firstLine="720" w:firstLineChars="200"/>
      <w:jc w:val="left"/>
    </w:pPr>
  </w:style>
  <w:style w:type="paragraph" w:customStyle="1" w:styleId="107">
    <w:name w:val="C首行缩进正文"/>
    <w:basedOn w:val="74"/>
    <w:autoRedefine/>
    <w:qFormat/>
    <w:uiPriority w:val="0"/>
    <w:pPr>
      <w:spacing w:line="360" w:lineRule="auto"/>
      <w:ind w:firstLine="200"/>
    </w:pPr>
    <w:rPr>
      <w:color w:val="000000"/>
    </w:rPr>
  </w:style>
  <w:style w:type="paragraph" w:customStyle="1" w:styleId="108">
    <w:name w:val="C【表中文字】-"/>
    <w:basedOn w:val="1"/>
    <w:autoRedefine/>
    <w:qFormat/>
    <w:uiPriority w:val="0"/>
    <w:pPr>
      <w:adjustRightInd w:val="0"/>
      <w:snapToGrid w:val="0"/>
      <w:jc w:val="center"/>
    </w:pPr>
    <w:rPr>
      <w:kern w:val="0"/>
      <w:szCs w:val="20"/>
    </w:rPr>
  </w:style>
  <w:style w:type="paragraph" w:customStyle="1" w:styleId="109">
    <w:name w:val="正文_6"/>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0">
    <w:name w:val="11111"/>
    <w:basedOn w:val="1"/>
    <w:next w:val="1"/>
    <w:autoRedefine/>
    <w:qFormat/>
    <w:uiPriority w:val="0"/>
    <w:pPr>
      <w:spacing w:line="360" w:lineRule="auto"/>
      <w:ind w:firstLine="200" w:firstLineChars="200"/>
    </w:pPr>
    <w:rPr>
      <w:rFonts w:hAnsi="宋体" w:cs="宋体"/>
    </w:rPr>
  </w:style>
  <w:style w:type="character" w:customStyle="1" w:styleId="111">
    <w:name w:val="chakan"/>
    <w:basedOn w:val="37"/>
    <w:autoRedefine/>
    <w:qFormat/>
    <w:uiPriority w:val="0"/>
    <w:rPr>
      <w:color w:val="0064EA"/>
    </w:rPr>
  </w:style>
  <w:style w:type="character" w:customStyle="1" w:styleId="112">
    <w:name w:val="checkbox2"/>
    <w:basedOn w:val="37"/>
    <w:autoRedefine/>
    <w:qFormat/>
    <w:uiPriority w:val="0"/>
  </w:style>
  <w:style w:type="character" w:customStyle="1" w:styleId="113">
    <w:name w:val="shenbao"/>
    <w:basedOn w:val="37"/>
    <w:autoRedefine/>
    <w:qFormat/>
    <w:uiPriority w:val="0"/>
    <w:rPr>
      <w:color w:val="EF6334"/>
    </w:rPr>
  </w:style>
  <w:style w:type="character" w:customStyle="1" w:styleId="114">
    <w:name w:val="checkbox"/>
    <w:basedOn w:val="37"/>
    <w:autoRedefine/>
    <w:qFormat/>
    <w:uiPriority w:val="0"/>
  </w:style>
  <w:style w:type="paragraph" w:customStyle="1" w:styleId="115">
    <w:name w:val="表中"/>
    <w:basedOn w:val="1"/>
    <w:autoRedefine/>
    <w:qFormat/>
    <w:uiPriority w:val="0"/>
    <w:pPr>
      <w:spacing w:line="240" w:lineRule="exact"/>
    </w:pPr>
    <w:rPr>
      <w:szCs w:val="21"/>
    </w:rPr>
  </w:style>
  <w:style w:type="paragraph" w:customStyle="1" w:styleId="116">
    <w:name w:val="TOC2"/>
    <w:basedOn w:val="1"/>
    <w:next w:val="1"/>
    <w:autoRedefine/>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7">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118">
    <w:name w:val="UserStyle_0"/>
    <w:basedOn w:val="119"/>
    <w:next w:val="120"/>
    <w:autoRedefine/>
    <w:qFormat/>
    <w:uiPriority w:val="0"/>
    <w:pPr>
      <w:spacing w:line="360" w:lineRule="auto"/>
      <w:ind w:firstLine="480" w:firstLineChars="200"/>
    </w:pPr>
    <w:rPr>
      <w:rFonts w:ascii="Calibri" w:hAnsi="Calibri"/>
      <w:sz w:val="24"/>
      <w:szCs w:val="22"/>
    </w:rPr>
  </w:style>
  <w:style w:type="paragraph" w:customStyle="1" w:styleId="119">
    <w:name w:val="UserStyle_1"/>
    <w:basedOn w:val="1"/>
    <w:next w:val="1"/>
    <w:autoRedefine/>
    <w:qFormat/>
    <w:uiPriority w:val="0"/>
    <w:pPr>
      <w:spacing w:after="120"/>
      <w:textAlignment w:val="baseline"/>
    </w:pPr>
  </w:style>
  <w:style w:type="paragraph" w:customStyle="1" w:styleId="120">
    <w:name w:val="TOC1"/>
    <w:basedOn w:val="1"/>
    <w:next w:val="1"/>
    <w:autoRedefine/>
    <w:qFormat/>
    <w:uiPriority w:val="0"/>
    <w:pPr>
      <w:spacing w:line="360" w:lineRule="auto"/>
      <w:textAlignment w:val="baseline"/>
    </w:pPr>
    <w:rPr>
      <w:rFonts w:ascii="Calibri" w:hAnsi="Calibri"/>
      <w:b/>
      <w:sz w:val="24"/>
      <w:szCs w:val="22"/>
    </w:rPr>
  </w:style>
  <w:style w:type="character" w:customStyle="1" w:styleId="121">
    <w:name w:val="NormalCharacter"/>
    <w:autoRedefine/>
    <w:qFormat/>
    <w:uiPriority w:val="0"/>
    <w:rPr>
      <w:kern w:val="2"/>
      <w:sz w:val="21"/>
      <w:szCs w:val="24"/>
      <w:lang w:val="en-US" w:eastAsia="zh-CN" w:bidi="ar-SA"/>
    </w:rPr>
  </w:style>
  <w:style w:type="paragraph" w:customStyle="1" w:styleId="122">
    <w:name w:val="表头1"/>
    <w:basedOn w:val="123"/>
    <w:next w:val="1"/>
    <w:autoRedefine/>
    <w:qFormat/>
    <w:uiPriority w:val="0"/>
    <w:pPr>
      <w:spacing w:before="120" w:beforeLines="50"/>
    </w:pPr>
  </w:style>
  <w:style w:type="paragraph" w:customStyle="1" w:styleId="123">
    <w:name w:val="文华表标题"/>
    <w:basedOn w:val="124"/>
    <w:autoRedefine/>
    <w:qFormat/>
    <w:uiPriority w:val="0"/>
    <w:pPr>
      <w:spacing w:line="240" w:lineRule="auto"/>
      <w:ind w:firstLine="0"/>
      <w:jc w:val="center"/>
    </w:pPr>
    <w:rPr>
      <w:rFonts w:eastAsia="黑体"/>
    </w:rPr>
  </w:style>
  <w:style w:type="paragraph" w:customStyle="1" w:styleId="124">
    <w:name w:val="文华表正文"/>
    <w:basedOn w:val="69"/>
    <w:autoRedefine/>
    <w:qFormat/>
    <w:uiPriority w:val="0"/>
  </w:style>
  <w:style w:type="paragraph" w:customStyle="1" w:styleId="125">
    <w:name w:val="xl25"/>
    <w:basedOn w:val="1"/>
    <w:autoRedefine/>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6">
    <w:name w:val="xl36"/>
    <w:basedOn w:val="1"/>
    <w:autoRedefine/>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7">
    <w:name w:val="文华表1级标题1"/>
    <w:basedOn w:val="5"/>
    <w:next w:val="128"/>
    <w:autoRedefine/>
    <w:qFormat/>
    <w:uiPriority w:val="0"/>
    <w:pPr>
      <w:keepNext w:val="0"/>
    </w:pPr>
    <w:rPr>
      <w:kern w:val="4"/>
      <w:sz w:val="28"/>
    </w:rPr>
  </w:style>
  <w:style w:type="paragraph" w:customStyle="1" w:styleId="128">
    <w:name w:val="文本正文"/>
    <w:basedOn w:val="1"/>
    <w:autoRedefine/>
    <w:qFormat/>
    <w:uiPriority w:val="0"/>
    <w:pPr>
      <w:spacing w:line="360" w:lineRule="auto"/>
      <w:ind w:firstLine="480" w:firstLineChars="200"/>
    </w:pPr>
    <w:rPr>
      <w:rFonts w:ascii="Calibri" w:hAnsi="Calibri"/>
      <w:sz w:val="24"/>
    </w:rPr>
  </w:style>
  <w:style w:type="paragraph" w:customStyle="1" w:styleId="129">
    <w:name w:val="zxzx书正文"/>
    <w:basedOn w:val="1"/>
    <w:autoRedefine/>
    <w:qFormat/>
    <w:uiPriority w:val="0"/>
    <w:pPr>
      <w:widowControl/>
      <w:spacing w:line="440" w:lineRule="exact"/>
      <w:ind w:firstLine="880" w:firstLineChars="200"/>
      <w:jc w:val="left"/>
    </w:pPr>
    <w:rPr>
      <w:sz w:val="24"/>
    </w:rPr>
  </w:style>
  <w:style w:type="paragraph" w:customStyle="1" w:styleId="130">
    <w:name w:val="正文--环评"/>
    <w:basedOn w:val="1"/>
    <w:autoRedefine/>
    <w:qFormat/>
    <w:uiPriority w:val="0"/>
    <w:pPr>
      <w:spacing w:line="360" w:lineRule="auto"/>
      <w:ind w:firstLine="480" w:firstLineChars="200"/>
    </w:pPr>
    <w:rPr>
      <w:rFonts w:cs="宋体"/>
      <w:color w:val="000000"/>
      <w:spacing w:val="0"/>
      <w:sz w:val="24"/>
    </w:rPr>
  </w:style>
  <w:style w:type="paragraph" w:customStyle="1" w:styleId="131">
    <w:name w:val="表中文字（工大）"/>
    <w:basedOn w:val="1"/>
    <w:autoRedefine/>
    <w:qFormat/>
    <w:uiPriority w:val="0"/>
    <w:pPr>
      <w:spacing w:line="440" w:lineRule="exact"/>
      <w:jc w:val="center"/>
    </w:pPr>
    <w:rPr>
      <w:sz w:val="21"/>
      <w:szCs w:val="20"/>
    </w:rPr>
  </w:style>
  <w:style w:type="character" w:customStyle="1" w:styleId="132">
    <w:name w:val="font11"/>
    <w:basedOn w:val="37"/>
    <w:autoRedefine/>
    <w:qFormat/>
    <w:uiPriority w:val="0"/>
    <w:rPr>
      <w:rFonts w:hint="default" w:ascii="Times New Roman" w:hAnsi="Times New Roman" w:cs="Times New Roman"/>
      <w:color w:val="000000"/>
      <w:sz w:val="18"/>
      <w:szCs w:val="18"/>
      <w:u w:val="none"/>
    </w:rPr>
  </w:style>
  <w:style w:type="character" w:customStyle="1" w:styleId="133">
    <w:name w:val="font21"/>
    <w:basedOn w:val="37"/>
    <w:autoRedefine/>
    <w:qFormat/>
    <w:uiPriority w:val="0"/>
    <w:rPr>
      <w:rFonts w:hint="eastAsia" w:ascii="宋体" w:hAnsi="宋体" w:eastAsia="宋体" w:cs="宋体"/>
      <w:color w:val="000000"/>
      <w:sz w:val="18"/>
      <w:szCs w:val="18"/>
      <w:u w:val="none"/>
    </w:rPr>
  </w:style>
  <w:style w:type="paragraph" w:customStyle="1" w:styleId="134">
    <w:name w:val="文本框样式"/>
    <w:basedOn w:val="1"/>
    <w:autoRedefine/>
    <w:qFormat/>
    <w:uiPriority w:val="0"/>
    <w:pPr>
      <w:spacing w:line="240" w:lineRule="auto"/>
      <w:ind w:firstLine="0" w:firstLineChars="0"/>
      <w:jc w:val="center"/>
    </w:pPr>
    <w:rPr>
      <w:sz w:val="21"/>
    </w:rPr>
  </w:style>
  <w:style w:type="paragraph" w:customStyle="1" w:styleId="135">
    <w:name w:val="表"/>
    <w:autoRedefine/>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6">
    <w:name w:val="cucd-0"/>
    <w:autoRedefine/>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7">
    <w:name w:val="段落正文"/>
    <w:basedOn w:val="1"/>
    <w:autoRedefine/>
    <w:qFormat/>
    <w:uiPriority w:val="0"/>
    <w:pPr>
      <w:widowControl w:val="0"/>
      <w:spacing w:line="500" w:lineRule="atLeast"/>
    </w:pPr>
    <w:rPr>
      <w:rFonts w:eastAsia="仿宋_GB2312"/>
      <w:szCs w:val="28"/>
    </w:rPr>
  </w:style>
  <w:style w:type="character" w:customStyle="1" w:styleId="138">
    <w:name w:val="标题 1 Char1"/>
    <w:link w:val="5"/>
    <w:autoRedefine/>
    <w:qFormat/>
    <w:uiPriority w:val="0"/>
    <w:rPr>
      <w:rFonts w:eastAsia="黑体"/>
      <w:b/>
      <w:bCs/>
      <w:color w:val="000000"/>
      <w:kern w:val="44"/>
      <w:sz w:val="30"/>
      <w:szCs w:val="30"/>
    </w:rPr>
  </w:style>
  <w:style w:type="character" w:customStyle="1" w:styleId="139">
    <w:name w:val="标题 2 Char"/>
    <w:link w:val="6"/>
    <w:autoRedefine/>
    <w:qFormat/>
    <w:uiPriority w:val="0"/>
    <w:rPr>
      <w:rFonts w:ascii="Arial" w:hAnsi="Arial" w:eastAsia="黑体"/>
      <w:b/>
      <w:bCs/>
      <w:sz w:val="32"/>
      <w:szCs w:val="32"/>
    </w:rPr>
  </w:style>
  <w:style w:type="paragraph" w:customStyle="1" w:styleId="140">
    <w:name w:val="表体"/>
    <w:basedOn w:val="1"/>
    <w:autoRedefine/>
    <w:qFormat/>
    <w:uiPriority w:val="0"/>
    <w:pPr>
      <w:spacing w:line="240" w:lineRule="auto"/>
    </w:pPr>
    <w:rPr>
      <w:sz w:val="21"/>
      <w:szCs w:val="21"/>
    </w:rPr>
  </w:style>
  <w:style w:type="paragraph" w:customStyle="1" w:styleId="141">
    <w:name w:val="Char Char Char Char Char Char Char2"/>
    <w:basedOn w:val="1"/>
    <w:autoRedefine/>
    <w:qFormat/>
    <w:uiPriority w:val="0"/>
    <w:pPr>
      <w:snapToGrid w:val="0"/>
      <w:spacing w:line="360" w:lineRule="auto"/>
      <w:ind w:firstLine="529" w:firstLineChars="200"/>
    </w:pPr>
  </w:style>
  <w:style w:type="paragraph" w:customStyle="1" w:styleId="142">
    <w:name w:val="表格题目"/>
    <w:basedOn w:val="1"/>
    <w:autoRedefine/>
    <w:qFormat/>
    <w:uiPriority w:val="0"/>
    <w:pPr>
      <w:spacing w:line="240" w:lineRule="atLeast"/>
      <w:jc w:val="center"/>
    </w:pPr>
    <w:rPr>
      <w:rFonts w:ascii="黑体" w:hAnsi="宋体" w:eastAsia="黑体"/>
      <w:sz w:val="24"/>
    </w:rPr>
  </w:style>
  <w:style w:type="table" w:customStyle="1" w:styleId="143">
    <w:name w:val="Table Normal"/>
    <w:autoRedefine/>
    <w:semiHidden/>
    <w:unhideWhenUsed/>
    <w:qFormat/>
    <w:uiPriority w:val="0"/>
    <w:tblPr>
      <w:tblCellMar>
        <w:top w:w="0" w:type="dxa"/>
        <w:left w:w="0" w:type="dxa"/>
        <w:bottom w:w="0" w:type="dxa"/>
        <w:right w:w="0" w:type="dxa"/>
      </w:tblCellMar>
    </w:tblPr>
  </w:style>
  <w:style w:type="character" w:customStyle="1" w:styleId="144">
    <w:name w:val="正文（首行缩进两字） Char"/>
    <w:autoRedefine/>
    <w:qFormat/>
    <w:uiPriority w:val="0"/>
    <w:rPr>
      <w:rFonts w:eastAsia="宋体"/>
      <w:kern w:val="2"/>
      <w:sz w:val="24"/>
      <w:lang w:val="en-US" w:eastAsia="zh-CN"/>
    </w:rPr>
  </w:style>
  <w:style w:type="paragraph" w:customStyle="1" w:styleId="145">
    <w:name w:val="表中文字"/>
    <w:basedOn w:val="1"/>
    <w:autoRedefine/>
    <w:qFormat/>
    <w:uiPriority w:val="0"/>
    <w:pPr>
      <w:jc w:val="center"/>
    </w:pPr>
    <w:rPr>
      <w:szCs w:val="20"/>
    </w:rPr>
  </w:style>
  <w:style w:type="paragraph" w:customStyle="1" w:styleId="146">
    <w:name w:val="正文格式"/>
    <w:basedOn w:val="1"/>
    <w:autoRedefine/>
    <w:qFormat/>
    <w:uiPriority w:val="0"/>
    <w:pPr>
      <w:spacing w:line="360" w:lineRule="auto"/>
      <w:ind w:firstLine="482"/>
    </w:pPr>
  </w:style>
  <w:style w:type="paragraph" w:customStyle="1" w:styleId="147">
    <w:name w:val="Table Text"/>
    <w:basedOn w:val="1"/>
    <w:autoRedefine/>
    <w:semiHidden/>
    <w:qFormat/>
    <w:uiPriority w:val="0"/>
    <w:rPr>
      <w:rFonts w:ascii="宋体" w:hAnsi="宋体" w:eastAsia="宋体" w:cs="宋体"/>
      <w:sz w:val="24"/>
      <w:szCs w:val="24"/>
      <w:lang w:val="en-US" w:eastAsia="en-US" w:bidi="ar-SA"/>
    </w:rPr>
  </w:style>
  <w:style w:type="paragraph" w:customStyle="1" w:styleId="148">
    <w:name w:val="【表中文字】"/>
    <w:basedOn w:val="149"/>
    <w:autoRedefine/>
    <w:qFormat/>
    <w:uiPriority w:val="0"/>
    <w:pPr>
      <w:jc w:val="center"/>
    </w:pPr>
    <w:rPr>
      <w:kern w:val="0"/>
      <w:szCs w:val="20"/>
    </w:rPr>
  </w:style>
  <w:style w:type="paragraph" w:customStyle="1" w:styleId="149">
    <w:name w:val=".表1-1-1内容"/>
    <w:basedOn w:val="1"/>
    <w:autoRedefine/>
    <w:qFormat/>
    <w:uiPriority w:val="0"/>
    <w:pPr>
      <w:spacing w:line="300" w:lineRule="exact"/>
      <w:jc w:val="center"/>
    </w:pPr>
    <w:rPr>
      <w:kern w:val="0"/>
      <w:szCs w:val="21"/>
    </w:rPr>
  </w:style>
  <w:style w:type="paragraph" w:customStyle="1" w:styleId="150">
    <w:name w:val="a正文"/>
    <w:basedOn w:val="146"/>
    <w:autoRedefine/>
    <w:qFormat/>
    <w:uiPriority w:val="0"/>
    <w:pPr>
      <w:spacing w:line="520" w:lineRule="exact"/>
      <w:ind w:firstLine="200" w:firstLineChars="200"/>
    </w:pPr>
    <w:rPr>
      <w:kern w:val="0"/>
      <w:szCs w:val="21"/>
    </w:rPr>
  </w:style>
  <w:style w:type="character" w:customStyle="1" w:styleId="151">
    <w:name w:val="表格文字 Char"/>
    <w:link w:val="83"/>
    <w:autoRedefine/>
    <w:qFormat/>
    <w:uiPriority w:val="0"/>
    <w:rPr>
      <w:rFonts w:ascii="new times roma" w:hAnsi="new times roma"/>
    </w:rPr>
  </w:style>
  <w:style w:type="paragraph" w:customStyle="1" w:styleId="152">
    <w:name w:val="表表头"/>
    <w:basedOn w:val="1"/>
    <w:autoRedefine/>
    <w:qFormat/>
    <w:uiPriority w:val="0"/>
    <w:pPr>
      <w:jc w:val="center"/>
    </w:pPr>
    <w:rPr>
      <w:rFonts w:ascii="Calibri" w:hAnsi="Calibri" w:eastAsia="黑体"/>
    </w:rPr>
  </w:style>
  <w:style w:type="character" w:customStyle="1" w:styleId="153">
    <w:name w:val="【正文】 Char1"/>
    <w:autoRedefine/>
    <w:qFormat/>
    <w:locked/>
    <w:uiPriority w:val="0"/>
    <w:rPr>
      <w:rFonts w:ascii="Times New Roman" w:hAnsi="Times New Roman" w:eastAsia="宋体" w:cs="Times New Roman"/>
      <w:sz w:val="24"/>
      <w:szCs w:val="24"/>
    </w:rPr>
  </w:style>
  <w:style w:type="paragraph" w:customStyle="1" w:styleId="154">
    <w:name w:val="正文首行缩进1"/>
    <w:basedOn w:val="1"/>
    <w:autoRedefine/>
    <w:qFormat/>
    <w:uiPriority w:val="0"/>
    <w:pPr>
      <w:widowControl w:val="0"/>
      <w:snapToGrid/>
      <w:spacing w:before="0" w:after="120" w:line="240" w:lineRule="auto"/>
      <w:ind w:right="0" w:firstLine="420" w:firstLineChars="100"/>
    </w:pPr>
    <w:rPr>
      <w:kern w:val="2"/>
      <w:sz w:val="21"/>
      <w:szCs w:val="24"/>
    </w:rPr>
  </w:style>
  <w:style w:type="paragraph" w:customStyle="1" w:styleId="155">
    <w:name w:val="正文缩进1"/>
    <w:basedOn w:val="1"/>
    <w:autoRedefine/>
    <w:qFormat/>
    <w:uiPriority w:val="0"/>
    <w:pPr>
      <w:ind w:firstLine="420"/>
    </w:pPr>
    <w:rPr>
      <w:rFonts w:eastAsia="宋体"/>
      <w:sz w:val="28"/>
    </w:rPr>
  </w:style>
  <w:style w:type="paragraph" w:customStyle="1" w:styleId="156">
    <w:name w:val="专篇正文"/>
    <w:basedOn w:val="74"/>
    <w:autoRedefine/>
    <w:qFormat/>
    <w:uiPriority w:val="0"/>
  </w:style>
  <w:style w:type="paragraph" w:customStyle="1" w:styleId="157">
    <w:name w:val="a表格标题"/>
    <w:basedOn w:val="1"/>
    <w:autoRedefine/>
    <w:qFormat/>
    <w:uiPriority w:val="0"/>
    <w:pPr>
      <w:widowControl/>
      <w:spacing w:line="360" w:lineRule="auto"/>
      <w:jc w:val="center"/>
    </w:pPr>
    <w:rPr>
      <w:b/>
      <w:kern w:val="0"/>
      <w:szCs w:val="21"/>
    </w:rPr>
  </w:style>
  <w:style w:type="paragraph" w:customStyle="1" w:styleId="158">
    <w:name w:val="盂县"/>
    <w:basedOn w:val="1"/>
    <w:autoRedefine/>
    <w:qFormat/>
    <w:uiPriority w:val="0"/>
    <w:pPr>
      <w:adjustRightInd w:val="0"/>
      <w:snapToGrid w:val="0"/>
      <w:spacing w:line="312" w:lineRule="auto"/>
      <w:ind w:firstLine="560" w:firstLineChars="200"/>
    </w:pPr>
    <w:rPr>
      <w:sz w:val="28"/>
    </w:rPr>
  </w:style>
  <w:style w:type="paragraph" w:customStyle="1" w:styleId="159">
    <w:name w:val="填表样式"/>
    <w:autoRedefine/>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1"/>
      <w:szCs w:val="24"/>
      <w:lang w:val="en-US" w:eastAsia="zh-CN" w:bidi="ar-SA"/>
    </w:rPr>
  </w:style>
  <w:style w:type="paragraph" w:customStyle="1" w:styleId="160">
    <w:name w:val="C【表头】"/>
    <w:basedOn w:val="1"/>
    <w:autoRedefine/>
    <w:qFormat/>
    <w:uiPriority w:val="0"/>
    <w:pPr>
      <w:widowControl/>
      <w:adjustRightInd w:val="0"/>
      <w:snapToGrid w:val="0"/>
      <w:jc w:val="center"/>
    </w:pPr>
    <w:rPr>
      <w:rFonts w:eastAsia="黑体" w:cs="宋体"/>
      <w:kern w:val="0"/>
      <w:sz w:val="24"/>
      <w:szCs w:val="20"/>
    </w:rPr>
  </w:style>
  <w:style w:type="paragraph" w:customStyle="1" w:styleId="161">
    <w:name w:val="C表两端"/>
    <w:basedOn w:val="1"/>
    <w:autoRedefine/>
    <w:qFormat/>
    <w:uiPriority w:val="0"/>
    <w:pPr>
      <w:adjustRightInd w:val="0"/>
      <w:snapToGrid w:val="0"/>
    </w:pPr>
    <w:rPr>
      <w:kern w:val="0"/>
      <w:szCs w:val="20"/>
    </w:rPr>
  </w:style>
  <w:style w:type="paragraph" w:customStyle="1" w:styleId="162">
    <w:name w:val="图注"/>
    <w:basedOn w:val="1"/>
    <w:autoRedefine/>
    <w:qFormat/>
    <w:uiPriority w:val="0"/>
    <w:pPr>
      <w:ind w:firstLine="0" w:firstLineChars="0"/>
      <w:jc w:val="center"/>
    </w:pPr>
    <w:rPr>
      <w:rFonts w:eastAsia="黑体"/>
    </w:rPr>
  </w:style>
  <w:style w:type="paragraph" w:customStyle="1" w:styleId="163">
    <w:name w:val="..正文"/>
    <w:basedOn w:val="1"/>
    <w:qFormat/>
    <w:uiPriority w:val="0"/>
    <w:pPr>
      <w:spacing w:line="520" w:lineRule="exact"/>
      <w:ind w:firstLine="200" w:firstLineChars="200"/>
    </w:pPr>
    <w:rPr>
      <w:kern w:val="0"/>
      <w:sz w:val="24"/>
    </w:rPr>
  </w:style>
  <w:style w:type="paragraph" w:customStyle="1" w:styleId="164">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65">
    <w:name w:val="[正文]"/>
    <w:basedOn w:val="146"/>
    <w:qFormat/>
    <w:uiPriority w:val="0"/>
    <w:pPr>
      <w:spacing w:line="520" w:lineRule="exact"/>
      <w:ind w:firstLine="200"/>
    </w:pPr>
    <w:rPr>
      <w:rFonts w:ascii="Times New Roman" w:hAnsi="Times New Roman"/>
      <w:sz w:val="24"/>
    </w:rPr>
  </w:style>
  <w:style w:type="paragraph" w:customStyle="1" w:styleId="166">
    <w:name w:val="【华瑞正文】"/>
    <w:basedOn w:val="1"/>
    <w:qFormat/>
    <w:uiPriority w:val="0"/>
    <w:pPr>
      <w:spacing w:line="520" w:lineRule="exact"/>
      <w:ind w:firstLine="200" w:firstLineChars="200"/>
    </w:pPr>
    <w:rPr>
      <w:rFonts w:ascii="宋体" w:hAnsi="宋体" w:cs="宋体"/>
      <w:sz w:val="24"/>
      <w:szCs w:val="20"/>
    </w:rPr>
  </w:style>
  <w:style w:type="character" w:customStyle="1" w:styleId="167">
    <w:name w:val="【表中文字】 Char"/>
    <w:qFormat/>
    <w:uiPriority w:val="0"/>
    <w:rPr>
      <w:rFonts w:hint="default" w:ascii="Times New Roman" w:hAnsi="Times New Roman" w:cs="Times New Roman"/>
      <w:kern w:val="2"/>
      <w:sz w:val="21"/>
    </w:rPr>
  </w:style>
  <w:style w:type="paragraph" w:customStyle="1" w:styleId="168">
    <w:name w:val="【表中的文字】"/>
    <w:basedOn w:val="30"/>
    <w:qFormat/>
    <w:uiPriority w:val="0"/>
    <w:pPr>
      <w:spacing w:before="0" w:after="0"/>
      <w:outlineLvl w:val="9"/>
    </w:pPr>
    <w:rPr>
      <w:rFonts w:ascii="Times New Roman" w:hAnsi="Times New Roman" w:eastAsia="宋体"/>
      <w:b w:val="0"/>
      <w:sz w:val="21"/>
      <w:szCs w:val="21"/>
    </w:rPr>
  </w:style>
  <w:style w:type="paragraph" w:customStyle="1" w:styleId="169">
    <w:name w:val="样式 黑体 居中 行距: 1.5 倍行距"/>
    <w:basedOn w:val="1"/>
    <w:qFormat/>
    <w:uiPriority w:val="0"/>
    <w:pPr>
      <w:spacing w:line="360" w:lineRule="auto"/>
      <w:jc w:val="center"/>
    </w:pPr>
    <w:rPr>
      <w:rFonts w:ascii="黑体" w:hAnsi="黑体" w:eastAsia="黑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jpe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wmf"/><Relationship Id="rId25" Type="http://schemas.openxmlformats.org/officeDocument/2006/relationships/oleObject" Target="embeddings/oleObject3.bin"/><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2.bin"/><Relationship Id="rId17" Type="http://schemas.openxmlformats.org/officeDocument/2006/relationships/image" Target="media/image9.wmf"/><Relationship Id="rId16" Type="http://schemas.openxmlformats.org/officeDocument/2006/relationships/oleObject" Target="embeddings/oleObject1.bin"/><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91</Pages>
  <Words>18271</Words>
  <Characters>20018</Characters>
  <Lines>1</Lines>
  <Paragraphs>1</Paragraphs>
  <TotalTime>0</TotalTime>
  <ScaleCrop>false</ScaleCrop>
  <LinksUpToDate>false</LinksUpToDate>
  <CharactersWithSpaces>20136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Fly</cp:lastModifiedBy>
  <cp:lastPrinted>2021-09-16T08:57:00Z</cp:lastPrinted>
  <dcterms:modified xsi:type="dcterms:W3CDTF">2025-03-17T02:36:30Z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EAA16D609BEA45DBBF05BEE37CF1ABFD_13</vt:lpwstr>
  </property>
  <property fmtid="{D5CDD505-2E9C-101B-9397-08002B2CF9AE}" pid="4" name="KSOTemplateDocerSaveRecord">
    <vt:lpwstr>eyJoZGlkIjoiNDA3ZDEzYTcyZWRiOGYyNzJkZjRjYTAzZDg0ODNmY2UiLCJ1c2VySWQiOiI3MzgwMTgwNTAifQ==</vt:lpwstr>
  </property>
</Properties>
</file>