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CB729">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bookmarkStart w:id="0" w:name="_Hlk57883707"/>
    </w:p>
    <w:p w14:paraId="3415BC35">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5FB703FD">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14:paraId="693660B6">
      <w:pPr>
        <w:adjustRightInd w:val="0"/>
        <w:snapToGrid w:val="0"/>
        <w:jc w:val="center"/>
        <w:rPr>
          <w:rFonts w:hint="eastAsia" w:ascii="宋体" w:hAnsi="宋体" w:eastAsia="宋体" w:cs="宋体"/>
          <w:bCs/>
          <w:color w:val="000000" w:themeColor="text1"/>
          <w:sz w:val="72"/>
          <w:szCs w:val="72"/>
          <w:highlight w:val="none"/>
          <w14:textFill>
            <w14:solidFill>
              <w14:schemeClr w14:val="tx1"/>
            </w14:solidFill>
          </w14:textFill>
        </w:rPr>
      </w:pPr>
      <w:r>
        <w:rPr>
          <w:rFonts w:hint="eastAsia" w:ascii="宋体" w:hAnsi="宋体" w:eastAsia="宋体" w:cs="宋体"/>
          <w:bCs/>
          <w:color w:val="000000" w:themeColor="text1"/>
          <w:sz w:val="72"/>
          <w:szCs w:val="72"/>
          <w:highlight w:val="none"/>
          <w14:textFill>
            <w14:solidFill>
              <w14:schemeClr w14:val="tx1"/>
            </w14:solidFill>
          </w14:textFill>
        </w:rPr>
        <w:t>建设项目环境影响报告表</w:t>
      </w:r>
    </w:p>
    <w:p w14:paraId="3522675A">
      <w:pPr>
        <w:adjustRightInd w:val="0"/>
        <w:snapToGrid w:val="0"/>
        <w:spacing w:before="249" w:beforeLines="80"/>
        <w:jc w:val="center"/>
        <w:rPr>
          <w:rFonts w:hint="eastAsia" w:ascii="宋体" w:hAnsi="宋体" w:eastAsia="宋体" w:cs="宋体"/>
          <w:bCs/>
          <w:color w:val="000000" w:themeColor="text1"/>
          <w:sz w:val="48"/>
          <w:szCs w:val="48"/>
          <w:highlight w:val="none"/>
          <w14:textFill>
            <w14:solidFill>
              <w14:schemeClr w14:val="tx1"/>
            </w14:solidFill>
          </w14:textFill>
        </w:rPr>
      </w:pPr>
      <w:r>
        <w:rPr>
          <w:rFonts w:hint="eastAsia" w:ascii="宋体" w:hAnsi="宋体" w:eastAsia="宋体" w:cs="宋体"/>
          <w:bCs/>
          <w:color w:val="000000" w:themeColor="text1"/>
          <w:sz w:val="48"/>
          <w:szCs w:val="48"/>
          <w:highlight w:val="none"/>
          <w14:textFill>
            <w14:solidFill>
              <w14:schemeClr w14:val="tx1"/>
            </w14:solidFill>
          </w14:textFill>
        </w:rPr>
        <w:t>（污染影响类）</w:t>
      </w:r>
    </w:p>
    <w:p w14:paraId="2550AD9F">
      <w:pPr>
        <w:adjustRightInd w:val="0"/>
        <w:snapToGrid w:val="0"/>
        <w:spacing w:line="288" w:lineRule="auto"/>
        <w:jc w:val="center"/>
        <w:rPr>
          <w:rFonts w:hint="default" w:ascii="Times New Roman" w:hAnsi="Times New Roman" w:eastAsia="华文仿宋" w:cs="Times New Roman"/>
          <w:color w:val="000000" w:themeColor="text1"/>
          <w:kern w:val="44"/>
          <w:sz w:val="44"/>
          <w:szCs w:val="44"/>
          <w:highlight w:val="none"/>
          <w14:textFill>
            <w14:solidFill>
              <w14:schemeClr w14:val="tx1"/>
            </w14:solidFill>
          </w14:textFill>
        </w:rPr>
      </w:pPr>
      <w:bookmarkStart w:id="1" w:name="_Hlk57883728"/>
    </w:p>
    <w:p w14:paraId="0319A75A">
      <w:pPr>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715D80E4">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0ED37F6F">
      <w:pPr>
        <w:pStyle w:val="2"/>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7A335F2B">
      <w:pPr>
        <w:pStyle w:val="3"/>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115B2E09">
      <w:pPr>
        <w:pStyle w:val="4"/>
        <w:rPr>
          <w:rFonts w:hint="default"/>
          <w:color w:val="000000" w:themeColor="text1"/>
          <w:highlight w:val="none"/>
          <w14:textFill>
            <w14:solidFill>
              <w14:schemeClr w14:val="tx1"/>
            </w14:solidFill>
          </w14:textFill>
        </w:rPr>
      </w:pPr>
    </w:p>
    <w:p w14:paraId="3FEB73C5">
      <w:pPr>
        <w:rPr>
          <w:rFonts w:hint="default" w:ascii="Times New Roman" w:hAnsi="Times New Roman" w:eastAsia="仿宋" w:cs="Times New Roman"/>
          <w:color w:val="000000" w:themeColor="text1"/>
          <w:sz w:val="44"/>
          <w:szCs w:val="44"/>
          <w:highlight w:val="none"/>
          <w14:textFill>
            <w14:solidFill>
              <w14:schemeClr w14:val="tx1"/>
            </w14:solidFill>
          </w14:textFill>
        </w:rPr>
      </w:pPr>
    </w:p>
    <w:bookmarkEnd w:id="1"/>
    <w:p w14:paraId="38E6ED43">
      <w:pPr>
        <w:adjustRightInd w:val="0"/>
        <w:snapToGrid w:val="0"/>
        <w:spacing w:line="288" w:lineRule="auto"/>
        <w:ind w:left="1630" w:hanging="1630" w:hangingChars="500"/>
        <w:jc w:val="left"/>
        <w:rPr>
          <w:rFonts w:hint="eastAsia" w:ascii="宋体" w:hAnsi="宋体" w:eastAsia="宋体" w:cs="宋体"/>
          <w:color w:val="000000" w:themeColor="text1"/>
          <w:spacing w:val="-17"/>
          <w:sz w:val="36"/>
          <w:szCs w:val="36"/>
          <w:highlight w:val="none"/>
          <w:u w:val="single"/>
          <w:lang w:val="en-US"/>
          <w14:textFill>
            <w14:solidFill>
              <w14:schemeClr w14:val="tx1"/>
            </w14:solidFill>
          </w14:textFill>
        </w:rPr>
      </w:pPr>
      <w:r>
        <w:rPr>
          <w:rFonts w:hint="eastAsia" w:ascii="宋体" w:hAnsi="宋体" w:eastAsia="宋体" w:cs="宋体"/>
          <w:color w:val="000000" w:themeColor="text1"/>
          <w:spacing w:val="-17"/>
          <w:sz w:val="36"/>
          <w:szCs w:val="36"/>
          <w:highlight w:val="none"/>
          <w14:textFill>
            <w14:solidFill>
              <w14:schemeClr w14:val="tx1"/>
            </w14:solidFill>
          </w14:textFill>
        </w:rPr>
        <w:t>项目名称：</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 xml:space="preserve">鸡东县忠旺粮库有限公司烘干塔建设项目              </w:t>
      </w:r>
    </w:p>
    <w:p w14:paraId="1C7E1E44">
      <w:pPr>
        <w:adjustRightInd w:val="0"/>
        <w:snapToGrid w:val="0"/>
        <w:spacing w:line="288" w:lineRule="auto"/>
        <w:rPr>
          <w:rFonts w:hint="eastAsia" w:ascii="宋体" w:hAnsi="宋体" w:eastAsia="宋体" w:cs="宋体"/>
          <w:color w:val="000000" w:themeColor="text1"/>
          <w:sz w:val="36"/>
          <w:szCs w:val="36"/>
          <w:highlight w:val="none"/>
          <w:u w:val="single"/>
          <w:lang w:val="en-US"/>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建设单位：</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 xml:space="preserve">      鸡东县忠旺粮库有限公司        </w:t>
      </w:r>
    </w:p>
    <w:p w14:paraId="6AC77633">
      <w:pPr>
        <w:adjustRightInd w:val="0"/>
        <w:snapToGrid w:val="0"/>
        <w:spacing w:line="288" w:lineRule="auto"/>
        <w:rPr>
          <w:rFonts w:hint="eastAsia" w:ascii="宋体" w:hAnsi="宋体" w:eastAsia="宋体" w:cs="宋体"/>
          <w:color w:val="000000" w:themeColor="text1"/>
          <w:sz w:val="36"/>
          <w:szCs w:val="36"/>
          <w:highlight w:val="none"/>
          <w:u w:val="singl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编制日期：</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36"/>
          <w:szCs w:val="36"/>
          <w:highlight w:val="none"/>
          <w:u w:val="single"/>
          <w14:textFill>
            <w14:solidFill>
              <w14:schemeClr w14:val="tx1"/>
            </w14:solidFill>
          </w14:textFill>
        </w:rPr>
        <w:t>202</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4</w:t>
      </w:r>
      <w:r>
        <w:rPr>
          <w:rFonts w:hint="eastAsia" w:ascii="宋体" w:hAnsi="宋体" w:eastAsia="宋体" w:cs="宋体"/>
          <w:color w:val="000000" w:themeColor="text1"/>
          <w:sz w:val="36"/>
          <w:szCs w:val="36"/>
          <w:highlight w:val="none"/>
          <w:u w:val="single"/>
          <w14:textFill>
            <w14:solidFill>
              <w14:schemeClr w14:val="tx1"/>
            </w14:solidFill>
          </w14:textFill>
        </w:rPr>
        <w:t>年</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11</w:t>
      </w:r>
      <w:r>
        <w:rPr>
          <w:rFonts w:hint="eastAsia" w:ascii="宋体" w:hAnsi="宋体" w:eastAsia="宋体" w:cs="宋体"/>
          <w:color w:val="000000" w:themeColor="text1"/>
          <w:sz w:val="36"/>
          <w:szCs w:val="36"/>
          <w:highlight w:val="none"/>
          <w:u w:val="single"/>
          <w14:textFill>
            <w14:solidFill>
              <w14:schemeClr w14:val="tx1"/>
            </w14:solidFill>
          </w14:textFill>
        </w:rPr>
        <w:t xml:space="preserve">月     </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36"/>
          <w:szCs w:val="36"/>
          <w:highlight w:val="none"/>
          <w:u w:val="single"/>
          <w14:textFill>
            <w14:solidFill>
              <w14:schemeClr w14:val="tx1"/>
            </w14:solidFill>
          </w14:textFill>
        </w:rPr>
        <w:t xml:space="preserve">     </w:t>
      </w:r>
      <w:r>
        <w:rPr>
          <w:rFonts w:hint="eastAsia" w:ascii="宋体" w:hAnsi="宋体" w:eastAsia="宋体" w:cs="宋体"/>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36"/>
          <w:szCs w:val="36"/>
          <w:highlight w:val="none"/>
          <w:u w:val="single"/>
          <w14:textFill>
            <w14:solidFill>
              <w14:schemeClr w14:val="tx1"/>
            </w14:solidFill>
          </w14:textFill>
        </w:rPr>
        <w:t xml:space="preserve"> </w:t>
      </w:r>
    </w:p>
    <w:p w14:paraId="7969378C">
      <w:pPr>
        <w:adjustRightInd w:val="0"/>
        <w:snapToGrid w:val="0"/>
        <w:spacing w:line="288" w:lineRule="auto"/>
        <w:ind w:firstLine="1040"/>
        <w:rPr>
          <w:rFonts w:hint="eastAsia" w:ascii="宋体" w:hAnsi="宋体" w:eastAsia="宋体" w:cs="宋体"/>
          <w:color w:val="000000" w:themeColor="text1"/>
          <w:sz w:val="36"/>
          <w:szCs w:val="36"/>
          <w:highlight w:val="none"/>
          <w:u w:val="single"/>
          <w14:textFill>
            <w14:solidFill>
              <w14:schemeClr w14:val="tx1"/>
            </w14:solidFill>
          </w14:textFill>
        </w:rPr>
      </w:pPr>
    </w:p>
    <w:p w14:paraId="13B5440D">
      <w:pPr>
        <w:adjustRightInd w:val="0"/>
        <w:snapToGrid w:val="0"/>
        <w:spacing w:line="288" w:lineRule="auto"/>
        <w:ind w:firstLine="1040"/>
        <w:rPr>
          <w:rFonts w:hint="eastAsia" w:ascii="宋体" w:hAnsi="宋体" w:eastAsia="宋体" w:cs="宋体"/>
          <w:color w:val="000000" w:themeColor="text1"/>
          <w:sz w:val="36"/>
          <w:szCs w:val="36"/>
          <w:highlight w:val="none"/>
          <w14:textFill>
            <w14:solidFill>
              <w14:schemeClr w14:val="tx1"/>
            </w14:solidFill>
          </w14:textFill>
        </w:rPr>
      </w:pPr>
    </w:p>
    <w:p w14:paraId="24F05C3F">
      <w:pPr>
        <w:adjustRightInd w:val="0"/>
        <w:snapToGrid w:val="0"/>
        <w:spacing w:line="288" w:lineRule="auto"/>
        <w:rPr>
          <w:rFonts w:hint="eastAsia" w:ascii="宋体" w:hAnsi="宋体" w:eastAsia="宋体" w:cs="宋体"/>
          <w:color w:val="000000" w:themeColor="text1"/>
          <w:sz w:val="36"/>
          <w:szCs w:val="36"/>
          <w:highlight w:val="none"/>
          <w14:textFill>
            <w14:solidFill>
              <w14:schemeClr w14:val="tx1"/>
            </w14:solidFill>
          </w14:textFill>
        </w:rPr>
      </w:pPr>
    </w:p>
    <w:p w14:paraId="0CC035D0">
      <w:pPr>
        <w:adjustRightInd w:val="0"/>
        <w:snapToGrid w:val="0"/>
        <w:spacing w:line="288" w:lineRule="auto"/>
        <w:ind w:firstLine="1040"/>
        <w:rPr>
          <w:rFonts w:hint="eastAsia" w:ascii="宋体" w:hAnsi="宋体" w:eastAsia="宋体" w:cs="宋体"/>
          <w:color w:val="000000" w:themeColor="text1"/>
          <w:sz w:val="36"/>
          <w:szCs w:val="36"/>
          <w:highlight w:val="none"/>
          <w14:textFill>
            <w14:solidFill>
              <w14:schemeClr w14:val="tx1"/>
            </w14:solidFill>
          </w14:textFill>
        </w:rPr>
      </w:pPr>
    </w:p>
    <w:p w14:paraId="75D9BA80">
      <w:pPr>
        <w:adjustRightInd w:val="0"/>
        <w:snapToGrid w:val="0"/>
        <w:spacing w:line="288" w:lineRule="auto"/>
        <w:jc w:val="center"/>
        <w:rPr>
          <w:rFonts w:hint="eastAsia" w:ascii="宋体" w:hAnsi="宋体" w:eastAsia="宋体" w:cs="宋体"/>
          <w:color w:val="000000" w:themeColor="text1"/>
          <w:sz w:val="36"/>
          <w:szCs w:val="36"/>
          <w:highlight w:val="none"/>
          <w14:textFill>
            <w14:solidFill>
              <w14:schemeClr w14:val="tx1"/>
            </w14:solidFill>
          </w14:textFill>
        </w:rPr>
        <w:sectPr>
          <w:footerReference r:id="rId3" w:type="default"/>
          <w:pgSz w:w="11850" w:h="16783"/>
          <w:pgMar w:top="1701" w:right="1531" w:bottom="1701" w:left="1531" w:header="851" w:footer="1077" w:gutter="0"/>
          <w:pgBorders>
            <w:top w:val="none" w:sz="0" w:space="0"/>
            <w:left w:val="none" w:sz="0" w:space="0"/>
            <w:bottom w:val="none" w:sz="0" w:space="0"/>
            <w:right w:val="none" w:sz="0" w:space="0"/>
          </w:pgBorders>
          <w:pgNumType w:start="1"/>
          <w:cols w:space="0" w:num="1"/>
          <w:docGrid w:type="lines" w:linePitch="312" w:charSpace="0"/>
        </w:sectPr>
      </w:pPr>
      <w:r>
        <w:rPr>
          <w:rFonts w:hint="eastAsia" w:ascii="宋体" w:hAnsi="宋体" w:eastAsia="宋体" w:cs="宋体"/>
          <w:color w:val="000000" w:themeColor="text1"/>
          <w:sz w:val="36"/>
          <w:szCs w:val="36"/>
          <w:highlight w:val="none"/>
          <w14:textFill>
            <w14:solidFill>
              <w14:schemeClr w14:val="tx1"/>
            </w14:solidFill>
          </w14:textFill>
        </w:rPr>
        <w:t>中华人民共和国生态环境部</w:t>
      </w:r>
    </w:p>
    <w:p w14:paraId="6DCE415C">
      <w:pPr>
        <w:adjustRightInd w:val="0"/>
        <w:snapToGrid w:val="0"/>
        <w:spacing w:line="288" w:lineRule="auto"/>
        <w:jc w:val="center"/>
        <w:rPr>
          <w:rFonts w:hint="eastAsia" w:ascii="Times New Roman" w:hAnsi="Times New Roman" w:eastAsia="楷体_GB2312" w:cs="Times New Roman"/>
          <w:color w:val="000000" w:themeColor="text1"/>
          <w:sz w:val="36"/>
          <w:szCs w:val="36"/>
          <w:highlight w:val="none"/>
          <w:lang w:eastAsia="zh-CN"/>
          <w14:textFill>
            <w14:solidFill>
              <w14:schemeClr w14:val="tx1"/>
            </w14:solidFill>
          </w14:textFill>
        </w:rPr>
        <w:sectPr>
          <w:pgSz w:w="11850" w:h="16783"/>
          <w:pgMar w:top="1701" w:right="1531" w:bottom="1701" w:left="1531" w:header="851" w:footer="1077" w:gutter="0"/>
          <w:pgBorders>
            <w:top w:val="none" w:sz="0" w:space="0"/>
            <w:left w:val="none" w:sz="0" w:space="0"/>
            <w:bottom w:val="none" w:sz="0" w:space="0"/>
            <w:right w:val="none" w:sz="0" w:space="0"/>
          </w:pgBorders>
          <w:pgNumType w:start="1"/>
          <w:cols w:space="0" w:num="1"/>
          <w:docGrid w:type="lines" w:linePitch="312" w:charSpace="0"/>
        </w:sectPr>
      </w:pPr>
      <w:r>
        <w:rPr>
          <w:rFonts w:hint="eastAsia" w:ascii="Times New Roman" w:hAnsi="Times New Roman" w:eastAsia="楷体_GB2312" w:cs="Times New Roman"/>
          <w:color w:val="000000" w:themeColor="text1"/>
          <w:sz w:val="36"/>
          <w:szCs w:val="36"/>
          <w:highlight w:val="none"/>
          <w:lang w:eastAsia="zh-CN"/>
          <w14:textFill>
            <w14:solidFill>
              <w14:schemeClr w14:val="tx1"/>
            </w14:solidFill>
          </w14:textFill>
        </w:rPr>
        <w:drawing>
          <wp:inline distT="0" distB="0" distL="114300" distR="114300">
            <wp:extent cx="5473065" cy="8490585"/>
            <wp:effectExtent l="0" t="0" r="13335" b="5715"/>
            <wp:docPr id="85" name="图片 85" descr="b840fe3b07a8bd26f1db29f0f2c0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b840fe3b07a8bd26f1db29f0f2c0bef"/>
                    <pic:cNvPicPr>
                      <a:picLocks noChangeAspect="1"/>
                    </pic:cNvPicPr>
                  </pic:nvPicPr>
                  <pic:blipFill>
                    <a:blip r:embed="rId8"/>
                    <a:stretch>
                      <a:fillRect/>
                    </a:stretch>
                  </pic:blipFill>
                  <pic:spPr>
                    <a:xfrm>
                      <a:off x="0" y="0"/>
                      <a:ext cx="5473065" cy="8490585"/>
                    </a:xfrm>
                    <a:prstGeom prst="rect">
                      <a:avLst/>
                    </a:prstGeom>
                  </pic:spPr>
                </pic:pic>
              </a:graphicData>
            </a:graphic>
          </wp:inline>
        </w:drawing>
      </w:r>
    </w:p>
    <w:p w14:paraId="7883B01E">
      <w:pPr>
        <w:pStyle w:val="28"/>
        <w:spacing w:before="0" w:beforeAutospacing="0" w:after="156" w:afterLines="50" w:afterAutospacing="0"/>
        <w:jc w:val="center"/>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bookmarkStart w:id="2" w:name="_Toc16950"/>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一、建设项目基本情况</w:t>
      </w:r>
      <w:bookmarkEnd w:id="2"/>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24"/>
        <w:gridCol w:w="2139"/>
        <w:gridCol w:w="2145"/>
        <w:gridCol w:w="3163"/>
      </w:tblGrid>
      <w:tr w14:paraId="3A05D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5224485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建设项目名称</w:t>
            </w:r>
          </w:p>
        </w:tc>
        <w:tc>
          <w:tcPr>
            <w:tcW w:w="4104" w:type="pct"/>
            <w:gridSpan w:val="3"/>
            <w:vAlign w:val="center"/>
          </w:tcPr>
          <w:p w14:paraId="6982E6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鸡东县忠旺粮库有限公司烘干塔建设项目</w:t>
            </w:r>
          </w:p>
        </w:tc>
      </w:tr>
      <w:tr w14:paraId="4CB0E1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43CF829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项目代码</w:t>
            </w:r>
          </w:p>
        </w:tc>
        <w:tc>
          <w:tcPr>
            <w:tcW w:w="4104" w:type="pct"/>
            <w:gridSpan w:val="3"/>
            <w:vAlign w:val="center"/>
          </w:tcPr>
          <w:p w14:paraId="417577F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无</w:t>
            </w:r>
          </w:p>
        </w:tc>
      </w:tr>
      <w:tr w14:paraId="556AD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CC123B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建设单位联系人</w:t>
            </w:r>
          </w:p>
        </w:tc>
        <w:tc>
          <w:tcPr>
            <w:tcW w:w="1179" w:type="pct"/>
            <w:vAlign w:val="center"/>
          </w:tcPr>
          <w:p w14:paraId="79B0320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李荣</w:t>
            </w:r>
          </w:p>
        </w:tc>
        <w:tc>
          <w:tcPr>
            <w:tcW w:w="1182" w:type="pct"/>
            <w:vAlign w:val="center"/>
          </w:tcPr>
          <w:p w14:paraId="5C0E5C3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联系方式</w:t>
            </w:r>
          </w:p>
        </w:tc>
        <w:tc>
          <w:tcPr>
            <w:tcW w:w="1743" w:type="pct"/>
            <w:vAlign w:val="center"/>
          </w:tcPr>
          <w:p w14:paraId="53C3836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15645827677</w:t>
            </w:r>
          </w:p>
        </w:tc>
      </w:tr>
      <w:tr w14:paraId="301F1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63C513A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建设地点</w:t>
            </w:r>
          </w:p>
        </w:tc>
        <w:tc>
          <w:tcPr>
            <w:tcW w:w="4104" w:type="pct"/>
            <w:gridSpan w:val="3"/>
            <w:vAlign w:val="center"/>
          </w:tcPr>
          <w:p w14:paraId="679EC3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黑龙江省鸡西市鸡东县鸡东镇银东村</w:t>
            </w:r>
          </w:p>
        </w:tc>
      </w:tr>
      <w:tr w14:paraId="079AB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2B9736F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地理坐标</w:t>
            </w:r>
          </w:p>
        </w:tc>
        <w:tc>
          <w:tcPr>
            <w:tcW w:w="4104" w:type="pct"/>
            <w:gridSpan w:val="3"/>
            <w:vAlign w:val="center"/>
          </w:tcPr>
          <w:p w14:paraId="11CFF2F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Cs w:val="21"/>
                <w:highlight w:val="none"/>
                <w14:textFill>
                  <w14:solidFill>
                    <w14:schemeClr w14:val="tx1"/>
                  </w14:solidFill>
                </w14:textFill>
              </w:rPr>
              <w:t>（</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1</w:t>
            </w:r>
            <w:r>
              <w:rPr>
                <w:rFonts w:hint="eastAsia" w:cs="Times New Roman" w:eastAsiaTheme="minorEastAsia"/>
                <w:color w:val="000000" w:themeColor="text1"/>
                <w:szCs w:val="21"/>
                <w:highlight w:val="none"/>
                <w:u w:val="single"/>
                <w:lang w:val="en-US" w:eastAsia="zh-CN"/>
                <w14:textFill>
                  <w14:solidFill>
                    <w14:schemeClr w14:val="tx1"/>
                  </w14:solidFill>
                </w14:textFill>
              </w:rPr>
              <w:t>31</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Cs w:val="21"/>
                <w:highlight w:val="none"/>
                <w14:textFill>
                  <w14:solidFill>
                    <w14:schemeClr w14:val="tx1"/>
                  </w14:solidFill>
                </w14:textFill>
              </w:rPr>
              <w:t>度</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eastAsia" w:cs="Times New Roman" w:eastAsiaTheme="minorEastAsia"/>
                <w:color w:val="000000" w:themeColor="text1"/>
                <w:szCs w:val="21"/>
                <w:highlight w:val="none"/>
                <w:u w:val="single"/>
                <w:lang w:val="en-US" w:eastAsia="zh-CN"/>
                <w14:textFill>
                  <w14:solidFill>
                    <w14:schemeClr w14:val="tx1"/>
                  </w14:solidFill>
                </w14:textFill>
              </w:rPr>
              <w:t>09</w:t>
            </w:r>
            <w:r>
              <w:rPr>
                <w:rFonts w:hint="default" w:ascii="Times New Roman" w:hAnsi="Times New Roman" w:cs="Times New Roman" w:eastAsiaTheme="minorEastAsia"/>
                <w:color w:val="000000" w:themeColor="text1"/>
                <w:szCs w:val="21"/>
                <w:highlight w:val="none"/>
                <w14:textFill>
                  <w14:solidFill>
                    <w14:schemeClr w14:val="tx1"/>
                  </w14:solidFill>
                </w14:textFill>
              </w:rPr>
              <w:t>分</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eastAsia" w:cs="Times New Roman" w:eastAsiaTheme="minorEastAsia"/>
                <w:color w:val="000000" w:themeColor="text1"/>
                <w:szCs w:val="21"/>
                <w:highlight w:val="none"/>
                <w:u w:val="single"/>
                <w:lang w:val="en-US" w:eastAsia="zh-CN"/>
                <w14:textFill>
                  <w14:solidFill>
                    <w14:schemeClr w14:val="tx1"/>
                  </w14:solidFill>
                </w14:textFill>
              </w:rPr>
              <w:t>10.040</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Cs w:val="21"/>
                <w:highlight w:val="none"/>
                <w14:textFill>
                  <w14:solidFill>
                    <w14:schemeClr w14:val="tx1"/>
                  </w14:solidFill>
                </w14:textFill>
              </w:rPr>
              <w:t>秒，</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4</w:t>
            </w:r>
            <w:r>
              <w:rPr>
                <w:rFonts w:hint="eastAsia" w:cs="Times New Roman" w:eastAsiaTheme="minorEastAsia"/>
                <w:color w:val="000000" w:themeColor="text1"/>
                <w:szCs w:val="21"/>
                <w:highlight w:val="none"/>
                <w:u w:val="single"/>
                <w:lang w:val="en-US" w:eastAsia="zh-CN"/>
                <w14:textFill>
                  <w14:solidFill>
                    <w14:schemeClr w14:val="tx1"/>
                  </w14:solidFill>
                </w14:textFill>
              </w:rPr>
              <w:t>5</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Cs w:val="21"/>
                <w:highlight w:val="none"/>
                <w14:textFill>
                  <w14:solidFill>
                    <w14:schemeClr w14:val="tx1"/>
                  </w14:solidFill>
                </w14:textFill>
              </w:rPr>
              <w:t>度</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eastAsia" w:cs="Times New Roman" w:eastAsiaTheme="minorEastAsia"/>
                <w:color w:val="000000" w:themeColor="text1"/>
                <w:szCs w:val="21"/>
                <w:highlight w:val="none"/>
                <w:u w:val="single"/>
                <w:lang w:val="en-US" w:eastAsia="zh-CN"/>
                <w14:textFill>
                  <w14:solidFill>
                    <w14:schemeClr w14:val="tx1"/>
                  </w14:solidFill>
                </w14:textFill>
              </w:rPr>
              <w:t>14</w:t>
            </w:r>
            <w:r>
              <w:rPr>
                <w:rFonts w:hint="default" w:ascii="Times New Roman" w:hAnsi="Times New Roman" w:cs="Times New Roman" w:eastAsiaTheme="minorEastAsia"/>
                <w:color w:val="000000" w:themeColor="text1"/>
                <w:szCs w:val="21"/>
                <w:highlight w:val="none"/>
                <w14:textFill>
                  <w14:solidFill>
                    <w14:schemeClr w14:val="tx1"/>
                  </w14:solidFill>
                </w14:textFill>
              </w:rPr>
              <w:t>分</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eastAsia" w:cs="Times New Roman" w:eastAsiaTheme="minorEastAsia"/>
                <w:color w:val="000000" w:themeColor="text1"/>
                <w:szCs w:val="21"/>
                <w:highlight w:val="none"/>
                <w:u w:val="single"/>
                <w:lang w:val="en-US" w:eastAsia="zh-CN"/>
                <w14:textFill>
                  <w14:solidFill>
                    <w14:schemeClr w14:val="tx1"/>
                  </w14:solidFill>
                </w14:textFill>
              </w:rPr>
              <w:t>20.500</w:t>
            </w:r>
            <w:r>
              <w:rPr>
                <w:rFonts w:hint="default" w:ascii="Times New Roman" w:hAnsi="Times New Roman" w:cs="Times New Roman" w:eastAsiaTheme="minorEastAsia"/>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eastAsiaTheme="minorEastAsia"/>
                <w:color w:val="000000" w:themeColor="text1"/>
                <w:szCs w:val="21"/>
                <w:highlight w:val="none"/>
                <w14:textFill>
                  <w14:solidFill>
                    <w14:schemeClr w14:val="tx1"/>
                  </w14:solidFill>
                </w14:textFill>
              </w:rPr>
              <w:t>秒）</w:t>
            </w:r>
          </w:p>
        </w:tc>
      </w:tr>
      <w:tr w14:paraId="2A3CF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626EE66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国民经济</w:t>
            </w:r>
          </w:p>
          <w:p w14:paraId="5F9E023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行业类别</w:t>
            </w:r>
          </w:p>
        </w:tc>
        <w:tc>
          <w:tcPr>
            <w:tcW w:w="1179" w:type="pct"/>
            <w:vAlign w:val="center"/>
          </w:tcPr>
          <w:p w14:paraId="27870B27">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D4430热力生产和供应、A0514农产品初加工活动</w:t>
            </w:r>
          </w:p>
        </w:tc>
        <w:tc>
          <w:tcPr>
            <w:tcW w:w="1182" w:type="pct"/>
            <w:vAlign w:val="center"/>
          </w:tcPr>
          <w:p w14:paraId="6B94CF1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建设项目</w:t>
            </w:r>
          </w:p>
          <w:p w14:paraId="625D819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行业类别</w:t>
            </w:r>
          </w:p>
        </w:tc>
        <w:tc>
          <w:tcPr>
            <w:tcW w:w="1743" w:type="pct"/>
            <w:vAlign w:val="center"/>
          </w:tcPr>
          <w:p w14:paraId="78A48AB5">
            <w:pPr>
              <w:keepNext w:val="0"/>
              <w:keepLines w:val="0"/>
              <w:widowControl/>
              <w:suppressLineNumbers w:val="0"/>
              <w:spacing w:before="0" w:beforeAutospacing="0" w:after="0" w:afterAutospacing="0"/>
              <w:ind w:left="0" w:right="0"/>
              <w:jc w:val="center"/>
              <w:rPr>
                <w:rFonts w:hint="default"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 xml:space="preserve"> 91.热力生产和供应工程</w:t>
            </w:r>
          </w:p>
        </w:tc>
      </w:tr>
      <w:tr w14:paraId="3300A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7ED59C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建设性质</w:t>
            </w:r>
          </w:p>
        </w:tc>
        <w:tc>
          <w:tcPr>
            <w:tcW w:w="1179" w:type="pct"/>
            <w:vAlign w:val="center"/>
          </w:tcPr>
          <w:p w14:paraId="469F2EB4">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新建（迁建）</w:t>
            </w:r>
          </w:p>
          <w:p w14:paraId="2BC7E202">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cs="Times New Roman"/>
                <w:color w:val="000000" w:themeColor="text1"/>
                <w:kern w:val="21"/>
                <w:szCs w:val="21"/>
                <w:highlight w:val="none"/>
                <w14:textFill>
                  <w14:solidFill>
                    <w14:schemeClr w14:val="tx1"/>
                  </w14:solidFill>
                </w14:textFill>
              </w:rPr>
              <w:t>改建</w:t>
            </w:r>
          </w:p>
          <w:p w14:paraId="40E90639">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cs="Times New Roman"/>
                <w:color w:val="000000" w:themeColor="text1"/>
                <w:kern w:val="21"/>
                <w:szCs w:val="21"/>
                <w:highlight w:val="none"/>
                <w14:textFill>
                  <w14:solidFill>
                    <w14:schemeClr w14:val="tx1"/>
                  </w14:solidFill>
                </w14:textFill>
              </w:rPr>
              <w:t>扩建</w:t>
            </w:r>
          </w:p>
          <w:p w14:paraId="636DF1EF">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技术改造</w:t>
            </w:r>
          </w:p>
        </w:tc>
        <w:tc>
          <w:tcPr>
            <w:tcW w:w="1182" w:type="pct"/>
            <w:vAlign w:val="center"/>
          </w:tcPr>
          <w:p w14:paraId="083499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建设项目</w:t>
            </w:r>
          </w:p>
          <w:p w14:paraId="6C68CF6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申报情形</w:t>
            </w:r>
          </w:p>
        </w:tc>
        <w:tc>
          <w:tcPr>
            <w:tcW w:w="1743" w:type="pct"/>
            <w:vAlign w:val="center"/>
          </w:tcPr>
          <w:p w14:paraId="0209AA87">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cs="Times New Roman"/>
                <w:color w:val="000000" w:themeColor="text1"/>
                <w:kern w:val="21"/>
                <w:szCs w:val="21"/>
                <w:highlight w:val="none"/>
                <w14:textFill>
                  <w14:solidFill>
                    <w14:schemeClr w14:val="tx1"/>
                  </w14:solidFill>
                </w14:textFill>
              </w:rPr>
              <w:t>首次申报项目</w:t>
            </w:r>
          </w:p>
          <w:p w14:paraId="507CF5A2">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不予批准后再次申报项目</w:t>
            </w:r>
          </w:p>
          <w:p w14:paraId="710BA242">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超五年重新审核项目</w:t>
            </w:r>
          </w:p>
          <w:p w14:paraId="6CD08854">
            <w:pPr>
              <w:keepNext w:val="0"/>
              <w:keepLines w:val="0"/>
              <w:suppressLineNumbers w:val="0"/>
              <w:spacing w:before="0" w:beforeAutospacing="0" w:after="0" w:afterAutospacing="0"/>
              <w:ind w:left="0" w:right="0"/>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重大变动重新报批项目</w:t>
            </w:r>
          </w:p>
        </w:tc>
      </w:tr>
      <w:tr w14:paraId="66FBF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4789EE03">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项目审批（核准/</w:t>
            </w:r>
          </w:p>
          <w:p w14:paraId="384722C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备案）部门（选填）</w:t>
            </w:r>
          </w:p>
        </w:tc>
        <w:tc>
          <w:tcPr>
            <w:tcW w:w="1179" w:type="pct"/>
            <w:vAlign w:val="center"/>
          </w:tcPr>
          <w:p w14:paraId="6604C0B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s="Times New Roman"/>
                <w:color w:val="000000" w:themeColor="text1"/>
                <w:kern w:val="21"/>
                <w:szCs w:val="21"/>
                <w:highlight w:val="none"/>
                <w:lang w:val="en-US" w:eastAsia="zh-CN"/>
                <w14:textFill>
                  <w14:solidFill>
                    <w14:schemeClr w14:val="tx1"/>
                  </w14:solidFill>
                </w14:textFill>
              </w:rPr>
              <w:t>无</w:t>
            </w:r>
          </w:p>
        </w:tc>
        <w:tc>
          <w:tcPr>
            <w:tcW w:w="1182" w:type="pct"/>
            <w:vAlign w:val="center"/>
          </w:tcPr>
          <w:p w14:paraId="1E72C9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项目审批（核准/</w:t>
            </w:r>
          </w:p>
          <w:p w14:paraId="328AC69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备案）文号（选填）</w:t>
            </w:r>
          </w:p>
        </w:tc>
        <w:tc>
          <w:tcPr>
            <w:tcW w:w="1743" w:type="pct"/>
            <w:vAlign w:val="center"/>
          </w:tcPr>
          <w:p w14:paraId="4B2A6E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s="Times New Roman"/>
                <w:color w:val="000000" w:themeColor="text1"/>
                <w:kern w:val="21"/>
                <w:szCs w:val="21"/>
                <w:highlight w:val="none"/>
                <w:lang w:val="en-US" w:eastAsia="zh-CN"/>
                <w14:textFill>
                  <w14:solidFill>
                    <w14:schemeClr w14:val="tx1"/>
                  </w14:solidFill>
                </w14:textFill>
              </w:rPr>
              <w:t>无</w:t>
            </w:r>
          </w:p>
        </w:tc>
      </w:tr>
      <w:tr w14:paraId="4F164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59D0999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总投资（万元）</w:t>
            </w:r>
          </w:p>
        </w:tc>
        <w:tc>
          <w:tcPr>
            <w:tcW w:w="1179" w:type="pct"/>
            <w:vAlign w:val="center"/>
          </w:tcPr>
          <w:p w14:paraId="757E7B78">
            <w:pPr>
              <w:pStyle w:val="83"/>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21"/>
                <w:highlight w:val="none"/>
                <w:lang w:val="en-US" w:eastAsia="zh-CN"/>
                <w14:textFill>
                  <w14:solidFill>
                    <w14:schemeClr w14:val="tx1"/>
                  </w14:solidFill>
                </w14:textFill>
              </w:rPr>
            </w:pPr>
            <w:r>
              <w:rPr>
                <w:rFonts w:hint="eastAsia" w:eastAsia="宋体" w:cs="Times New Roman"/>
                <w:color w:val="000000" w:themeColor="text1"/>
                <w:kern w:val="21"/>
                <w:highlight w:val="none"/>
                <w:lang w:val="en-US" w:eastAsia="zh-CN"/>
                <w14:textFill>
                  <w14:solidFill>
                    <w14:schemeClr w14:val="tx1"/>
                  </w14:solidFill>
                </w14:textFill>
              </w:rPr>
              <w:t>850</w:t>
            </w:r>
          </w:p>
        </w:tc>
        <w:tc>
          <w:tcPr>
            <w:tcW w:w="1182" w:type="pct"/>
            <w:tcMar>
              <w:top w:w="16" w:type="dxa"/>
              <w:left w:w="16" w:type="dxa"/>
              <w:right w:w="16" w:type="dxa"/>
            </w:tcMar>
            <w:vAlign w:val="center"/>
          </w:tcPr>
          <w:p w14:paraId="3B0A013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环保投资（万元）</w:t>
            </w:r>
          </w:p>
        </w:tc>
        <w:tc>
          <w:tcPr>
            <w:tcW w:w="1743" w:type="pct"/>
            <w:vAlign w:val="center"/>
          </w:tcPr>
          <w:p w14:paraId="5D69EA2E">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1"/>
                <w:szCs w:val="21"/>
                <w:highlight w:val="none"/>
                <w:lang w:val="en-US" w:eastAsia="zh-CN"/>
                <w14:textFill>
                  <w14:solidFill>
                    <w14:schemeClr w14:val="tx1"/>
                  </w14:solidFill>
                </w14:textFill>
              </w:rPr>
            </w:pPr>
            <w:r>
              <w:rPr>
                <w:rFonts w:hint="eastAsia" w:cs="Times New Roman" w:eastAsiaTheme="minorEastAsia"/>
                <w:color w:val="000000" w:themeColor="text1"/>
                <w:kern w:val="21"/>
                <w:szCs w:val="21"/>
                <w:highlight w:val="none"/>
                <w:lang w:val="en-US" w:eastAsia="zh-CN"/>
                <w14:textFill>
                  <w14:solidFill>
                    <w14:schemeClr w14:val="tx1"/>
                  </w14:solidFill>
                </w14:textFill>
              </w:rPr>
              <w:t>33.5</w:t>
            </w:r>
          </w:p>
        </w:tc>
      </w:tr>
      <w:tr w14:paraId="544C1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146FF45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环保投资占比（%）</w:t>
            </w:r>
          </w:p>
        </w:tc>
        <w:tc>
          <w:tcPr>
            <w:tcW w:w="1179" w:type="pct"/>
            <w:vAlign w:val="center"/>
          </w:tcPr>
          <w:p w14:paraId="37694C6A">
            <w:pPr>
              <w:pStyle w:val="83"/>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21"/>
                <w:highlight w:val="none"/>
                <w:lang w:val="en-US" w:eastAsia="zh-CN"/>
                <w14:textFill>
                  <w14:solidFill>
                    <w14:schemeClr w14:val="tx1"/>
                  </w14:solidFill>
                </w14:textFill>
              </w:rPr>
            </w:pPr>
            <w:r>
              <w:rPr>
                <w:rFonts w:hint="eastAsia" w:cs="Times New Roman" w:eastAsiaTheme="minorEastAsia"/>
                <w:color w:val="000000" w:themeColor="text1"/>
                <w:kern w:val="21"/>
                <w:highlight w:val="none"/>
                <w:lang w:val="en-US" w:eastAsia="zh-CN"/>
                <w14:textFill>
                  <w14:solidFill>
                    <w14:schemeClr w14:val="tx1"/>
                  </w14:solidFill>
                </w14:textFill>
              </w:rPr>
              <w:t>3.9</w:t>
            </w:r>
          </w:p>
        </w:tc>
        <w:tc>
          <w:tcPr>
            <w:tcW w:w="1182" w:type="pct"/>
            <w:tcMar>
              <w:top w:w="16" w:type="dxa"/>
              <w:left w:w="16" w:type="dxa"/>
              <w:right w:w="16" w:type="dxa"/>
            </w:tcMar>
            <w:vAlign w:val="center"/>
          </w:tcPr>
          <w:p w14:paraId="27588D2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施工工期</w:t>
            </w:r>
          </w:p>
        </w:tc>
        <w:tc>
          <w:tcPr>
            <w:tcW w:w="1743" w:type="pct"/>
            <w:vAlign w:val="center"/>
          </w:tcPr>
          <w:p w14:paraId="17E736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cs="Times New Roman"/>
                <w:color w:val="000000" w:themeColor="text1"/>
                <w:kern w:val="21"/>
                <w:szCs w:val="21"/>
                <w:highlight w:val="none"/>
                <w:lang w:val="en-US" w:eastAsia="zh-CN"/>
                <w14:textFill>
                  <w14:solidFill>
                    <w14:schemeClr w14:val="tx1"/>
                  </w14:solidFill>
                </w14:textFill>
              </w:rPr>
              <w:t>2025年3月-2025年4月</w:t>
            </w:r>
          </w:p>
        </w:tc>
      </w:tr>
      <w:tr w14:paraId="62CA1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95" w:type="pct"/>
            <w:tcMar>
              <w:top w:w="16" w:type="dxa"/>
              <w:left w:w="16" w:type="dxa"/>
              <w:right w:w="16" w:type="dxa"/>
            </w:tcMar>
            <w:vAlign w:val="center"/>
          </w:tcPr>
          <w:p w14:paraId="7763FE5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是否开工建设</w:t>
            </w:r>
          </w:p>
        </w:tc>
        <w:tc>
          <w:tcPr>
            <w:tcW w:w="1179" w:type="pct"/>
            <w:vAlign w:val="center"/>
          </w:tcPr>
          <w:p w14:paraId="2D8BC91C">
            <w:pPr>
              <w:keepNext w:val="0"/>
              <w:keepLines w:val="0"/>
              <w:suppressLineNumbers w:val="0"/>
              <w:spacing w:before="0" w:beforeAutospacing="0" w:after="0" w:afterAutospacing="0"/>
              <w:ind w:left="0" w:right="0" w:firstLine="105"/>
              <w:jc w:val="left"/>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52"/>
            </w:r>
            <w:r>
              <w:rPr>
                <w:rFonts w:hint="default" w:ascii="Times New Roman" w:hAnsi="Times New Roman" w:cs="Times New Roman"/>
                <w:color w:val="000000" w:themeColor="text1"/>
                <w:kern w:val="21"/>
                <w:szCs w:val="21"/>
                <w:highlight w:val="none"/>
                <w14:textFill>
                  <w14:solidFill>
                    <w14:schemeClr w14:val="tx1"/>
                  </w14:solidFill>
                </w14:textFill>
              </w:rPr>
              <w:t>否</w:t>
            </w:r>
          </w:p>
          <w:p w14:paraId="4CADEBA8">
            <w:pPr>
              <w:keepNext w:val="0"/>
              <w:keepLines w:val="0"/>
              <w:suppressLineNumbers w:val="0"/>
              <w:spacing w:before="0" w:beforeAutospacing="0" w:after="0" w:afterAutospacing="0"/>
              <w:ind w:left="0" w:right="0" w:firstLine="92"/>
              <w:jc w:val="left"/>
              <w:rPr>
                <w:rFonts w:hint="default" w:ascii="Times New Roman" w:hAnsi="Times New Roman" w:eastAsia="宋体" w:cs="Times New Roman"/>
                <w:color w:val="000000" w:themeColor="text1"/>
                <w:kern w:val="21"/>
                <w:szCs w:val="21"/>
                <w:highlight w:val="none"/>
                <w:u w:val="single"/>
                <w:lang w:val="en-US" w:eastAsia="zh-CN"/>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sym w:font="Wingdings 2" w:char="00A3"/>
            </w:r>
            <w:r>
              <w:rPr>
                <w:rFonts w:hint="default" w:ascii="Times New Roman" w:hAnsi="Times New Roman" w:cs="Times New Roman"/>
                <w:color w:val="000000" w:themeColor="text1"/>
                <w:kern w:val="21"/>
                <w:szCs w:val="21"/>
                <w:highlight w:val="none"/>
                <w14:textFill>
                  <w14:solidFill>
                    <w14:schemeClr w14:val="tx1"/>
                  </w14:solidFill>
                </w14:textFill>
              </w:rPr>
              <w:t>是：</w:t>
            </w:r>
            <w:r>
              <w:rPr>
                <w:rFonts w:hint="eastAsia" w:cs="Times New Roman"/>
                <w:color w:val="000000" w:themeColor="text1"/>
                <w:kern w:val="21"/>
                <w:szCs w:val="21"/>
                <w:highlight w:val="none"/>
                <w:u w:val="single"/>
                <w:lang w:val="en-US" w:eastAsia="zh-CN"/>
                <w14:textFill>
                  <w14:solidFill>
                    <w14:schemeClr w14:val="tx1"/>
                  </w14:solidFill>
                </w14:textFill>
              </w:rPr>
              <w:t xml:space="preserve">          </w:t>
            </w:r>
          </w:p>
        </w:tc>
        <w:tc>
          <w:tcPr>
            <w:tcW w:w="1182" w:type="pct"/>
            <w:vAlign w:val="center"/>
          </w:tcPr>
          <w:p w14:paraId="5F2CE106">
            <w:pPr>
              <w:keepNext w:val="0"/>
              <w:keepLines w:val="0"/>
              <w:suppressLineNumbers w:val="0"/>
              <w:spacing w:before="0" w:beforeAutospacing="0" w:after="0" w:afterAutospacing="0"/>
              <w:ind w:left="0" w:right="0" w:firstLine="92"/>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用地（用海）面积（m</w:t>
            </w:r>
            <w:r>
              <w:rPr>
                <w:rFonts w:hint="default" w:ascii="Times New Roman" w:hAnsi="Times New Roman" w:cs="Times New Roman"/>
                <w:color w:val="000000" w:themeColor="text1"/>
                <w:kern w:val="21"/>
                <w:szCs w:val="21"/>
                <w:highlight w:val="none"/>
                <w:vertAlign w:val="superscript"/>
                <w14:textFill>
                  <w14:solidFill>
                    <w14:schemeClr w14:val="tx1"/>
                  </w14:solidFill>
                </w14:textFill>
              </w:rPr>
              <w:t>2</w:t>
            </w:r>
            <w:r>
              <w:rPr>
                <w:rFonts w:hint="default" w:ascii="Times New Roman" w:hAnsi="Times New Roman" w:cs="Times New Roman"/>
                <w:color w:val="000000" w:themeColor="text1"/>
                <w:kern w:val="21"/>
                <w:szCs w:val="21"/>
                <w:highlight w:val="none"/>
                <w14:textFill>
                  <w14:solidFill>
                    <w14:schemeClr w14:val="tx1"/>
                  </w14:solidFill>
                </w14:textFill>
              </w:rPr>
              <w:t>）</w:t>
            </w:r>
          </w:p>
        </w:tc>
        <w:tc>
          <w:tcPr>
            <w:tcW w:w="1743" w:type="pct"/>
            <w:vAlign w:val="center"/>
          </w:tcPr>
          <w:p w14:paraId="575C2DF2">
            <w:pPr>
              <w:pStyle w:val="5"/>
              <w:keepLines w:val="0"/>
              <w:suppressLineNumbers w:val="0"/>
              <w:spacing w:beforeAutospacing="0" w:afterAutospacing="0" w:line="240" w:lineRule="auto"/>
              <w:ind w:right="0"/>
              <w:jc w:val="center"/>
              <w:rPr>
                <w:rFonts w:hint="default"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eastAsia" w:eastAsia="宋体" w:cs="Times New Roman"/>
                <w:b w:val="0"/>
                <w:bCs w:val="0"/>
                <w:color w:val="000000" w:themeColor="text1"/>
                <w:kern w:val="21"/>
                <w:sz w:val="21"/>
                <w:szCs w:val="21"/>
                <w:highlight w:val="none"/>
                <w:lang w:val="en-US" w:eastAsia="zh-CN"/>
                <w14:textFill>
                  <w14:solidFill>
                    <w14:schemeClr w14:val="tx1"/>
                  </w14:solidFill>
                </w14:textFill>
              </w:rPr>
              <w:t>78695</w:t>
            </w:r>
          </w:p>
        </w:tc>
      </w:tr>
      <w:tr w14:paraId="01558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3FD1873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专项评价设置情况</w:t>
            </w:r>
          </w:p>
        </w:tc>
        <w:tc>
          <w:tcPr>
            <w:tcW w:w="4104" w:type="pct"/>
            <w:gridSpan w:val="3"/>
            <w:tcMar>
              <w:top w:w="16" w:type="dxa"/>
              <w:left w:w="16" w:type="dxa"/>
              <w:right w:w="16" w:type="dxa"/>
            </w:tcMar>
            <w:vAlign w:val="center"/>
          </w:tcPr>
          <w:p w14:paraId="4F1D692F">
            <w:pPr>
              <w:keepNext w:val="0"/>
              <w:keepLines w:val="0"/>
              <w:suppressLineNumbers w:val="0"/>
              <w:snapToGrid w:val="0"/>
              <w:spacing w:before="0" w:beforeAutospacing="0" w:after="0" w:afterAutospacing="0" w:line="360" w:lineRule="auto"/>
              <w:ind w:left="0" w:right="0" w:firstLine="420" w:firstLineChars="200"/>
              <w:rPr>
                <w:rFonts w:hint="default"/>
                <w:color w:val="000000" w:themeColor="text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根据《建设项目环境影响报告表</w:t>
            </w:r>
            <w:r>
              <w:rPr>
                <w:rFonts w:hint="eastAsia"/>
                <w:color w:val="000000" w:themeColor="text1"/>
                <w:szCs w:val="21"/>
                <w:highlight w:val="none"/>
                <w14:textFill>
                  <w14:solidFill>
                    <w14:schemeClr w14:val="tx1"/>
                  </w14:solidFill>
                </w14:textFill>
              </w:rPr>
              <w:t>编制</w:t>
            </w:r>
            <w:r>
              <w:rPr>
                <w:rFonts w:hint="default"/>
                <w:color w:val="000000" w:themeColor="text1"/>
                <w:szCs w:val="21"/>
                <w:highlight w:val="none"/>
                <w14:textFill>
                  <w14:solidFill>
                    <w14:schemeClr w14:val="tx1"/>
                  </w14:solidFill>
                </w14:textFill>
              </w:rPr>
              <w:t>技术指南（污染影响类）》可知，土壤、声环境</w:t>
            </w:r>
            <w:r>
              <w:rPr>
                <w:rFonts w:hint="eastAsia"/>
                <w:color w:val="000000" w:themeColor="text1"/>
                <w:szCs w:val="21"/>
                <w:highlight w:val="none"/>
                <w:lang w:val="en-US" w:eastAsia="zh-CN"/>
                <w14:textFill>
                  <w14:solidFill>
                    <w14:schemeClr w14:val="tx1"/>
                  </w14:solidFill>
                </w14:textFill>
              </w:rPr>
              <w:t>及</w:t>
            </w:r>
            <w:r>
              <w:rPr>
                <w:rFonts w:hint="default"/>
                <w:color w:val="000000" w:themeColor="text1"/>
                <w:szCs w:val="21"/>
                <w:highlight w:val="none"/>
                <w14:textFill>
                  <w14:solidFill>
                    <w14:schemeClr w14:val="tx1"/>
                  </w14:solidFill>
                </w14:textFill>
              </w:rPr>
              <w:t>地下水不开展专项评价，本项目大气、地表水、环境风险、生态和海洋专项评价设置情况详见</w:t>
            </w:r>
            <w:r>
              <w:rPr>
                <w:rFonts w:hint="eastAsia"/>
                <w:color w:val="000000" w:themeColor="text1"/>
                <w:szCs w:val="21"/>
                <w:highlight w:val="none"/>
                <w14:textFill>
                  <w14:solidFill>
                    <w14:schemeClr w14:val="tx1"/>
                  </w14:solidFill>
                </w14:textFill>
              </w:rPr>
              <w:t>下</w:t>
            </w:r>
            <w:r>
              <w:rPr>
                <w:rFonts w:hint="default"/>
                <w:color w:val="000000" w:themeColor="text1"/>
                <w:szCs w:val="21"/>
                <w:highlight w:val="none"/>
                <w14:textFill>
                  <w14:solidFill>
                    <w14:schemeClr w14:val="tx1"/>
                  </w14:solidFill>
                </w14:textFill>
              </w:rPr>
              <w:t>表1-1。</w:t>
            </w:r>
          </w:p>
          <w:p w14:paraId="008E5ABC">
            <w:pPr>
              <w:keepNext w:val="0"/>
              <w:keepLines w:val="0"/>
              <w:suppressLineNumbers w:val="0"/>
              <w:snapToGrid w:val="0"/>
              <w:spacing w:before="0" w:beforeAutospacing="0" w:after="0" w:afterAutospacing="0"/>
              <w:ind w:left="0" w:right="0"/>
              <w:jc w:val="center"/>
              <w:rPr>
                <w:rFonts w:hint="default"/>
                <w:b/>
                <w:color w:val="000000" w:themeColor="text1"/>
                <w:kern w:val="0"/>
                <w:sz w:val="21"/>
                <w:szCs w:val="21"/>
                <w:highlight w:val="none"/>
                <w14:textFill>
                  <w14:solidFill>
                    <w14:schemeClr w14:val="tx1"/>
                  </w14:solidFill>
                </w14:textFill>
              </w:rPr>
            </w:pPr>
            <w:r>
              <w:rPr>
                <w:rFonts w:hint="eastAsia"/>
                <w:b/>
                <w:color w:val="000000" w:themeColor="text1"/>
                <w:kern w:val="0"/>
                <w:sz w:val="21"/>
                <w:szCs w:val="21"/>
                <w:highlight w:val="none"/>
                <w14:textFill>
                  <w14:solidFill>
                    <w14:schemeClr w14:val="tx1"/>
                  </w14:solidFill>
                </w14:textFill>
              </w:rPr>
              <w:t>表1-1本项目专项评价设置情况</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4045"/>
            </w:tblGrid>
            <w:tr w14:paraId="23CB8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563FF1A9">
                  <w:pPr>
                    <w:pStyle w:val="26"/>
                    <w:keepNext w:val="0"/>
                    <w:keepLines w:val="0"/>
                    <w:suppressLineNumbers w:val="0"/>
                    <w:spacing w:before="0" w:beforeAutospacing="0" w:after="0" w:afterAutospacing="0"/>
                    <w:ind w:left="0" w:leftChars="0" w:right="0"/>
                    <w:jc w:val="center"/>
                    <w:rPr>
                      <w:rFonts w:hint="default" w:ascii="Times New Roman" w:hAnsi="Times New Roman"/>
                      <w:color w:val="000000" w:themeColor="text1"/>
                      <w:sz w:val="18"/>
                      <w:szCs w:val="18"/>
                      <w:highlight w:val="none"/>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设置原则</w:t>
                  </w:r>
                </w:p>
              </w:tc>
              <w:tc>
                <w:tcPr>
                  <w:tcW w:w="2727" w:type="pct"/>
                  <w:noWrap w:val="0"/>
                  <w:vAlign w:val="center"/>
                </w:tcPr>
                <w:p w14:paraId="46CB8BFB">
                  <w:pPr>
                    <w:pStyle w:val="26"/>
                    <w:keepNext w:val="0"/>
                    <w:keepLines w:val="0"/>
                    <w:suppressLineNumbers w:val="0"/>
                    <w:spacing w:before="0" w:beforeAutospacing="0" w:after="0" w:afterAutospacing="0"/>
                    <w:ind w:left="0" w:leftChars="0" w:right="0"/>
                    <w:jc w:val="center"/>
                    <w:rPr>
                      <w:rFonts w:hint="default" w:ascii="Times New Roman" w:hAnsi="Times New Roman"/>
                      <w:color w:val="000000" w:themeColor="text1"/>
                      <w:sz w:val="18"/>
                      <w:szCs w:val="18"/>
                      <w:highlight w:val="none"/>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本项目设置情况</w:t>
                  </w:r>
                </w:p>
              </w:tc>
            </w:tr>
            <w:tr w14:paraId="370D77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272C1D6">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排放废气含有毒有害污染物、二噁英、苯并[</w:t>
                  </w:r>
                  <w:r>
                    <w:rPr>
                      <w:rFonts w:hint="default" w:ascii="Times New Roman" w:hAnsi="Times New Roman"/>
                      <w:i/>
                      <w:color w:val="000000" w:themeColor="text1"/>
                      <w:sz w:val="18"/>
                      <w:szCs w:val="18"/>
                      <w:highlight w:val="none"/>
                      <w14:textFill>
                        <w14:solidFill>
                          <w14:schemeClr w14:val="tx1"/>
                        </w14:solidFill>
                      </w14:textFill>
                    </w:rPr>
                    <w:t>a</w:t>
                  </w:r>
                  <w:r>
                    <w:rPr>
                      <w:rFonts w:hint="default" w:ascii="Times New Roman" w:hAnsi="Times New Roman"/>
                      <w:color w:val="000000" w:themeColor="text1"/>
                      <w:sz w:val="18"/>
                      <w:szCs w:val="18"/>
                      <w:highlight w:val="none"/>
                      <w14:textFill>
                        <w14:solidFill>
                          <w14:schemeClr w14:val="tx1"/>
                        </w14:solidFill>
                      </w14:textFill>
                    </w:rPr>
                    <w:t>]芘、氰化物、氯气且厂界外500米</w:t>
                  </w:r>
                  <w:r>
                    <w:rPr>
                      <w:rFonts w:hint="eastAsia" w:ascii="Times New Roman" w:hAnsi="Times New Roman"/>
                      <w:color w:val="000000" w:themeColor="text1"/>
                      <w:sz w:val="18"/>
                      <w:szCs w:val="18"/>
                      <w:highlight w:val="none"/>
                      <w14:textFill>
                        <w14:solidFill>
                          <w14:schemeClr w14:val="tx1"/>
                        </w14:solidFill>
                      </w14:textFill>
                    </w:rPr>
                    <w:t>范</w:t>
                  </w:r>
                  <w:r>
                    <w:rPr>
                      <w:rFonts w:hint="default" w:ascii="Times New Roman" w:hAnsi="Times New Roman"/>
                      <w:color w:val="000000" w:themeColor="text1"/>
                      <w:sz w:val="18"/>
                      <w:szCs w:val="18"/>
                      <w:highlight w:val="none"/>
                      <w14:textFill>
                        <w14:solidFill>
                          <w14:schemeClr w14:val="tx1"/>
                        </w14:solidFill>
                      </w14:textFill>
                    </w:rPr>
                    <w:t>围内有环境空气保护目标的建设项</w:t>
                  </w:r>
                  <w:r>
                    <w:rPr>
                      <w:rFonts w:hint="eastAsia" w:ascii="Times New Roman" w:hAnsi="Times New Roman"/>
                      <w:color w:val="000000" w:themeColor="text1"/>
                      <w:sz w:val="18"/>
                      <w:szCs w:val="18"/>
                      <w:highlight w:val="none"/>
                      <w14:textFill>
                        <w14:solidFill>
                          <w14:schemeClr w14:val="tx1"/>
                        </w14:solidFill>
                      </w14:textFill>
                    </w:rPr>
                    <w:t>目</w:t>
                  </w:r>
                </w:p>
              </w:tc>
              <w:tc>
                <w:tcPr>
                  <w:tcW w:w="2727" w:type="pct"/>
                  <w:noWrap w:val="0"/>
                  <w:vAlign w:val="center"/>
                </w:tcPr>
                <w:p w14:paraId="0A4C2E60">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本项目排放废气中不含有毒有害污染物、</w:t>
                  </w:r>
                  <w:r>
                    <w:rPr>
                      <w:rFonts w:hint="default" w:ascii="Times New Roman" w:hAnsi="Times New Roman"/>
                      <w:color w:val="000000" w:themeColor="text1"/>
                      <w:sz w:val="18"/>
                      <w:szCs w:val="18"/>
                      <w:highlight w:val="none"/>
                      <w14:textFill>
                        <w14:solidFill>
                          <w14:schemeClr w14:val="tx1"/>
                        </w14:solidFill>
                      </w14:textFill>
                    </w:rPr>
                    <w:t>二噁英、苯并[</w:t>
                  </w:r>
                  <w:r>
                    <w:rPr>
                      <w:rFonts w:hint="default" w:ascii="Times New Roman" w:hAnsi="Times New Roman"/>
                      <w:i/>
                      <w:color w:val="000000" w:themeColor="text1"/>
                      <w:sz w:val="18"/>
                      <w:szCs w:val="18"/>
                      <w:highlight w:val="none"/>
                      <w14:textFill>
                        <w14:solidFill>
                          <w14:schemeClr w14:val="tx1"/>
                        </w14:solidFill>
                      </w14:textFill>
                    </w:rPr>
                    <w:t>a</w:t>
                  </w:r>
                  <w:r>
                    <w:rPr>
                      <w:rFonts w:hint="default" w:ascii="Times New Roman" w:hAnsi="Times New Roman"/>
                      <w:color w:val="000000" w:themeColor="text1"/>
                      <w:sz w:val="18"/>
                      <w:szCs w:val="18"/>
                      <w:highlight w:val="none"/>
                      <w14:textFill>
                        <w14:solidFill>
                          <w14:schemeClr w14:val="tx1"/>
                        </w14:solidFill>
                      </w14:textFill>
                    </w:rPr>
                    <w:t>]芘、氰化物、氯气</w:t>
                  </w:r>
                  <w:r>
                    <w:rPr>
                      <w:rFonts w:hint="eastAsia" w:ascii="Times New Roman" w:hAnsi="Times New Roman"/>
                      <w:color w:val="000000" w:themeColor="text1"/>
                      <w:sz w:val="18"/>
                      <w:szCs w:val="18"/>
                      <w:highlight w:val="none"/>
                      <w14:textFill>
                        <w14:solidFill>
                          <w14:schemeClr w14:val="tx1"/>
                        </w14:solidFill>
                      </w14:textFill>
                    </w:rPr>
                    <w:t>，不需设置大气专项评价。</w:t>
                  </w:r>
                </w:p>
              </w:tc>
            </w:tr>
            <w:tr w14:paraId="693485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451D70B">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新增工业废水直排建设项目（槽罐车外送污水处理厂的除外）；新增废水直排的污水集中处理厂</w:t>
                  </w:r>
                </w:p>
              </w:tc>
              <w:tc>
                <w:tcPr>
                  <w:tcW w:w="2727" w:type="pct"/>
                  <w:noWrap w:val="0"/>
                  <w:vAlign w:val="center"/>
                </w:tcPr>
                <w:p w14:paraId="202F44AE">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本项目不属于新增工业废水直排建设项目，也不属于新增废水直排的污水集中处理厂，不需设置地表水专项评价。</w:t>
                  </w:r>
                </w:p>
              </w:tc>
            </w:tr>
            <w:tr w14:paraId="3E547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269F141C">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有毒有害和易燃易爆危险物质存储量超过临界量的建设项目</w:t>
                  </w:r>
                </w:p>
              </w:tc>
              <w:tc>
                <w:tcPr>
                  <w:tcW w:w="2727" w:type="pct"/>
                  <w:noWrap w:val="0"/>
                  <w:vAlign w:val="center"/>
                </w:tcPr>
                <w:p w14:paraId="5D29897C">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本项目涉及危险物质存储量未超过临界量</w:t>
                  </w:r>
                  <w:r>
                    <w:rPr>
                      <w:rFonts w:hint="default" w:ascii="Times New Roman" w:hAnsi="Times New Roman"/>
                      <w:color w:val="000000" w:themeColor="text1"/>
                      <w:sz w:val="18"/>
                      <w:szCs w:val="18"/>
                      <w:highlight w:val="none"/>
                      <w:lang w:val="en-US" w:eastAsia="zh-CN"/>
                      <w14:textFill>
                        <w14:solidFill>
                          <w14:schemeClr w14:val="tx1"/>
                        </w14:solidFill>
                      </w14:textFill>
                    </w:rPr>
                    <w:t>，因此无需开展环境风险专项评价</w:t>
                  </w:r>
                  <w:r>
                    <w:rPr>
                      <w:rFonts w:hint="eastAsia" w:ascii="Times New Roman" w:hAnsi="Times New Roman"/>
                      <w:color w:val="000000" w:themeColor="text1"/>
                      <w:sz w:val="18"/>
                      <w:szCs w:val="18"/>
                      <w:highlight w:val="none"/>
                      <w:lang w:val="en-US" w:eastAsia="zh-CN"/>
                      <w14:textFill>
                        <w14:solidFill>
                          <w14:schemeClr w14:val="tx1"/>
                        </w14:solidFill>
                      </w14:textFill>
                    </w:rPr>
                    <w:t>。</w:t>
                  </w:r>
                </w:p>
              </w:tc>
            </w:tr>
            <w:tr w14:paraId="7EA53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23E5215B">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取水口下游500米范围内有重要水生生物的自然产卵场、索饵场、越冬场和洄游通道的新增河道取水的污染类建设项目</w:t>
                  </w:r>
                </w:p>
              </w:tc>
              <w:tc>
                <w:tcPr>
                  <w:tcW w:w="2727" w:type="pct"/>
                  <w:noWrap w:val="0"/>
                  <w:vAlign w:val="center"/>
                </w:tcPr>
                <w:p w14:paraId="58BC765B">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default" w:ascii="Times New Roman" w:hAnsi="Times New Roman"/>
                      <w:color w:val="000000" w:themeColor="text1"/>
                      <w:sz w:val="18"/>
                      <w:szCs w:val="18"/>
                      <w:highlight w:val="none"/>
                      <w14:textFill>
                        <w14:solidFill>
                          <w14:schemeClr w14:val="tx1"/>
                        </w14:solidFill>
                      </w14:textFill>
                    </w:rPr>
                    <w:t>本项目供水</w:t>
                  </w:r>
                  <w:r>
                    <w:rPr>
                      <w:rFonts w:hint="eastAsia" w:ascii="Times New Roman" w:hAnsi="Times New Roman"/>
                      <w:color w:val="000000" w:themeColor="text1"/>
                      <w:sz w:val="18"/>
                      <w:szCs w:val="18"/>
                      <w:highlight w:val="none"/>
                      <w:lang w:val="en-US" w:eastAsia="zh-CN"/>
                      <w14:textFill>
                        <w14:solidFill>
                          <w14:schemeClr w14:val="tx1"/>
                        </w14:solidFill>
                      </w14:textFill>
                    </w:rPr>
                    <w:t>由市政管网提供，不属于</w:t>
                  </w:r>
                  <w:r>
                    <w:rPr>
                      <w:rFonts w:hint="eastAsia" w:ascii="Times New Roman" w:hAnsi="Times New Roman"/>
                      <w:color w:val="000000" w:themeColor="text1"/>
                      <w:sz w:val="18"/>
                      <w:szCs w:val="18"/>
                      <w:highlight w:val="none"/>
                      <w14:textFill>
                        <w14:solidFill>
                          <w14:schemeClr w14:val="tx1"/>
                        </w14:solidFill>
                      </w14:textFill>
                    </w:rPr>
                    <w:t>取水口下游500米范围内有重要水生生物的自然产卵场、索饵场、越冬场和洄游通道的新增河道取水的污染类建设项目</w:t>
                  </w:r>
                  <w:r>
                    <w:rPr>
                      <w:rFonts w:hint="default" w:ascii="Times New Roman" w:hAnsi="Times New Roman"/>
                      <w:color w:val="000000" w:themeColor="text1"/>
                      <w:sz w:val="18"/>
                      <w:szCs w:val="18"/>
                      <w:highlight w:val="none"/>
                      <w14:textFill>
                        <w14:solidFill>
                          <w14:schemeClr w14:val="tx1"/>
                        </w14:solidFill>
                      </w14:textFill>
                    </w:rPr>
                    <w:t>，不需设置生态专项评价。</w:t>
                  </w:r>
                </w:p>
              </w:tc>
            </w:tr>
            <w:tr w14:paraId="14DC4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2" w:type="pct"/>
                  <w:noWrap w:val="0"/>
                  <w:vAlign w:val="center"/>
                </w:tcPr>
                <w:p w14:paraId="444CB8B5">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直接向海排放污染物的海洋工程建设项目</w:t>
                  </w:r>
                </w:p>
              </w:tc>
              <w:tc>
                <w:tcPr>
                  <w:tcW w:w="2727" w:type="pct"/>
                  <w:noWrap w:val="0"/>
                  <w:vAlign w:val="center"/>
                </w:tcPr>
                <w:p w14:paraId="143BAD82">
                  <w:pPr>
                    <w:pStyle w:val="26"/>
                    <w:keepNext w:val="0"/>
                    <w:keepLines w:val="0"/>
                    <w:suppressLineNumbers w:val="0"/>
                    <w:spacing w:before="0" w:beforeAutospacing="0" w:after="0" w:afterAutospacing="0"/>
                    <w:ind w:left="0" w:leftChars="0" w:right="0"/>
                    <w:jc w:val="both"/>
                    <w:rPr>
                      <w:rFonts w:hint="default" w:ascii="Times New Roman" w:hAnsi="Times New Roman"/>
                      <w:color w:val="000000" w:themeColor="text1"/>
                      <w:sz w:val="18"/>
                      <w:szCs w:val="18"/>
                      <w:highlight w:val="none"/>
                      <w14:textFill>
                        <w14:solidFill>
                          <w14:schemeClr w14:val="tx1"/>
                        </w14:solidFill>
                      </w14:textFill>
                    </w:rPr>
                  </w:pPr>
                  <w:r>
                    <w:rPr>
                      <w:rFonts w:hint="eastAsia" w:ascii="Times New Roman" w:hAnsi="Times New Roman"/>
                      <w:color w:val="000000" w:themeColor="text1"/>
                      <w:sz w:val="18"/>
                      <w:szCs w:val="18"/>
                      <w:highlight w:val="none"/>
                      <w14:textFill>
                        <w14:solidFill>
                          <w14:schemeClr w14:val="tx1"/>
                        </w14:solidFill>
                      </w14:textFill>
                    </w:rPr>
                    <w:t>本项目不属于海洋工程，不需设置海洋专项评价。</w:t>
                  </w:r>
                </w:p>
              </w:tc>
            </w:tr>
          </w:tbl>
          <w:p w14:paraId="36D4F70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1"/>
                <w:szCs w:val="21"/>
                <w:highlight w:val="none"/>
                <w:lang w:val="en-US" w:eastAsia="zh-CN"/>
                <w14:textFill>
                  <w14:solidFill>
                    <w14:schemeClr w14:val="tx1"/>
                  </w14:solidFill>
                </w14:textFill>
              </w:rPr>
            </w:pPr>
            <w:r>
              <w:rPr>
                <w:rFonts w:hint="default"/>
                <w:color w:val="000000" w:themeColor="text1"/>
                <w:szCs w:val="21"/>
                <w:highlight w:val="none"/>
                <w14:textFill>
                  <w14:solidFill>
                    <w14:schemeClr w14:val="tx1"/>
                  </w14:solidFill>
                </w14:textFill>
              </w:rPr>
              <w:t>综上所述，本项目无需开展专项评价工作。</w:t>
            </w:r>
          </w:p>
        </w:tc>
      </w:tr>
      <w:tr w14:paraId="18E91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7FF1C692">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规划情况</w:t>
            </w:r>
          </w:p>
        </w:tc>
        <w:tc>
          <w:tcPr>
            <w:tcW w:w="4104" w:type="pct"/>
            <w:gridSpan w:val="3"/>
            <w:tcMar>
              <w:top w:w="16" w:type="dxa"/>
              <w:left w:w="16" w:type="dxa"/>
              <w:right w:w="16" w:type="dxa"/>
            </w:tcMar>
            <w:vAlign w:val="center"/>
          </w:tcPr>
          <w:p w14:paraId="7F2A4743">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21"/>
                <w:szCs w:val="21"/>
                <w:highlight w:val="none"/>
                <w:lang w:val="en-US" w:eastAsia="zh-CN" w:bidi="ar-SA"/>
                <w14:textFill>
                  <w14:solidFill>
                    <w14:schemeClr w14:val="tx1"/>
                  </w14:solidFill>
                </w14:textFill>
              </w:rPr>
              <w:t>无</w:t>
            </w:r>
          </w:p>
        </w:tc>
      </w:tr>
      <w:tr w14:paraId="23035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95" w:type="pct"/>
            <w:tcMar>
              <w:top w:w="16" w:type="dxa"/>
              <w:left w:w="16" w:type="dxa"/>
              <w:right w:w="16" w:type="dxa"/>
            </w:tcMar>
            <w:vAlign w:val="center"/>
          </w:tcPr>
          <w:p w14:paraId="24B7EAB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规划环境影响</w:t>
            </w:r>
          </w:p>
          <w:p w14:paraId="0CFC87D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评价情况</w:t>
            </w:r>
          </w:p>
        </w:tc>
        <w:tc>
          <w:tcPr>
            <w:tcW w:w="4104" w:type="pct"/>
            <w:gridSpan w:val="3"/>
            <w:tcMar>
              <w:top w:w="16" w:type="dxa"/>
              <w:left w:w="16" w:type="dxa"/>
              <w:right w:w="16" w:type="dxa"/>
            </w:tcMar>
            <w:vAlign w:val="center"/>
          </w:tcPr>
          <w:p w14:paraId="3E53300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eastAsia"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Regular" w:hAnsi="Times New Roman Regular" w:cs="Times New Roman Regular"/>
                <w:color w:val="000000" w:themeColor="text1"/>
                <w:kern w:val="0"/>
                <w:sz w:val="21"/>
                <w:szCs w:val="21"/>
                <w:highlight w:val="none"/>
                <w:lang w:val="en-US" w:eastAsia="zh-CN" w:bidi="ar-SA"/>
                <w14:textFill>
                  <w14:solidFill>
                    <w14:schemeClr w14:val="tx1"/>
                  </w14:solidFill>
                </w14:textFill>
              </w:rPr>
              <w:t>无</w:t>
            </w:r>
          </w:p>
        </w:tc>
      </w:tr>
      <w:tr w14:paraId="5CA0F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895" w:type="pct"/>
            <w:tcMar>
              <w:top w:w="16" w:type="dxa"/>
              <w:left w:w="16" w:type="dxa"/>
              <w:right w:w="16" w:type="dxa"/>
            </w:tcMar>
            <w:vAlign w:val="center"/>
          </w:tcPr>
          <w:p w14:paraId="105B3E57">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000000" w:themeColor="text1"/>
                <w:kern w:val="21"/>
                <w:sz w:val="21"/>
                <w:szCs w:val="21"/>
                <w:highlight w:val="none"/>
                <w14:textFill>
                  <w14:solidFill>
                    <w14:schemeClr w14:val="tx1"/>
                  </w14:solidFill>
                </w14:textFill>
              </w:rPr>
            </w:pPr>
            <w:r>
              <w:rPr>
                <w:rFonts w:hint="default" w:ascii="Times New Roman" w:hAnsi="Times New Roman" w:cs="Times New Roman"/>
                <w:color w:val="000000" w:themeColor="text1"/>
                <w:kern w:val="21"/>
                <w:sz w:val="21"/>
                <w:szCs w:val="21"/>
                <w:highlight w:val="none"/>
                <w14:textFill>
                  <w14:solidFill>
                    <w14:schemeClr w14:val="tx1"/>
                  </w14:solidFill>
                </w14:textFill>
              </w:rPr>
              <w:t>规划及规划环境影响评价符合性分析</w:t>
            </w:r>
          </w:p>
        </w:tc>
        <w:tc>
          <w:tcPr>
            <w:tcW w:w="4104" w:type="pct"/>
            <w:gridSpan w:val="3"/>
            <w:tcMar>
              <w:top w:w="16" w:type="dxa"/>
              <w:left w:w="16" w:type="dxa"/>
              <w:right w:w="16" w:type="dxa"/>
            </w:tcMar>
            <w:vAlign w:val="center"/>
          </w:tcPr>
          <w:p w14:paraId="72DA37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r w14:paraId="03CF3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74" w:hRule="atLeast"/>
          <w:jc w:val="center"/>
        </w:trPr>
        <w:tc>
          <w:tcPr>
            <w:tcW w:w="895" w:type="pct"/>
            <w:tcMar>
              <w:top w:w="16" w:type="dxa"/>
              <w:left w:w="16" w:type="dxa"/>
              <w:right w:w="16" w:type="dxa"/>
            </w:tcMar>
            <w:vAlign w:val="center"/>
          </w:tcPr>
          <w:p w14:paraId="6C11B6D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bookmarkStart w:id="3" w:name="_Hlk56690880"/>
            <w:r>
              <w:rPr>
                <w:rFonts w:hint="default" w:ascii="Times New Roman" w:hAnsi="Times New Roman" w:cs="Times New Roman"/>
                <w:color w:val="000000" w:themeColor="text1"/>
                <w:kern w:val="21"/>
                <w:szCs w:val="21"/>
                <w:highlight w:val="none"/>
                <w14:textFill>
                  <w14:solidFill>
                    <w14:schemeClr w14:val="tx1"/>
                  </w14:solidFill>
                </w14:textFill>
              </w:rPr>
              <w:t>其他符合性分析</w:t>
            </w:r>
          </w:p>
        </w:tc>
        <w:tc>
          <w:tcPr>
            <w:tcW w:w="4104" w:type="pct"/>
            <w:gridSpan w:val="3"/>
            <w:tcMar>
              <w:top w:w="16" w:type="dxa"/>
              <w:left w:w="16" w:type="dxa"/>
              <w:right w:w="16" w:type="dxa"/>
            </w:tcMar>
            <w:vAlign w:val="center"/>
          </w:tcPr>
          <w:p w14:paraId="5C3D0A04">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default"/>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1、本项目与生态环境分区管控的符合性分析</w:t>
            </w:r>
          </w:p>
          <w:p w14:paraId="7BA6A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lang w:bidi="ar"/>
                <w14:textFill>
                  <w14:solidFill>
                    <w14:schemeClr w14:val="tx1"/>
                  </w14:solidFill>
                </w14:textFill>
              </w:rPr>
              <w:t>本项目位于</w:t>
            </w:r>
            <w:r>
              <w:rPr>
                <w:rFonts w:hint="eastAsia" w:cs="Times New Roman"/>
                <w:color w:val="000000" w:themeColor="text1"/>
                <w:kern w:val="0"/>
                <w:sz w:val="21"/>
                <w:szCs w:val="21"/>
                <w:highlight w:val="none"/>
                <w:lang w:val="en-US" w:eastAsia="zh-CN" w:bidi="ar"/>
                <w14:textFill>
                  <w14:solidFill>
                    <w14:schemeClr w14:val="tx1"/>
                  </w14:solidFill>
                </w14:textFill>
              </w:rPr>
              <w:t>黑龙江省鸡西</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市</w:t>
            </w:r>
            <w:r>
              <w:rPr>
                <w:rFonts w:hint="eastAsia" w:cs="Times New Roman"/>
                <w:color w:val="000000" w:themeColor="text1"/>
                <w:sz w:val="21"/>
                <w:szCs w:val="21"/>
                <w:highlight w:val="none"/>
                <w:lang w:val="en-US" w:eastAsia="zh-CN"/>
                <w14:textFill>
                  <w14:solidFill>
                    <w14:schemeClr w14:val="tx1"/>
                  </w14:solidFill>
                </w14:textFill>
              </w:rPr>
              <w:t>鸡东县鸡东镇银东村</w:t>
            </w:r>
            <w:r>
              <w:rPr>
                <w:rFonts w:hint="default" w:ascii="Times New Roman" w:hAnsi="Times New Roman" w:cs="Times New Roman"/>
                <w:color w:val="000000" w:themeColor="text1"/>
                <w:sz w:val="21"/>
                <w:szCs w:val="21"/>
                <w:highlight w:val="none"/>
                <w14:textFill>
                  <w14:solidFill>
                    <w14:schemeClr w14:val="tx1"/>
                  </w14:solidFill>
                </w14:textFill>
              </w:rPr>
              <w:t>，根据</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《黑龙江省人民政府关于实施</w:t>
            </w:r>
            <w:r>
              <w:rPr>
                <w:rFonts w:hint="eastAsia" w:ascii="宋体" w:hAnsi="宋体" w:eastAsia="宋体" w:cs="宋体"/>
                <w:color w:val="000000" w:themeColor="text1"/>
                <w:kern w:val="0"/>
                <w:sz w:val="21"/>
                <w:szCs w:val="21"/>
                <w:highlight w:val="none"/>
                <w:lang w:bidi="ar"/>
                <w14:textFill>
                  <w14:solidFill>
                    <w14:schemeClr w14:val="tx1"/>
                  </w14:solidFill>
                </w14:textFill>
              </w:rPr>
              <w:t>“三线一单”生</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态环境分区管控的意见》（黑政发〔2020〕14号）、《</w:t>
            </w:r>
            <w:r>
              <w:rPr>
                <w:rFonts w:hint="eastAsia" w:cs="Times New Roman"/>
                <w:color w:val="000000" w:themeColor="text1"/>
                <w:kern w:val="0"/>
                <w:sz w:val="21"/>
                <w:szCs w:val="21"/>
                <w:highlight w:val="none"/>
                <w:lang w:val="en-US" w:eastAsia="zh-CN" w:bidi="ar"/>
                <w14:textFill>
                  <w14:solidFill>
                    <w14:schemeClr w14:val="tx1"/>
                  </w14:solidFill>
                </w14:textFill>
              </w:rPr>
              <w:t>鸡西</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市人民政府关于实施</w:t>
            </w:r>
            <w:r>
              <w:rPr>
                <w:rFonts w:hint="eastAsia" w:ascii="宋体" w:hAnsi="宋体" w:eastAsia="宋体" w:cs="宋体"/>
                <w:color w:val="000000" w:themeColor="text1"/>
                <w:kern w:val="0"/>
                <w:sz w:val="21"/>
                <w:szCs w:val="21"/>
                <w:highlight w:val="none"/>
                <w:lang w:bidi="ar"/>
                <w14:textFill>
                  <w14:solidFill>
                    <w14:schemeClr w14:val="tx1"/>
                  </w14:solidFill>
                </w14:textFill>
              </w:rPr>
              <w:t>“三线一单”</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生态环境分区管控的意见》（</w:t>
            </w:r>
            <w:r>
              <w:rPr>
                <w:rFonts w:hint="eastAsia" w:cs="Times New Roman"/>
                <w:color w:val="000000" w:themeColor="text1"/>
                <w:kern w:val="0"/>
                <w:sz w:val="21"/>
                <w:szCs w:val="21"/>
                <w:highlight w:val="none"/>
                <w:lang w:val="en-US" w:eastAsia="zh-CN" w:bidi="ar"/>
                <w14:textFill>
                  <w14:solidFill>
                    <w14:schemeClr w14:val="tx1"/>
                  </w14:solidFill>
                </w14:textFill>
              </w:rPr>
              <w:t>鸡</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政发〔2021〕</w:t>
            </w:r>
            <w:r>
              <w:rPr>
                <w:rFonts w:hint="eastAsia" w:cs="Times New Roman"/>
                <w:color w:val="000000" w:themeColor="text1"/>
                <w:kern w:val="0"/>
                <w:sz w:val="21"/>
                <w:szCs w:val="21"/>
                <w:highlight w:val="none"/>
                <w:lang w:val="en-US" w:eastAsia="zh-CN" w:bidi="ar"/>
                <w14:textFill>
                  <w14:solidFill>
                    <w14:schemeClr w14:val="tx1"/>
                  </w14:solidFill>
                </w14:textFill>
              </w:rPr>
              <w:t>7</w:t>
            </w:r>
            <w:r>
              <w:rPr>
                <w:rFonts w:hint="default" w:ascii="Times New Roman" w:hAnsi="Times New Roman" w:cs="Times New Roman"/>
                <w:color w:val="000000" w:themeColor="text1"/>
                <w:kern w:val="0"/>
                <w:sz w:val="21"/>
                <w:szCs w:val="21"/>
                <w:highlight w:val="none"/>
                <w:lang w:bidi="ar"/>
                <w14:textFill>
                  <w14:solidFill>
                    <w14:schemeClr w14:val="tx1"/>
                  </w14:solidFill>
                </w14:textFill>
              </w:rPr>
              <w:t>号），项目所在地为重点管控单元</w:t>
            </w:r>
            <w:r>
              <w:rPr>
                <w:rFonts w:hint="default" w:ascii="Times New Roman" w:hAnsi="Times New Roman" w:cs="Times New Roman"/>
                <w:color w:val="000000" w:themeColor="text1"/>
                <w:kern w:val="0"/>
                <w:sz w:val="21"/>
                <w:szCs w:val="21"/>
                <w:highlight w:val="none"/>
                <w14:textFill>
                  <w14:solidFill>
                    <w14:schemeClr w14:val="tx1"/>
                  </w14:solidFill>
                </w14:textFill>
              </w:rPr>
              <w:t>。</w:t>
            </w:r>
          </w:p>
          <w:p w14:paraId="3FF0A6AE">
            <w:pPr>
              <w:pStyle w:val="42"/>
              <w:keepNext w:val="0"/>
              <w:keepLines w:val="0"/>
              <w:suppressLineNumbers w:val="0"/>
              <w:spacing w:before="0" w:beforeAutospacing="0" w:after="0" w:afterAutospacing="0"/>
              <w:ind w:left="0" w:right="0"/>
              <w:jc w:val="center"/>
              <w:rPr>
                <w:rFonts w:hint="default"/>
                <w:highlight w:val="none"/>
              </w:rPr>
            </w:pPr>
            <w:r>
              <w:rPr>
                <w:rFonts w:hint="default"/>
                <w:highlight w:val="none"/>
              </w:rPr>
              <w:drawing>
                <wp:inline distT="0" distB="0" distL="114300" distR="114300">
                  <wp:extent cx="4385310" cy="2244090"/>
                  <wp:effectExtent l="0" t="0" r="15240" b="381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9"/>
                          <a:stretch>
                            <a:fillRect/>
                          </a:stretch>
                        </pic:blipFill>
                        <pic:spPr>
                          <a:xfrm>
                            <a:off x="0" y="0"/>
                            <a:ext cx="4385310" cy="2244090"/>
                          </a:xfrm>
                          <a:prstGeom prst="rect">
                            <a:avLst/>
                          </a:prstGeom>
                          <a:noFill/>
                          <a:ln>
                            <a:noFill/>
                          </a:ln>
                        </pic:spPr>
                      </pic:pic>
                    </a:graphicData>
                  </a:graphic>
                </wp:inline>
              </w:drawing>
            </w:r>
          </w:p>
          <w:p w14:paraId="4DADFA4F">
            <w:pPr>
              <w:pStyle w:val="42"/>
              <w:keepNext w:val="0"/>
              <w:keepLines w:val="0"/>
              <w:suppressLineNumbers w:val="0"/>
              <w:spacing w:before="0" w:beforeAutospacing="0" w:after="0" w:afterAutospacing="0"/>
              <w:ind w:left="0" w:right="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图1-1 本项目与环境管控单元叠加图</w:t>
            </w:r>
          </w:p>
          <w:p w14:paraId="3025449D">
            <w:pPr>
              <w:pStyle w:val="42"/>
              <w:keepNext w:val="0"/>
              <w:keepLines w:val="0"/>
              <w:suppressLineNumbers w:val="0"/>
              <w:spacing w:before="0" w:beforeAutospacing="0" w:after="0" w:afterAutospacing="0"/>
              <w:ind w:left="0" w:right="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表1-2 本项目与生态环境分区管控符合性分析</w:t>
            </w:r>
          </w:p>
          <w:tbl>
            <w:tblPr>
              <w:tblStyle w:val="34"/>
              <w:tblW w:w="7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1950"/>
              <w:gridCol w:w="1905"/>
              <w:gridCol w:w="1635"/>
              <w:gridCol w:w="1546"/>
            </w:tblGrid>
            <w:tr w14:paraId="17DC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AEB69B">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b/>
                      <w:bCs/>
                      <w:highlight w:val="none"/>
                      <w:vertAlign w:val="baseline"/>
                      <w:lang w:val="en-US" w:eastAsia="zh-CN"/>
                    </w:rPr>
                    <w:t>一、生态保护红线</w:t>
                  </w:r>
                </w:p>
              </w:tc>
            </w:tr>
            <w:tr w14:paraId="0F90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20C8400">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ascii="宋体" w:hAnsi="宋体" w:eastAsia="宋体" w:cs="宋体"/>
                      <w:snapToGrid w:val="0"/>
                      <w:color w:val="000000" w:themeColor="text1"/>
                      <w:kern w:val="0"/>
                      <w:sz w:val="18"/>
                      <w:szCs w:val="18"/>
                      <w:highlight w:val="none"/>
                      <w:lang w:val="en-US" w:eastAsia="zh-CN"/>
                      <w14:textFill>
                        <w14:solidFill>
                          <w14:schemeClr w14:val="tx1"/>
                        </w14:solidFill>
                      </w14:textFill>
                    </w:rPr>
                    <w:t xml:space="preserve">  根据《自然资源部办公厅关于辽宁等省（市）启用“三区三线”划定成果作为报批建设项目用地用海依据的函》（自然资办函〔2022〕2341 号），本项目位于黑龙江省鸡西市鸡东县鸡东镇银东村，本项目选址不在生态保护红线内。</w:t>
                  </w:r>
                </w:p>
              </w:tc>
            </w:tr>
            <w:tr w14:paraId="10C8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D3FC7A9">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b/>
                      <w:bCs/>
                      <w:highlight w:val="none"/>
                      <w:vertAlign w:val="baseline"/>
                      <w:lang w:val="en-US" w:eastAsia="zh-CN"/>
                    </w:rPr>
                    <w:t>二、环境质量底线</w:t>
                  </w:r>
                </w:p>
              </w:tc>
            </w:tr>
            <w:tr w14:paraId="1E1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9EB0331">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b/>
                      <w:bCs/>
                      <w:highlight w:val="none"/>
                      <w:vertAlign w:val="baseline"/>
                      <w:lang w:val="en-US" w:eastAsia="zh-CN"/>
                    </w:rPr>
                    <w:t>大气环境</w:t>
                  </w:r>
                </w:p>
              </w:tc>
            </w:tr>
            <w:tr w14:paraId="2D61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25F00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b w:val="0"/>
                      <w:bCs w:val="0"/>
                      <w:sz w:val="18"/>
                      <w:szCs w:val="18"/>
                      <w:highlight w:val="none"/>
                      <w:vertAlign w:val="baseline"/>
                      <w:lang w:val="en-US" w:eastAsia="zh-CN"/>
                    </w:rPr>
                  </w:pPr>
                  <w:r>
                    <w:rPr>
                      <w:rFonts w:hint="default"/>
                      <w:b w:val="0"/>
                      <w:bCs w:val="0"/>
                      <w:color w:val="FF0000"/>
                      <w:sz w:val="18"/>
                      <w:szCs w:val="18"/>
                      <w:highlight w:val="none"/>
                      <w:vertAlign w:val="baseline"/>
                      <w:lang w:val="en-US" w:eastAsia="zh-CN"/>
                    </w:rPr>
                    <w:t>根据《2024年黑龙江省生态环境质量状况》（2025年1月），鸡西市空气质量级别达二级标准，PM2.5、PM10、SO2、NO2、CO-95per、O3-8h-90per年均浓度分别为27μg/m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、46μg/m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、8μg/m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、17μg/m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、1.0μg/m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、和90μg/m</w:t>
                  </w:r>
                  <w:r>
                    <w:rPr>
                      <w:rFonts w:hint="default"/>
                      <w:b w:val="0"/>
                      <w:bCs w:val="0"/>
                      <w:color w:val="FF0000"/>
                      <w:sz w:val="18"/>
                      <w:szCs w:val="18"/>
                      <w:highlight w:val="none"/>
                      <w:vertAlign w:val="superscript"/>
                      <w:lang w:val="en-US" w:eastAsia="zh-CN"/>
                    </w:rPr>
                    <w:t>3</w:t>
                  </w:r>
                  <w:r>
                    <w:rPr>
                      <w:rFonts w:hint="default"/>
                      <w:b w:val="0"/>
                      <w:bCs w:val="0"/>
                      <w:color w:val="FF0000"/>
                      <w:sz w:val="18"/>
                      <w:szCs w:val="18"/>
                      <w:highlight w:val="none"/>
                      <w:vertAlign w:val="baseline"/>
                      <w:lang w:val="en-US" w:eastAsia="zh-CN"/>
                    </w:rPr>
                    <w:t>，均满足《环境空气质量标准》（GB3095-2012）中的二级标准，项目所在区域为达标区。</w:t>
                  </w:r>
                </w:p>
                <w:p w14:paraId="0B45B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default"/>
                      <w:b/>
                      <w:bCs/>
                      <w:highlight w:val="none"/>
                      <w:vertAlign w:val="baseline"/>
                      <w:lang w:val="en-US" w:eastAsia="zh-CN"/>
                    </w:rPr>
                  </w:pPr>
                  <w:r>
                    <w:rPr>
                      <w:rFonts w:hint="default"/>
                      <w:b w:val="0"/>
                      <w:bCs w:val="0"/>
                      <w:sz w:val="18"/>
                      <w:szCs w:val="18"/>
                      <w:highlight w:val="none"/>
                      <w:vertAlign w:val="baseline"/>
                      <w:lang w:val="en-US" w:eastAsia="zh-CN"/>
                    </w:rPr>
                    <w:t>本项目热风炉烟气通过布袋除尘器处理后经15m烟囱（DA001）高空排放（烟囱利旧），SO2排放浓度符合《工业炉窑大气污染物排放标准》（GB9078-1996）中的表4中的二级标准，</w:t>
                  </w:r>
                  <w:r>
                    <w:rPr>
                      <w:rFonts w:hint="eastAsia"/>
                      <w:b w:val="0"/>
                      <w:bCs w:val="0"/>
                      <w:sz w:val="18"/>
                      <w:szCs w:val="18"/>
                      <w:highlight w:val="none"/>
                      <w:vertAlign w:val="baseline"/>
                      <w:lang w:val="en-US" w:eastAsia="zh-CN"/>
                    </w:rPr>
                    <w:t>颗粒物</w:t>
                  </w:r>
                  <w:r>
                    <w:rPr>
                      <w:rFonts w:hint="default"/>
                      <w:b w:val="0"/>
                      <w:bCs w:val="0"/>
                      <w:sz w:val="18"/>
                      <w:szCs w:val="18"/>
                      <w:highlight w:val="none"/>
                      <w:vertAlign w:val="baseline"/>
                      <w:lang w:val="en-US" w:eastAsia="zh-CN"/>
                    </w:rPr>
                    <w:t>排放浓度及烟气黑度符合《工业炉窑大气污染物排放标准》（GB9078-1996）中的表2中的二级标准；原料烘干、运输及筛分过程会有粉尘产生，此部分粉尘以无组织的形式排放。装卸工段采用密闭性良好的设备，全封闭输送机、原粮入仓采取封闭和减小装卸高度等降尘措施，运输过程中采用封闭输送；清粮采用全密闭筛分机，产生的粉尘经设备自带袋式除尘器处理后排放；烘干塔内部自带重力沉降室，烘干塔底部四周设置防尘挡板，粉尘受挡板格挡后受重力作用回落到烘干塔底部收尘设施中。燃料库、</w:t>
                  </w:r>
                  <w:r>
                    <w:rPr>
                      <w:rFonts w:hint="eastAsia"/>
                      <w:b w:val="0"/>
                      <w:bCs w:val="0"/>
                      <w:sz w:val="18"/>
                      <w:szCs w:val="18"/>
                      <w:highlight w:val="none"/>
                      <w:vertAlign w:val="baseline"/>
                      <w:lang w:val="en-US" w:eastAsia="zh-CN"/>
                    </w:rPr>
                    <w:t>热风炉</w:t>
                  </w:r>
                  <w:r>
                    <w:rPr>
                      <w:rFonts w:hint="default"/>
                      <w:b w:val="0"/>
                      <w:bCs w:val="0"/>
                      <w:sz w:val="18"/>
                      <w:szCs w:val="18"/>
                      <w:highlight w:val="none"/>
                      <w:vertAlign w:val="baseline"/>
                      <w:lang w:val="en-US" w:eastAsia="zh-CN"/>
                    </w:rPr>
                    <w:t>房密闭并定期洒水抑尘，减少粉尘扩散。厂界颗粒物排放浓度符合《大气污染物综合排放标准》（GB16297-1996）表2无组织排放浓度限值要求。</w:t>
                  </w:r>
                </w:p>
              </w:tc>
            </w:tr>
            <w:tr w14:paraId="7116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48E549C2">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b/>
                      <w:bCs/>
                      <w:highlight w:val="none"/>
                      <w:vertAlign w:val="baseline"/>
                      <w:lang w:val="en-US" w:eastAsia="zh-CN"/>
                    </w:rPr>
                    <w:t>水环境</w:t>
                  </w:r>
                </w:p>
              </w:tc>
            </w:tr>
            <w:tr w14:paraId="2759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1D7FF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60" w:firstLineChars="200"/>
                    <w:textAlignment w:val="auto"/>
                    <w:rPr>
                      <w:rFonts w:hint="eastAsia"/>
                      <w:b w:val="0"/>
                      <w:bCs w:val="0"/>
                      <w:highlight w:val="none"/>
                      <w:vertAlign w:val="baseline"/>
                      <w:lang w:val="en-US" w:eastAsia="zh-CN"/>
                    </w:rPr>
                  </w:pPr>
                  <w:r>
                    <w:rPr>
                      <w:rFonts w:hint="eastAsia"/>
                      <w:b w:val="0"/>
                      <w:bCs w:val="0"/>
                      <w:sz w:val="18"/>
                      <w:szCs w:val="18"/>
                      <w:highlight w:val="none"/>
                      <w:vertAlign w:val="baseline"/>
                      <w:lang w:val="en-US" w:eastAsia="zh-CN"/>
                    </w:rPr>
                    <w:t>本项目最近水体为穆棱河。根据《全国重要江河湖泊水功能区划（2011-2030）》，本项目位于“穆棱河鸡东县、密山市农业用水”断面，起始断面为鸡古路西100m，终止断面为凯北站，水质标准为Ⅲ类，</w:t>
                  </w:r>
                  <w:r>
                    <w:rPr>
                      <w:rFonts w:hint="eastAsia"/>
                      <w:b w:val="0"/>
                      <w:bCs w:val="0"/>
                      <w:color w:val="FF0000"/>
                      <w:sz w:val="18"/>
                      <w:szCs w:val="18"/>
                      <w:highlight w:val="none"/>
                      <w:vertAlign w:val="baseline"/>
                      <w:lang w:val="en-US" w:eastAsia="zh-CN"/>
                    </w:rPr>
                    <w:t>根据鸡西市人民政府发布的《2025年1月地表水国控考核断面水质信息公开》鸡古路西100m、凯北站断面均达到Ⅲ类水质类别标准。</w:t>
                  </w:r>
                  <w:r>
                    <w:rPr>
                      <w:rFonts w:hint="eastAsia"/>
                      <w:b w:val="0"/>
                      <w:bCs w:val="0"/>
                      <w:sz w:val="18"/>
                      <w:szCs w:val="18"/>
                      <w:highlight w:val="none"/>
                      <w:vertAlign w:val="baseline"/>
                      <w:lang w:val="en-US" w:eastAsia="zh-CN"/>
                    </w:rPr>
                    <w:t>本项目生产过程中无废水产生，项目不新增员工，因此无新增废水。</w:t>
                  </w:r>
                </w:p>
              </w:tc>
            </w:tr>
            <w:tr w14:paraId="5D1C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3EF5864">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bCs/>
                      <w:highlight w:val="none"/>
                      <w:vertAlign w:val="baseline"/>
                      <w:lang w:val="en-US" w:eastAsia="zh-CN"/>
                    </w:rPr>
                    <w:t>声环境</w:t>
                  </w:r>
                </w:p>
              </w:tc>
            </w:tr>
            <w:tr w14:paraId="3E0D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3457CB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360" w:firstLineChars="200"/>
                    <w:textAlignment w:val="auto"/>
                    <w:rPr>
                      <w:rFonts w:hint="eastAsia"/>
                      <w:b w:val="0"/>
                      <w:bCs w:val="0"/>
                      <w:highlight w:val="none"/>
                      <w:vertAlign w:val="baseline"/>
                      <w:lang w:val="en-US" w:eastAsia="zh-CN"/>
                    </w:rPr>
                  </w:pPr>
                  <w:r>
                    <w:rPr>
                      <w:rFonts w:hint="eastAsia" w:cs="Times New Roman"/>
                      <w:color w:val="FF0000"/>
                      <w:sz w:val="18"/>
                      <w:szCs w:val="18"/>
                      <w:highlight w:val="none"/>
                      <w:lang w:val="en-US" w:eastAsia="zh-CN"/>
                    </w:rPr>
                    <w:t>根据《</w:t>
                  </w:r>
                  <w:r>
                    <w:rPr>
                      <w:rFonts w:ascii="Times New Roman" w:hAnsi="Times New Roman"/>
                      <w:color w:val="FF0000"/>
                      <w:sz w:val="18"/>
                      <w:szCs w:val="18"/>
                      <w:highlight w:val="none"/>
                    </w:rPr>
                    <w:t>202</w:t>
                  </w:r>
                  <w:r>
                    <w:rPr>
                      <w:rFonts w:hint="eastAsia"/>
                      <w:color w:val="FF0000"/>
                      <w:sz w:val="18"/>
                      <w:szCs w:val="18"/>
                      <w:highlight w:val="none"/>
                      <w:lang w:val="en-US" w:eastAsia="zh-CN"/>
                    </w:rPr>
                    <w:t>4</w:t>
                  </w:r>
                  <w:r>
                    <w:rPr>
                      <w:rFonts w:ascii="Times New Roman" w:hAnsi="Times New Roman"/>
                      <w:color w:val="FF0000"/>
                      <w:sz w:val="18"/>
                      <w:szCs w:val="18"/>
                      <w:highlight w:val="none"/>
                    </w:rPr>
                    <w:t>年黑龙江省生态环境</w:t>
                  </w:r>
                  <w:r>
                    <w:rPr>
                      <w:rFonts w:hint="eastAsia"/>
                      <w:color w:val="FF0000"/>
                      <w:sz w:val="18"/>
                      <w:szCs w:val="18"/>
                      <w:highlight w:val="none"/>
                      <w:lang w:val="en-US" w:eastAsia="zh-CN"/>
                    </w:rPr>
                    <w:t>质量</w:t>
                  </w:r>
                  <w:r>
                    <w:rPr>
                      <w:rFonts w:ascii="Times New Roman" w:hAnsi="Times New Roman"/>
                      <w:color w:val="FF0000"/>
                      <w:sz w:val="18"/>
                      <w:szCs w:val="18"/>
                      <w:highlight w:val="none"/>
                    </w:rPr>
                    <w:t>状况》（202</w:t>
                  </w:r>
                  <w:r>
                    <w:rPr>
                      <w:rFonts w:hint="eastAsia"/>
                      <w:color w:val="FF0000"/>
                      <w:sz w:val="18"/>
                      <w:szCs w:val="18"/>
                      <w:highlight w:val="none"/>
                      <w:lang w:val="en-US" w:eastAsia="zh-CN"/>
                    </w:rPr>
                    <w:t>5</w:t>
                  </w:r>
                  <w:r>
                    <w:rPr>
                      <w:rFonts w:ascii="Times New Roman" w:hAnsi="Times New Roman"/>
                      <w:color w:val="FF0000"/>
                      <w:sz w:val="18"/>
                      <w:szCs w:val="18"/>
                      <w:highlight w:val="none"/>
                    </w:rPr>
                    <w:t>年</w:t>
                  </w:r>
                  <w:r>
                    <w:rPr>
                      <w:rFonts w:hint="eastAsia"/>
                      <w:color w:val="FF0000"/>
                      <w:sz w:val="18"/>
                      <w:szCs w:val="18"/>
                      <w:highlight w:val="none"/>
                      <w:lang w:val="en-US" w:eastAsia="zh-CN"/>
                    </w:rPr>
                    <w:t>1</w:t>
                  </w:r>
                  <w:r>
                    <w:rPr>
                      <w:rFonts w:ascii="Times New Roman" w:hAnsi="Times New Roman"/>
                      <w:color w:val="FF0000"/>
                      <w:sz w:val="18"/>
                      <w:szCs w:val="18"/>
                      <w:highlight w:val="none"/>
                    </w:rPr>
                    <w:t>月）</w:t>
                  </w:r>
                  <w:r>
                    <w:rPr>
                      <w:rFonts w:hint="eastAsia" w:ascii="Times New Roman" w:hAnsi="Times New Roman"/>
                      <w:color w:val="FF0000"/>
                      <w:sz w:val="18"/>
                      <w:szCs w:val="18"/>
                      <w:highlight w:val="none"/>
                      <w:lang w:eastAsia="zh-CN"/>
                    </w:rPr>
                    <w:t>，</w:t>
                  </w:r>
                  <w:r>
                    <w:rPr>
                      <w:rFonts w:hint="eastAsia" w:ascii="Times New Roman" w:hAnsi="Times New Roman"/>
                      <w:color w:val="FF0000"/>
                      <w:sz w:val="18"/>
                      <w:szCs w:val="18"/>
                      <w:highlight w:val="none"/>
                      <w:lang w:val="en-US" w:eastAsia="zh-CN"/>
                    </w:rPr>
                    <w:t>鸡西市区域昼间声环境质量为二级，等效声级为53.6dB（A），道路交通昼间声环境质量为一级，等效声级为65.8dB（A），功能区昼间达标率100%，功能区夜间达标率100%。</w:t>
                  </w:r>
                  <w:r>
                    <w:rPr>
                      <w:rFonts w:hint="eastAsia" w:ascii="Times New Roman" w:hAnsi="Times New Roman" w:eastAsia="宋体" w:cs="Times New Roman"/>
                      <w:color w:val="FF0000"/>
                      <w:sz w:val="18"/>
                      <w:szCs w:val="18"/>
                      <w:highlight w:val="none"/>
                      <w:lang w:val="en-US" w:eastAsia="zh-CN"/>
                    </w:rPr>
                    <w:t>区域声环境</w:t>
                  </w:r>
                  <w:r>
                    <w:rPr>
                      <w:rFonts w:hint="eastAsia" w:cs="Times New Roman"/>
                      <w:color w:val="FF0000"/>
                      <w:sz w:val="18"/>
                      <w:szCs w:val="18"/>
                      <w:highlight w:val="none"/>
                      <w:lang w:val="en-US" w:eastAsia="zh-CN"/>
                    </w:rPr>
                    <w:t>满足</w:t>
                  </w:r>
                  <w:r>
                    <w:rPr>
                      <w:rFonts w:hint="eastAsia" w:ascii="Times New Roman" w:hAnsi="Times New Roman" w:eastAsia="宋体" w:cs="Times New Roman"/>
                      <w:color w:val="FF0000"/>
                      <w:sz w:val="18"/>
                      <w:szCs w:val="18"/>
                      <w:highlight w:val="none"/>
                      <w:lang w:val="en-US" w:eastAsia="zh-CN"/>
                    </w:rPr>
                    <w:t>《声环境质量标准》（GB3096-2008）2类标准</w:t>
                  </w:r>
                  <w:r>
                    <w:rPr>
                      <w:rFonts w:hint="default" w:ascii="Times New Roman" w:hAnsi="Times New Roman" w:eastAsia="宋体" w:cs="Times New Roman"/>
                      <w:color w:val="FF0000"/>
                      <w:kern w:val="0"/>
                      <w:sz w:val="18"/>
                      <w:szCs w:val="18"/>
                      <w:highlight w:val="none"/>
                    </w:rPr>
                    <w:t>。</w:t>
                  </w:r>
                  <w:r>
                    <w:rPr>
                      <w:rFonts w:hint="eastAsia" w:cs="Times New Roman"/>
                      <w:color w:val="FF0000"/>
                      <w:kern w:val="0"/>
                      <w:sz w:val="18"/>
                      <w:szCs w:val="18"/>
                      <w:highlight w:val="none"/>
                      <w:lang w:val="en-US" w:eastAsia="zh-CN"/>
                    </w:rPr>
                    <w:t>本项目</w:t>
                  </w:r>
                  <w:r>
                    <w:rPr>
                      <w:rFonts w:hint="default" w:ascii="Times New Roman" w:hAnsi="Times New Roman" w:eastAsia="宋体" w:cs="Times New Roman"/>
                      <w:color w:val="FF0000"/>
                      <w:kern w:val="0"/>
                      <w:sz w:val="18"/>
                      <w:szCs w:val="18"/>
                      <w:highlight w:val="none"/>
                    </w:rPr>
                    <w:t>选取低噪声设备，</w:t>
                  </w:r>
                  <w:r>
                    <w:rPr>
                      <w:rFonts w:hint="eastAsia" w:ascii="Times New Roman" w:hAnsi="Times New Roman" w:eastAsia="宋体" w:cs="Times New Roman"/>
                      <w:color w:val="FF0000"/>
                      <w:kern w:val="0"/>
                      <w:sz w:val="18"/>
                      <w:szCs w:val="18"/>
                      <w:highlight w:val="none"/>
                      <w:lang w:val="en-US" w:eastAsia="zh-CN"/>
                    </w:rPr>
                    <w:t>经过隔声及距离衰减后</w:t>
                  </w:r>
                  <w:r>
                    <w:rPr>
                      <w:rFonts w:hint="eastAsia" w:ascii="Times New Roman" w:hAnsi="Times New Roman" w:eastAsia="宋体" w:cs="Times New Roman"/>
                      <w:color w:val="FF0000"/>
                      <w:kern w:val="0"/>
                      <w:sz w:val="18"/>
                      <w:szCs w:val="18"/>
                      <w:highlight w:val="none"/>
                      <w:lang w:eastAsia="zh-CN"/>
                    </w:rPr>
                    <w:t>，</w:t>
                  </w:r>
                  <w:r>
                    <w:rPr>
                      <w:rFonts w:hint="eastAsia" w:cs="Times New Roman"/>
                      <w:color w:val="FF0000"/>
                      <w:kern w:val="0"/>
                      <w:sz w:val="18"/>
                      <w:szCs w:val="18"/>
                      <w:highlight w:val="none"/>
                      <w:lang w:val="en-US" w:eastAsia="zh-CN"/>
                    </w:rPr>
                    <w:t>厂界噪声满足</w:t>
                  </w:r>
                  <w:r>
                    <w:rPr>
                      <w:rFonts w:hint="eastAsia" w:cs="Times New Roman"/>
                      <w:color w:val="FF0000"/>
                      <w:kern w:val="0"/>
                      <w:sz w:val="18"/>
                      <w:szCs w:val="18"/>
                      <w:highlight w:val="none"/>
                      <w:lang w:eastAsia="zh-CN"/>
                    </w:rPr>
                    <w:t>《工业企业厂界环境噪声排放标准》(GB12348-2008)表1中</w:t>
                  </w:r>
                  <w:r>
                    <w:rPr>
                      <w:rFonts w:hint="eastAsia" w:cs="Times New Roman"/>
                      <w:color w:val="FF0000"/>
                      <w:kern w:val="0"/>
                      <w:sz w:val="18"/>
                      <w:szCs w:val="18"/>
                      <w:highlight w:val="none"/>
                      <w:lang w:val="en-US" w:eastAsia="zh-CN"/>
                    </w:rPr>
                    <w:t>2</w:t>
                  </w:r>
                  <w:r>
                    <w:rPr>
                      <w:rFonts w:hint="eastAsia" w:cs="Times New Roman"/>
                      <w:color w:val="FF0000"/>
                      <w:kern w:val="0"/>
                      <w:sz w:val="18"/>
                      <w:szCs w:val="18"/>
                      <w:highlight w:val="none"/>
                      <w:lang w:eastAsia="zh-CN"/>
                    </w:rPr>
                    <w:t>类标准。</w:t>
                  </w:r>
                </w:p>
              </w:tc>
            </w:tr>
            <w:tr w14:paraId="36B3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4D9C58">
                  <w:pPr>
                    <w:pStyle w:val="42"/>
                    <w:keepNext w:val="0"/>
                    <w:keepLines w:val="0"/>
                    <w:suppressLineNumbers w:val="0"/>
                    <w:spacing w:before="0" w:beforeAutospacing="0" w:after="0" w:afterAutospacing="0"/>
                    <w:ind w:left="0" w:right="0"/>
                    <w:jc w:val="center"/>
                    <w:rPr>
                      <w:rFonts w:hint="default"/>
                      <w:b/>
                      <w:bCs/>
                      <w:highlight w:val="none"/>
                      <w:vertAlign w:val="baseline"/>
                      <w:lang w:val="en-US" w:eastAsia="zh-CN"/>
                    </w:rPr>
                  </w:pPr>
                  <w:r>
                    <w:rPr>
                      <w:rFonts w:hint="eastAsia"/>
                      <w:b/>
                      <w:bCs/>
                      <w:highlight w:val="none"/>
                      <w:vertAlign w:val="baseline"/>
                      <w:lang w:val="en-US" w:eastAsia="zh-CN"/>
                    </w:rPr>
                    <w:t>地下水环境</w:t>
                  </w:r>
                </w:p>
              </w:tc>
            </w:tr>
            <w:tr w14:paraId="131A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gridSpan w:val="2"/>
                </w:tcPr>
                <w:p w14:paraId="621C4DDF">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管控区类型</w:t>
                  </w:r>
                </w:p>
              </w:tc>
              <w:tc>
                <w:tcPr>
                  <w:tcW w:w="5086" w:type="dxa"/>
                  <w:gridSpan w:val="3"/>
                </w:tcPr>
                <w:p w14:paraId="47E53243">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一般管控区</w:t>
                  </w:r>
                </w:p>
              </w:tc>
            </w:tr>
            <w:tr w14:paraId="1F62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9" w:type="dxa"/>
                  <w:gridSpan w:val="4"/>
                </w:tcPr>
                <w:p w14:paraId="4107077F">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管控要求</w:t>
                  </w:r>
                </w:p>
              </w:tc>
              <w:tc>
                <w:tcPr>
                  <w:tcW w:w="1546" w:type="dxa"/>
                </w:tcPr>
                <w:p w14:paraId="0594B764">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符合性分析</w:t>
                  </w:r>
                </w:p>
              </w:tc>
            </w:tr>
            <w:tr w14:paraId="0F82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dxa"/>
                </w:tcPr>
                <w:p w14:paraId="2226B3C2">
                  <w:pPr>
                    <w:pStyle w:val="42"/>
                    <w:keepNext w:val="0"/>
                    <w:keepLines w:val="0"/>
                    <w:suppressLineNumbers w:val="0"/>
                    <w:spacing w:before="0" w:beforeAutospacing="0" w:after="0" w:afterAutospacing="0"/>
                    <w:ind w:left="0" w:right="0"/>
                    <w:jc w:val="center"/>
                    <w:rPr>
                      <w:rFonts w:hint="eastAsia"/>
                      <w:b w:val="0"/>
                      <w:bCs w:val="0"/>
                      <w:highlight w:val="none"/>
                      <w:vertAlign w:val="baseline"/>
                      <w:lang w:val="en-US" w:eastAsia="zh-CN"/>
                    </w:rPr>
                  </w:pPr>
                  <w:r>
                    <w:rPr>
                      <w:rFonts w:hint="eastAsia"/>
                      <w:b w:val="0"/>
                      <w:bCs w:val="0"/>
                      <w:sz w:val="18"/>
                      <w:szCs w:val="18"/>
                      <w:highlight w:val="none"/>
                      <w:vertAlign w:val="baseline"/>
                      <w:lang w:val="en-US" w:eastAsia="zh-CN"/>
                    </w:rPr>
                    <w:t>环境风险管控</w:t>
                  </w:r>
                </w:p>
              </w:tc>
              <w:tc>
                <w:tcPr>
                  <w:tcW w:w="5490" w:type="dxa"/>
                  <w:gridSpan w:val="3"/>
                </w:tcPr>
                <w:p w14:paraId="2CFFF535">
                  <w:pPr>
                    <w:pStyle w:val="42"/>
                    <w:keepNext w:val="0"/>
                    <w:keepLines w:val="0"/>
                    <w:suppressLineNumbers w:val="0"/>
                    <w:spacing w:before="0" w:beforeAutospacing="0" w:after="0" w:afterAutospacing="0"/>
                    <w:ind w:left="0" w:right="0"/>
                    <w:jc w:val="center"/>
                    <w:rPr>
                      <w:rFonts w:hint="eastAsia"/>
                      <w:b w:val="0"/>
                      <w:bCs w:val="0"/>
                      <w:sz w:val="18"/>
                      <w:szCs w:val="18"/>
                      <w:highlight w:val="none"/>
                      <w:vertAlign w:val="baseline"/>
                      <w:lang w:val="en-US" w:eastAsia="zh-CN"/>
                    </w:rPr>
                  </w:pPr>
                  <w:r>
                    <w:rPr>
                      <w:rFonts w:hint="eastAsia"/>
                      <w:b w:val="0"/>
                      <w:bCs w:val="0"/>
                      <w:sz w:val="18"/>
                      <w:szCs w:val="18"/>
                      <w:highlight w:val="none"/>
                      <w:vertAlign w:val="baseline"/>
                      <w:lang w:val="en-US" w:eastAsia="zh-CN"/>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2.重点单位新、改、扩建项目地下储罐储存有毒有害物质的，应当在项目投入生产或者使用之前，将地下储罐的信息报所在地设区的市级生态环境主管部门备案。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4.化学品生产企业以及工业集聚区、矿山开采区、尾矿库、危险废物处置场、垃圾填埋场等的运营、管理单位，应当采取防渗漏等措施，并建设地下水水质监测井进行监测，防止地下水污染。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1546" w:type="dxa"/>
                </w:tcPr>
                <w:p w14:paraId="2E855A58">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sz w:val="18"/>
                      <w:szCs w:val="18"/>
                      <w:highlight w:val="none"/>
                      <w:vertAlign w:val="baseline"/>
                      <w:lang w:val="en-US" w:eastAsia="zh-CN"/>
                    </w:rPr>
                    <w:t>本项目不属于土壤污染重点监管单位，本项目不涉及地下储罐储存有毒有害物质，本项目不属于化学品生产企业以及工业集聚区、矿山开采区、尾矿库、危险废物处置场、垃圾填埋场等的运营、管理单位，本项目用水仅为生活用水，用水量较少，生活用水由市政供水管网供给。</w:t>
                  </w:r>
                </w:p>
              </w:tc>
            </w:tr>
            <w:tr w14:paraId="3AA4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59FDFA15">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bCs/>
                      <w:highlight w:val="none"/>
                      <w:vertAlign w:val="baseline"/>
                      <w:lang w:val="en-US" w:eastAsia="zh-CN"/>
                    </w:rPr>
                    <w:t>三、资源利用上线</w:t>
                  </w:r>
                  <w:bookmarkStart w:id="20" w:name="_GoBack"/>
                  <w:bookmarkEnd w:id="20"/>
                </w:p>
              </w:tc>
            </w:tr>
            <w:tr w14:paraId="0AAD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4" w:type="dxa"/>
                  <w:gridSpan w:val="3"/>
                </w:tcPr>
                <w:p w14:paraId="60F35B2A">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管控单元类别</w:t>
                  </w:r>
                </w:p>
              </w:tc>
              <w:tc>
                <w:tcPr>
                  <w:tcW w:w="3181" w:type="dxa"/>
                  <w:gridSpan w:val="2"/>
                </w:tcPr>
                <w:p w14:paraId="23FA96A9">
                  <w:pPr>
                    <w:pStyle w:val="42"/>
                    <w:keepNext w:val="0"/>
                    <w:keepLines w:val="0"/>
                    <w:suppressLineNumbers w:val="0"/>
                    <w:spacing w:before="0" w:beforeAutospacing="0" w:after="0" w:afterAutospacing="0"/>
                    <w:ind w:left="0" w:right="0"/>
                    <w:jc w:val="center"/>
                    <w:rPr>
                      <w:rFonts w:hint="default"/>
                      <w:b w:val="0"/>
                      <w:bCs w:val="0"/>
                      <w:highlight w:val="none"/>
                      <w:vertAlign w:val="baseline"/>
                      <w:lang w:val="en-US" w:eastAsia="zh-CN"/>
                    </w:rPr>
                  </w:pPr>
                  <w:r>
                    <w:rPr>
                      <w:rFonts w:hint="eastAsia"/>
                      <w:b w:val="0"/>
                      <w:bCs w:val="0"/>
                      <w:highlight w:val="none"/>
                      <w:vertAlign w:val="baseline"/>
                      <w:lang w:val="en-US" w:eastAsia="zh-CN"/>
                    </w:rPr>
                    <w:t>自然资源一般管控区</w:t>
                  </w:r>
                </w:p>
              </w:tc>
            </w:tr>
            <w:tr w14:paraId="42B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5" w:type="dxa"/>
                  <w:gridSpan w:val="5"/>
                </w:tcPr>
                <w:p w14:paraId="04756FFB">
                  <w:pPr>
                    <w:pStyle w:val="42"/>
                    <w:keepNext w:val="0"/>
                    <w:keepLines w:val="0"/>
                    <w:suppressLineNumbers w:val="0"/>
                    <w:spacing w:before="0" w:beforeAutospacing="0" w:after="0" w:afterAutospacing="0"/>
                    <w:ind w:left="0" w:right="0"/>
                    <w:jc w:val="center"/>
                    <w:rPr>
                      <w:rFonts w:hint="eastAsia"/>
                      <w:b w:val="0"/>
                      <w:bCs w:val="0"/>
                      <w:highlight w:val="none"/>
                      <w:vertAlign w:val="baseline"/>
                      <w:lang w:val="en-US" w:eastAsia="zh-CN"/>
                    </w:rPr>
                  </w:pPr>
                  <w:r>
                    <w:rPr>
                      <w:rFonts w:hint="eastAsia"/>
                      <w:b w:val="0"/>
                      <w:bCs w:val="0"/>
                      <w:sz w:val="18"/>
                      <w:szCs w:val="18"/>
                      <w:highlight w:val="none"/>
                      <w:vertAlign w:val="baseline"/>
                      <w:lang w:val="en-US" w:eastAsia="zh-CN"/>
                    </w:rPr>
                    <w:t xml:space="preserve">   本项目运营期无生产废水，用水主要为员工生活用水，用水量较少，不属于耗水工业项目，本项目供水水源为市政管网、供电电源为当地供电电网，用水水源及供电电源可靠，本项目不占用基本农田。资源消耗量相对于区域资源利用总量较小，本项目符合资源利用上线要求。</w:t>
                  </w:r>
                </w:p>
              </w:tc>
            </w:tr>
          </w:tbl>
          <w:p w14:paraId="4D1FF9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环境准入清单：</w:t>
            </w:r>
            <w:r>
              <w:rPr>
                <w:rFonts w:hint="eastAsia" w:cs="Times New Roman"/>
                <w:color w:val="000000" w:themeColor="text1"/>
                <w:kern w:val="0"/>
                <w:szCs w:val="21"/>
                <w:highlight w:val="none"/>
                <w:lang w:eastAsia="zh-CN"/>
                <w14:textFill>
                  <w14:solidFill>
                    <w14:schemeClr w14:val="tx1"/>
                  </w14:solidFill>
                </w14:textFill>
              </w:rPr>
              <w:t>本项目属于</w:t>
            </w:r>
            <w:r>
              <w:rPr>
                <w:rFonts w:hint="eastAsia" w:cs="Times New Roman"/>
                <w:color w:val="000000" w:themeColor="text1"/>
                <w:kern w:val="0"/>
                <w:szCs w:val="21"/>
                <w:highlight w:val="none"/>
                <w:lang w:val="en-US" w:eastAsia="zh-CN"/>
                <w14:textFill>
                  <w14:solidFill>
                    <w14:schemeClr w14:val="tx1"/>
                  </w14:solidFill>
                </w14:textFill>
              </w:rPr>
              <w:t>重点</w:t>
            </w:r>
            <w:r>
              <w:rPr>
                <w:rFonts w:hint="eastAsia" w:cs="Times New Roman"/>
                <w:color w:val="000000" w:themeColor="text1"/>
                <w:kern w:val="0"/>
                <w:szCs w:val="21"/>
                <w:highlight w:val="none"/>
                <w:lang w:eastAsia="zh-CN"/>
                <w14:textFill>
                  <w14:solidFill>
                    <w14:schemeClr w14:val="tx1"/>
                  </w14:solidFill>
                </w14:textFill>
              </w:rPr>
              <w:t>管控单元，</w:t>
            </w:r>
            <w:r>
              <w:rPr>
                <w:rFonts w:hint="eastAsia" w:cs="Times New Roman"/>
                <w:color w:val="000000" w:themeColor="text1"/>
                <w:kern w:val="0"/>
                <w:szCs w:val="21"/>
                <w:highlight w:val="none"/>
                <w:lang w:val="en-US" w:eastAsia="zh-CN"/>
                <w14:textFill>
                  <w14:solidFill>
                    <w14:schemeClr w14:val="tx1"/>
                  </w14:solidFill>
                </w14:textFill>
              </w:rPr>
              <w:t>与</w:t>
            </w:r>
            <w:r>
              <w:rPr>
                <w:rFonts w:hint="default" w:ascii="Times New Roman" w:hAnsi="Times New Roman" w:cs="Times New Roman"/>
                <w:color w:val="000000" w:themeColor="text1"/>
                <w:kern w:val="0"/>
                <w:szCs w:val="21"/>
                <w:highlight w:val="none"/>
                <w14:textFill>
                  <w14:solidFill>
                    <w14:schemeClr w14:val="tx1"/>
                  </w14:solidFill>
                </w14:textFill>
              </w:rPr>
              <w:t>《</w:t>
            </w:r>
            <w:r>
              <w:rPr>
                <w:rFonts w:hint="eastAsia" w:cs="Times New Roman"/>
                <w:color w:val="000000" w:themeColor="text1"/>
                <w:kern w:val="0"/>
                <w:szCs w:val="21"/>
                <w:highlight w:val="none"/>
                <w:lang w:eastAsia="zh-CN"/>
                <w14:textFill>
                  <w14:solidFill>
                    <w14:schemeClr w14:val="tx1"/>
                  </w14:solidFill>
                </w14:textFill>
              </w:rPr>
              <w:t>鸡西</w:t>
            </w:r>
            <w:r>
              <w:rPr>
                <w:rFonts w:hint="default" w:ascii="Times New Roman" w:hAnsi="Times New Roman" w:cs="Times New Roman"/>
                <w:color w:val="000000" w:themeColor="text1"/>
                <w:kern w:val="0"/>
                <w:szCs w:val="21"/>
                <w:highlight w:val="none"/>
                <w14:textFill>
                  <w14:solidFill>
                    <w14:schemeClr w14:val="tx1"/>
                  </w14:solidFill>
                </w14:textFill>
              </w:rPr>
              <w:t>市</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生态环境准入清单</w:t>
            </w:r>
            <w:r>
              <w:rPr>
                <w:rFonts w:hint="eastAsia" w:ascii="Times New Roman" w:hAnsi="Times New Roman" w:cs="Times New Roman"/>
                <w:color w:val="000000" w:themeColor="text1"/>
                <w:kern w:val="0"/>
                <w:szCs w:val="21"/>
                <w:highlight w:val="none"/>
                <w:lang w:eastAsia="zh-CN"/>
                <w14:textFill>
                  <w14:solidFill>
                    <w14:schemeClr w14:val="tx1"/>
                  </w14:solidFill>
                </w14:textFill>
              </w:rPr>
              <w:t>（</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202</w:t>
            </w:r>
            <w:r>
              <w:rPr>
                <w:rFonts w:hint="eastAsia" w:cs="Times New Roman"/>
                <w:color w:val="000000" w:themeColor="text1"/>
                <w:kern w:val="0"/>
                <w:szCs w:val="21"/>
                <w:highlight w:val="none"/>
                <w:lang w:val="en-US" w:eastAsia="zh-CN"/>
                <w14:textFill>
                  <w14:solidFill>
                    <w14:schemeClr w14:val="tx1"/>
                  </w14:solidFill>
                </w14:textFill>
              </w:rPr>
              <w:t>3</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年版）</w:t>
            </w:r>
            <w:r>
              <w:rPr>
                <w:rFonts w:hint="default" w:ascii="Times New Roman" w:hAnsi="Times New Roman" w:cs="Times New Roman"/>
                <w:color w:val="000000" w:themeColor="text1"/>
                <w:kern w:val="0"/>
                <w:szCs w:val="21"/>
                <w:highlight w:val="none"/>
                <w14:textFill>
                  <w14:solidFill>
                    <w14:schemeClr w14:val="tx1"/>
                  </w14:solidFill>
                </w14:textFill>
              </w:rPr>
              <w:t>》对照情况见下表。</w:t>
            </w:r>
          </w:p>
          <w:p w14:paraId="780012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表1-</w:t>
            </w:r>
            <w:r>
              <w:rPr>
                <w:rFonts w:hint="eastAsia" w:cs="Times New Roman"/>
                <w:b/>
                <w:bCs/>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Cs w:val="21"/>
                <w:highlight w:val="none"/>
                <w14:textFill>
                  <w14:solidFill>
                    <w14:schemeClr w14:val="tx1"/>
                  </w14:solidFill>
                </w14:textFill>
              </w:rPr>
              <w:t>生态环境准入清单符合性分析</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80"/>
              <w:gridCol w:w="745"/>
              <w:gridCol w:w="526"/>
              <w:gridCol w:w="2813"/>
              <w:gridCol w:w="1816"/>
            </w:tblGrid>
            <w:tr w14:paraId="43EB5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left w:val="nil"/>
                    <w:bottom w:val="single" w:color="auto" w:sz="4" w:space="0"/>
                    <w:right w:val="single" w:color="auto" w:sz="4" w:space="0"/>
                  </w:tcBorders>
                  <w:noWrap w:val="0"/>
                  <w:vAlign w:val="center"/>
                </w:tcPr>
                <w:p w14:paraId="7C637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环境管控单元编码</w:t>
                  </w:r>
                </w:p>
              </w:tc>
              <w:tc>
                <w:tcPr>
                  <w:tcW w:w="780" w:type="dxa"/>
                  <w:tcBorders>
                    <w:left w:val="single" w:color="auto" w:sz="4" w:space="0"/>
                    <w:bottom w:val="single" w:color="auto" w:sz="4" w:space="0"/>
                    <w:right w:val="single" w:color="auto" w:sz="4" w:space="0"/>
                  </w:tcBorders>
                  <w:noWrap w:val="0"/>
                  <w:vAlign w:val="center"/>
                </w:tcPr>
                <w:p w14:paraId="35A7B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环境管控单元名称</w:t>
                  </w:r>
                </w:p>
              </w:tc>
              <w:tc>
                <w:tcPr>
                  <w:tcW w:w="745" w:type="dxa"/>
                  <w:tcBorders>
                    <w:left w:val="single" w:color="auto" w:sz="4" w:space="0"/>
                    <w:bottom w:val="single" w:color="auto" w:sz="4" w:space="0"/>
                    <w:right w:val="single" w:color="auto" w:sz="4" w:space="0"/>
                  </w:tcBorders>
                  <w:noWrap w:val="0"/>
                  <w:vAlign w:val="center"/>
                </w:tcPr>
                <w:p w14:paraId="17218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管控单元类别</w:t>
                  </w:r>
                </w:p>
              </w:tc>
              <w:tc>
                <w:tcPr>
                  <w:tcW w:w="3339" w:type="dxa"/>
                  <w:gridSpan w:val="2"/>
                  <w:tcBorders>
                    <w:left w:val="single" w:color="auto" w:sz="4" w:space="0"/>
                    <w:bottom w:val="single" w:color="auto" w:sz="4" w:space="0"/>
                    <w:right w:val="single" w:color="auto" w:sz="4" w:space="0"/>
                  </w:tcBorders>
                  <w:noWrap w:val="0"/>
                  <w:vAlign w:val="center"/>
                </w:tcPr>
                <w:p w14:paraId="0384B5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管控要求</w:t>
                  </w:r>
                </w:p>
              </w:tc>
              <w:tc>
                <w:tcPr>
                  <w:tcW w:w="1816" w:type="dxa"/>
                  <w:tcBorders>
                    <w:left w:val="single" w:color="auto" w:sz="4" w:space="0"/>
                    <w:bottom w:val="single" w:color="auto" w:sz="4" w:space="0"/>
                    <w:right w:val="nil"/>
                  </w:tcBorders>
                  <w:noWrap w:val="0"/>
                  <w:vAlign w:val="center"/>
                </w:tcPr>
                <w:p w14:paraId="3C7AB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符合性分析</w:t>
                  </w:r>
                </w:p>
              </w:tc>
            </w:tr>
            <w:tr w14:paraId="3401A7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restart"/>
                  <w:tcBorders>
                    <w:top w:val="single" w:color="auto" w:sz="4" w:space="0"/>
                    <w:left w:val="nil"/>
                    <w:right w:val="single" w:color="auto" w:sz="4" w:space="0"/>
                  </w:tcBorders>
                  <w:noWrap w:val="0"/>
                  <w:vAlign w:val="center"/>
                </w:tcPr>
                <w:p w14:paraId="6CF61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ZH23032120002</w:t>
                  </w:r>
                </w:p>
                <w:p w14:paraId="47BFF4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vMerge w:val="restart"/>
                  <w:tcBorders>
                    <w:top w:val="single" w:color="auto" w:sz="4" w:space="0"/>
                    <w:left w:val="single" w:color="auto" w:sz="4" w:space="0"/>
                    <w:right w:val="single" w:color="auto" w:sz="4" w:space="0"/>
                  </w:tcBorders>
                  <w:noWrap w:val="0"/>
                  <w:vAlign w:val="center"/>
                </w:tcPr>
                <w:p w14:paraId="25D460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鸡东县城镇空间</w:t>
                  </w:r>
                </w:p>
                <w:p w14:paraId="3E5C1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45" w:type="dxa"/>
                  <w:vMerge w:val="restart"/>
                  <w:tcBorders>
                    <w:top w:val="single" w:color="auto" w:sz="4" w:space="0"/>
                    <w:left w:val="single" w:color="auto" w:sz="4" w:space="0"/>
                    <w:right w:val="single" w:color="auto" w:sz="4" w:space="0"/>
                  </w:tcBorders>
                  <w:noWrap w:val="0"/>
                  <w:vAlign w:val="center"/>
                </w:tcPr>
                <w:p w14:paraId="3EA29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重点管控</w:t>
                  </w:r>
                </w:p>
                <w:p w14:paraId="49C06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单元</w:t>
                  </w:r>
                </w:p>
              </w:tc>
              <w:tc>
                <w:tcPr>
                  <w:tcW w:w="526" w:type="dxa"/>
                  <w:tcBorders>
                    <w:top w:val="single" w:color="auto" w:sz="4" w:space="0"/>
                    <w:left w:val="single" w:color="auto" w:sz="4" w:space="0"/>
                    <w:bottom w:val="single" w:color="auto" w:sz="4" w:space="0"/>
                    <w:right w:val="single" w:color="auto" w:sz="4" w:space="0"/>
                  </w:tcBorders>
                  <w:noWrap w:val="0"/>
                  <w:vAlign w:val="center"/>
                </w:tcPr>
                <w:p w14:paraId="0E4CD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空间布局约束</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36966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1.同时执行： （1）严禁在人口密集区新建危险化学品生产项目</w:t>
                  </w:r>
                  <w:r>
                    <w:rPr>
                      <w:rFonts w:hint="eastAsia"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城镇人口密集区危险化学品生产企业应搬迁改造。 （2）禁止在城镇居民区、文化教育科学研究区等人口集中区域建设畜禽养殖场、养殖小区。 2.水环境农业污染重点管控区同时执行 （1）科学划定畜禽养殖禁养区。 （2）加快农业结构调整。松嫩平原和三江平原等地下水易受污染地区优先种植需肥需药量低、环境效益突出的农作物；在西部干旱区发展谷子、高粱等耐旱杂粮种植；在北部四、五积温区开展米豆麦轮作，促进化肥需求低的农作物面积恢复性增长。 3.大气环境布局敏感重点管控区同时执行本 （1）严控“两高”行业产能。严格执行钢铁、水泥、平板玻璃等行业产能置换实施办法。 （2）利用水泥窑协同处置城市生活垃圾、危险废弃物、电石渣等固废伴生水泥项目，必须依托现有新型干法水泥熟料生产线进行不扩产能改造。</w:t>
                  </w:r>
                </w:p>
              </w:tc>
              <w:tc>
                <w:tcPr>
                  <w:tcW w:w="1816" w:type="dxa"/>
                  <w:tcBorders>
                    <w:top w:val="single" w:color="auto" w:sz="4" w:space="0"/>
                    <w:left w:val="single" w:color="auto" w:sz="4" w:space="0"/>
                    <w:right w:val="nil"/>
                  </w:tcBorders>
                  <w:noWrap w:val="0"/>
                  <w:vAlign w:val="center"/>
                </w:tcPr>
                <w:p w14:paraId="3CB97DE7">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本项目不属于危险化学品生产项目，</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本项目不涉及畜禽养殖及农作物种植。</w:t>
                  </w:r>
                  <w:r>
                    <w:rPr>
                      <w:rFonts w:hint="eastAsia" w:cs="Times New Roman"/>
                      <w:color w:val="000000" w:themeColor="text1"/>
                      <w:sz w:val="18"/>
                      <w:szCs w:val="18"/>
                      <w:highlight w:val="none"/>
                      <w:lang w:val="en-US" w:eastAsia="zh-CN"/>
                      <w14:textFill>
                        <w14:solidFill>
                          <w14:schemeClr w14:val="tx1"/>
                        </w14:solidFill>
                      </w14:textFill>
                    </w:rPr>
                    <w:t>不属于</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钢铁、水泥、平板玻璃等行业</w:t>
                  </w:r>
                  <w:r>
                    <w:rPr>
                      <w:rFonts w:hint="eastAsia" w:cs="Times New Roman"/>
                      <w:color w:val="000000" w:themeColor="text1"/>
                      <w:sz w:val="18"/>
                      <w:szCs w:val="18"/>
                      <w:highlight w:val="none"/>
                      <w:lang w:val="en-US" w:eastAsia="zh-CN"/>
                      <w14:textFill>
                        <w14:solidFill>
                          <w14:schemeClr w14:val="tx1"/>
                        </w14:solidFill>
                      </w14:textFill>
                    </w:rPr>
                    <w:t>，符合空间布局约束。</w:t>
                  </w:r>
                </w:p>
              </w:tc>
            </w:tr>
            <w:tr w14:paraId="183507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Merge w:val="continue"/>
                  <w:tcBorders>
                    <w:left w:val="nil"/>
                    <w:right w:val="single" w:color="auto" w:sz="4" w:space="0"/>
                  </w:tcBorders>
                  <w:noWrap w:val="0"/>
                  <w:vAlign w:val="center"/>
                </w:tcPr>
                <w:p w14:paraId="5F1FA5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54314DBC">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45" w:type="dxa"/>
                  <w:vMerge w:val="continue"/>
                  <w:tcBorders>
                    <w:left w:val="single" w:color="auto" w:sz="4" w:space="0"/>
                    <w:right w:val="single" w:color="auto" w:sz="4" w:space="0"/>
                  </w:tcBorders>
                  <w:noWrap w:val="0"/>
                  <w:vAlign w:val="center"/>
                </w:tcPr>
                <w:p w14:paraId="4A52417D">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26" w:type="dxa"/>
                  <w:tcBorders>
                    <w:top w:val="single" w:color="auto" w:sz="4" w:space="0"/>
                    <w:left w:val="single" w:color="auto" w:sz="4" w:space="0"/>
                    <w:bottom w:val="single" w:color="auto" w:sz="4" w:space="0"/>
                    <w:right w:val="single" w:color="auto" w:sz="4" w:space="0"/>
                  </w:tcBorders>
                  <w:noWrap w:val="0"/>
                  <w:vAlign w:val="center"/>
                </w:tcPr>
                <w:p w14:paraId="18C95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污染物排放管控</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227C33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1.同时执行：加快 65t／h 以上燃煤锅炉（含电力）超低排放改造。 2.水环境农业污染重点管控区同时执行 （1）支持规模化畜禽养殖场（小区）开展标准化改造和建设，提高畜禽粪污收集和处理机械化水平，实施雨污分流、粪污资源化利用，控制畜禽养殖污染排放。（2）畜禽养殖户</w:t>
                  </w:r>
                </w:p>
                <w:p w14:paraId="59496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应当及时对畜禽粪便、污水进行</w:t>
                  </w:r>
                </w:p>
                <w:p w14:paraId="6E065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收集、贮存、清运，或者进行无害化处理。县级人民政府应当组织对本行政区域的畜禽散养密集区畜禽粪便、污水进行集中处理利用，督促乡镇人民政府建设或者配备污染防治配套设施。 （3）全面加强农业面源污染防控，科学合理使用农业投入品，提高使用效率，减少农业内源性污染。 3.大气环境布局敏感重点管控区同时执行 （1）对以煤、石焦油、渣油、重油等为燃料的锅炉和工业炉窑，加快使用清洁低碳能源以及工厂余热、电力热力等进行替代。 （2）到 2025 年，在用 65 蒸吨/小时以上的燃煤锅炉（含电力）实现超低排放，钢铁企业基本实现超低排放。 </w:t>
                  </w:r>
                </w:p>
              </w:tc>
              <w:tc>
                <w:tcPr>
                  <w:tcW w:w="1816" w:type="dxa"/>
                  <w:tcBorders>
                    <w:left w:val="single" w:color="auto" w:sz="4" w:space="0"/>
                    <w:right w:val="nil"/>
                  </w:tcBorders>
                  <w:noWrap w:val="0"/>
                  <w:vAlign w:val="center"/>
                </w:tcPr>
                <w:p w14:paraId="72B70783">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本项目热风炉房为1台600万Kcal/h</w:t>
                  </w: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热风炉</w:t>
                  </w:r>
                  <w:r>
                    <w:rPr>
                      <w:rFonts w:hint="eastAsia"/>
                      <w:color w:val="000000" w:themeColor="text1"/>
                      <w:sz w:val="18"/>
                      <w:szCs w:val="18"/>
                      <w:highlight w:val="none"/>
                      <w14:textFill>
                        <w14:solidFill>
                          <w14:schemeClr w14:val="tx1"/>
                        </w14:solidFill>
                      </w14:textFill>
                    </w:rPr>
                    <w:t>，采用生物质成型燃料，不涉及燃煤燃料使用</w:t>
                  </w:r>
                  <w:r>
                    <w:rPr>
                      <w:rFonts w:hint="eastAsia"/>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本项目无生产废水</w:t>
                  </w:r>
                  <w:r>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t>，</w:t>
                  </w:r>
                  <w:r>
                    <w:rPr>
                      <w:rFonts w:hint="eastAsia"/>
                      <w:bCs/>
                      <w:color w:val="000000" w:themeColor="text1"/>
                      <w:sz w:val="18"/>
                      <w:szCs w:val="18"/>
                      <w:highlight w:val="none"/>
                      <w14:textFill>
                        <w14:solidFill>
                          <w14:schemeClr w14:val="tx1"/>
                        </w14:solidFill>
                      </w14:textFill>
                    </w:rPr>
                    <w:t>项目不新增员工，因此无新增废水</w:t>
                  </w:r>
                  <w:r>
                    <w:rPr>
                      <w:rFonts w:hint="eastAsia"/>
                      <w:bCs/>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本项目不涉及畜禽养殖及农作物种植。</w:t>
                  </w:r>
                </w:p>
              </w:tc>
            </w:tr>
            <w:tr w14:paraId="7E030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left w:val="nil"/>
                    <w:right w:val="single" w:color="auto" w:sz="4" w:space="0"/>
                  </w:tcBorders>
                  <w:noWrap w:val="0"/>
                  <w:vAlign w:val="center"/>
                </w:tcPr>
                <w:p w14:paraId="5594D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tcBorders>
                    <w:left w:val="single" w:color="auto" w:sz="4" w:space="0"/>
                    <w:right w:val="single" w:color="auto" w:sz="4" w:space="0"/>
                  </w:tcBorders>
                  <w:noWrap w:val="0"/>
                  <w:vAlign w:val="center"/>
                </w:tcPr>
                <w:p w14:paraId="346A9FCD">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45" w:type="dxa"/>
                  <w:tcBorders>
                    <w:left w:val="single" w:color="auto" w:sz="4" w:space="0"/>
                    <w:right w:val="single" w:color="auto" w:sz="4" w:space="0"/>
                  </w:tcBorders>
                  <w:noWrap w:val="0"/>
                  <w:vAlign w:val="center"/>
                </w:tcPr>
                <w:p w14:paraId="20D9C639">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26" w:type="dxa"/>
                  <w:tcBorders>
                    <w:top w:val="single" w:color="auto" w:sz="4" w:space="0"/>
                    <w:left w:val="single" w:color="auto" w:sz="4" w:space="0"/>
                    <w:bottom w:val="single" w:color="auto" w:sz="4" w:space="0"/>
                    <w:right w:val="single" w:color="auto" w:sz="4" w:space="0"/>
                  </w:tcBorders>
                  <w:noWrap w:val="0"/>
                  <w:vAlign w:val="center"/>
                </w:tcPr>
                <w:p w14:paraId="38D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 xml:space="preserve">环境风险 </w:t>
                  </w:r>
                </w:p>
                <w:p w14:paraId="064D5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防控</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76275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化工园区与城市建成区、人员密集场所、重要设施、敏感目标等应当保持规定的安全距离，相对封闭，不应保留常住居民，非关联企业和产业要逐步搬迁或退出，妥善防范化解“邻避”问题。严禁在松花江干流及一级支流沿岸 1 公里范围内布局化工园区。 2.大气环境布局敏感重点管控区同时执行本禁止在居民区、学校、医疗和养老机构等周边新建有色金属冶炼、焦化等行业企业。</w:t>
                  </w:r>
                </w:p>
              </w:tc>
              <w:tc>
                <w:tcPr>
                  <w:tcW w:w="1816" w:type="dxa"/>
                  <w:tcBorders>
                    <w:left w:val="single" w:color="auto" w:sz="4" w:space="0"/>
                    <w:right w:val="nil"/>
                  </w:tcBorders>
                  <w:noWrap w:val="0"/>
                  <w:vAlign w:val="center"/>
                </w:tcPr>
                <w:p w14:paraId="5014FF13">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本项目不涉及化工园区。</w:t>
                  </w:r>
                  <w:r>
                    <w:rPr>
                      <w:rFonts w:hint="eastAsia" w:cs="Times New Roman"/>
                      <w:color w:val="000000" w:themeColor="text1"/>
                      <w:sz w:val="18"/>
                      <w:szCs w:val="18"/>
                      <w:highlight w:val="none"/>
                      <w:lang w:val="en-US" w:eastAsia="zh-CN"/>
                      <w14:textFill>
                        <w14:solidFill>
                          <w14:schemeClr w14:val="tx1"/>
                        </w14:solidFill>
                      </w14:textFill>
                    </w:rPr>
                    <w:t>不属于</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有色金属冶炼、焦化等行业企业</w:t>
                  </w:r>
                  <w:r>
                    <w:rPr>
                      <w:rFonts w:hint="eastAsia" w:cs="Times New Roman"/>
                      <w:color w:val="000000" w:themeColor="text1"/>
                      <w:sz w:val="18"/>
                      <w:szCs w:val="18"/>
                      <w:highlight w:val="none"/>
                      <w:lang w:val="en-US" w:eastAsia="zh-CN"/>
                      <w14:textFill>
                        <w14:solidFill>
                          <w14:schemeClr w14:val="tx1"/>
                        </w14:solidFill>
                      </w14:textFill>
                    </w:rPr>
                    <w:t>。</w:t>
                  </w:r>
                </w:p>
              </w:tc>
            </w:tr>
            <w:tr w14:paraId="7C15E8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tcBorders>
                    <w:left w:val="nil"/>
                    <w:right w:val="single" w:color="auto" w:sz="4" w:space="0"/>
                  </w:tcBorders>
                  <w:noWrap w:val="0"/>
                  <w:vAlign w:val="center"/>
                </w:tcPr>
                <w:p w14:paraId="61AFA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80" w:type="dxa"/>
                  <w:tcBorders>
                    <w:left w:val="single" w:color="auto" w:sz="4" w:space="0"/>
                    <w:right w:val="single" w:color="auto" w:sz="4" w:space="0"/>
                  </w:tcBorders>
                  <w:noWrap w:val="0"/>
                  <w:vAlign w:val="center"/>
                </w:tcPr>
                <w:p w14:paraId="36D97E34">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45" w:type="dxa"/>
                  <w:tcBorders>
                    <w:left w:val="single" w:color="auto" w:sz="4" w:space="0"/>
                    <w:right w:val="single" w:color="auto" w:sz="4" w:space="0"/>
                  </w:tcBorders>
                  <w:noWrap w:val="0"/>
                  <w:vAlign w:val="center"/>
                </w:tcPr>
                <w:p w14:paraId="1F7B53E7">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26" w:type="dxa"/>
                  <w:tcBorders>
                    <w:top w:val="single" w:color="auto" w:sz="4" w:space="0"/>
                    <w:left w:val="single" w:color="auto" w:sz="4" w:space="0"/>
                    <w:bottom w:val="single" w:color="auto" w:sz="4" w:space="0"/>
                    <w:right w:val="single" w:color="auto" w:sz="4" w:space="0"/>
                  </w:tcBorders>
                  <w:noWrap w:val="0"/>
                  <w:vAlign w:val="center"/>
                </w:tcPr>
                <w:p w14:paraId="776D03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资源</w:t>
                  </w:r>
                  <w:r>
                    <w:rPr>
                      <w:rFonts w:hint="eastAsia" w:cs="Times New Roman"/>
                      <w:color w:val="000000" w:themeColor="text1"/>
                      <w:kern w:val="0"/>
                      <w:sz w:val="18"/>
                      <w:szCs w:val="18"/>
                      <w:highlight w:val="none"/>
                      <w:lang w:val="en-US" w:eastAsia="zh-CN" w:bidi="ar"/>
                      <w14:textFill>
                        <w14:solidFill>
                          <w14:schemeClr w14:val="tx1"/>
                        </w14:solidFill>
                      </w14:textFill>
                    </w:rPr>
                    <w:t>开发</w:t>
                  </w: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 xml:space="preserve"> </w:t>
                  </w:r>
                </w:p>
                <w:p w14:paraId="5C2BF2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效率要求</w:t>
                  </w:r>
                </w:p>
              </w:tc>
              <w:tc>
                <w:tcPr>
                  <w:tcW w:w="2813" w:type="dxa"/>
                  <w:tcBorders>
                    <w:top w:val="single" w:color="auto" w:sz="4" w:space="0"/>
                    <w:left w:val="single" w:color="auto" w:sz="4" w:space="0"/>
                    <w:bottom w:val="single" w:color="auto" w:sz="4" w:space="0"/>
                    <w:right w:val="single" w:color="auto" w:sz="4" w:space="0"/>
                  </w:tcBorders>
                  <w:noWrap w:val="0"/>
                  <w:vAlign w:val="center"/>
                </w:tcPr>
                <w:p w14:paraId="6936A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1.推进污水再生利用设施建设。 2.公共建筑必须采用节水器具，限期淘汰公共建筑中不符合节水标准的水嘴、便器水箱等生活用水器具。</w:t>
                  </w:r>
                </w:p>
              </w:tc>
              <w:tc>
                <w:tcPr>
                  <w:tcW w:w="1816" w:type="dxa"/>
                  <w:tcBorders>
                    <w:left w:val="single" w:color="auto" w:sz="4" w:space="0"/>
                    <w:bottom w:val="single" w:color="auto" w:sz="4" w:space="0"/>
                    <w:right w:val="nil"/>
                  </w:tcBorders>
                  <w:noWrap w:val="0"/>
                  <w:vAlign w:val="center"/>
                </w:tcPr>
                <w:p w14:paraId="7F83C634">
                  <w:pPr>
                    <w:keepNext w:val="0"/>
                    <w:keepLines w:val="0"/>
                    <w:pageBreakBefore w:val="0"/>
                    <w:widowControl/>
                    <w:suppressLineNumbers w:val="0"/>
                    <w:tabs>
                      <w:tab w:val="left" w:pos="265"/>
                    </w:tabs>
                    <w:kinsoku/>
                    <w:wordWrap/>
                    <w:overflowPunct/>
                    <w:topLinePunct w:val="0"/>
                    <w:autoSpaceDE/>
                    <w:autoSpaceDN/>
                    <w:bidi w:val="0"/>
                    <w:adjustRightInd/>
                    <w:snapToGrid/>
                    <w:spacing w:before="0" w:beforeAutospacing="0" w:after="0" w:afterAutospacing="0"/>
                    <w:ind w:left="0" w:leftChars="0" w:right="0" w:rightChars="0"/>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t>本项目无生产废水</w:t>
                  </w:r>
                  <w:r>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t>，</w:t>
                  </w:r>
                  <w:r>
                    <w:rPr>
                      <w:rFonts w:hint="eastAsia"/>
                      <w:bCs/>
                      <w:color w:val="000000" w:themeColor="text1"/>
                      <w:sz w:val="18"/>
                      <w:szCs w:val="18"/>
                      <w:highlight w:val="none"/>
                      <w14:textFill>
                        <w14:solidFill>
                          <w14:schemeClr w14:val="tx1"/>
                        </w14:solidFill>
                      </w14:textFill>
                    </w:rPr>
                    <w:t>项目不新增员工，因此无新增废水</w:t>
                  </w:r>
                  <w:r>
                    <w:rPr>
                      <w:rFonts w:hint="eastAsia"/>
                      <w:bCs/>
                      <w:color w:val="000000" w:themeColor="text1"/>
                      <w:sz w:val="18"/>
                      <w:szCs w:val="18"/>
                      <w:highlight w:val="none"/>
                      <w:lang w:eastAsia="zh-CN"/>
                      <w14:textFill>
                        <w14:solidFill>
                          <w14:schemeClr w14:val="tx1"/>
                        </w14:solidFill>
                      </w14:textFill>
                    </w:rPr>
                    <w:t>；</w:t>
                  </w:r>
                  <w:r>
                    <w:rPr>
                      <w:rFonts w:hint="eastAsia"/>
                      <w:bCs/>
                      <w:color w:val="000000" w:themeColor="text1"/>
                      <w:sz w:val="18"/>
                      <w:szCs w:val="18"/>
                      <w:highlight w:val="none"/>
                      <w:lang w:val="en-US" w:eastAsia="zh-CN"/>
                      <w14:textFill>
                        <w14:solidFill>
                          <w14:schemeClr w14:val="tx1"/>
                        </w14:solidFill>
                      </w14:textFill>
                    </w:rPr>
                    <w:t>生活用水采用节水器具。</w:t>
                  </w:r>
                </w:p>
              </w:tc>
            </w:tr>
          </w:tbl>
          <w:p w14:paraId="2EDB3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kern w:val="0"/>
                <w:szCs w:val="21"/>
                <w:highlight w:val="none"/>
                <w:lang w:val="en-US" w:eastAsia="zh-CN"/>
                <w14:textFill>
                  <w14:solidFill>
                    <w14:schemeClr w14:val="tx1"/>
                  </w14:solidFill>
                </w14:textFill>
              </w:rPr>
            </w:pPr>
            <w:r>
              <w:rPr>
                <w:rFonts w:hint="default"/>
                <w:color w:val="000000" w:themeColor="text1"/>
                <w:kern w:val="0"/>
                <w:szCs w:val="21"/>
                <w:highlight w:val="none"/>
                <w:lang w:val="en-US" w:eastAsia="zh-CN"/>
                <w14:textFill>
                  <w14:solidFill>
                    <w14:schemeClr w14:val="tx1"/>
                  </w14:solidFill>
                </w14:textFill>
              </w:rPr>
              <w:t>由上表可知，本项目的建设符合《黑龙江省人民政府关于实施“三线一单”生态环境分区管控的意见》（黑政发〔2020〕14号）、《鸡西市生态环境准入清单（2023年版）》中的要求。根据《</w:t>
            </w:r>
            <w:r>
              <w:rPr>
                <w:rFonts w:hint="eastAsia"/>
                <w:color w:val="000000" w:themeColor="text1"/>
                <w:kern w:val="0"/>
                <w:szCs w:val="21"/>
                <w:highlight w:val="none"/>
                <w:lang w:val="en-US" w:eastAsia="zh-CN"/>
                <w14:textFill>
                  <w14:solidFill>
                    <w14:schemeClr w14:val="tx1"/>
                  </w14:solidFill>
                </w14:textFill>
              </w:rPr>
              <w:t>鸡东县忠旺粮库有限公司烘干塔建设</w:t>
            </w:r>
            <w:r>
              <w:rPr>
                <w:rFonts w:hint="default"/>
                <w:color w:val="000000" w:themeColor="text1"/>
                <w:kern w:val="0"/>
                <w:szCs w:val="21"/>
                <w:highlight w:val="none"/>
                <w:lang w:val="en-US" w:eastAsia="zh-CN"/>
                <w14:textFill>
                  <w14:solidFill>
                    <w14:schemeClr w14:val="tx1"/>
                  </w14:solidFill>
                </w14:textFill>
              </w:rPr>
              <w:t>生态环境分区管控分析报告》分析成果，</w:t>
            </w:r>
            <w:r>
              <w:rPr>
                <w:rFonts w:hint="eastAsia"/>
                <w:color w:val="000000" w:themeColor="text1"/>
                <w:kern w:val="0"/>
                <w:szCs w:val="21"/>
                <w:highlight w:val="none"/>
                <w:lang w:val="en-US" w:eastAsia="zh-CN"/>
                <w14:textFill>
                  <w14:solidFill>
                    <w14:schemeClr w14:val="tx1"/>
                  </w14:solidFill>
                </w14:textFill>
              </w:rPr>
              <w:t>鸡东县忠旺粮库有限公司烘干塔建设</w:t>
            </w:r>
            <w:r>
              <w:rPr>
                <w:rFonts w:hint="default"/>
                <w:color w:val="000000" w:themeColor="text1"/>
                <w:kern w:val="0"/>
                <w:szCs w:val="21"/>
                <w:highlight w:val="none"/>
                <w:lang w:val="en-US" w:eastAsia="zh-CN"/>
                <w14:textFill>
                  <w14:solidFill>
                    <w14:schemeClr w14:val="tx1"/>
                  </w14:solidFill>
                </w14:textFill>
              </w:rPr>
              <w:t>项目位置涉及</w:t>
            </w:r>
            <w:r>
              <w:rPr>
                <w:rFonts w:hint="eastAsia"/>
                <w:color w:val="000000" w:themeColor="text1"/>
                <w:kern w:val="0"/>
                <w:szCs w:val="21"/>
                <w:highlight w:val="none"/>
                <w:lang w:val="en-US" w:eastAsia="zh-CN"/>
                <w14:textFill>
                  <w14:solidFill>
                    <w14:schemeClr w14:val="tx1"/>
                  </w14:solidFill>
                </w14:textFill>
              </w:rPr>
              <w:t>鸡西</w:t>
            </w:r>
            <w:r>
              <w:rPr>
                <w:rFonts w:hint="default"/>
                <w:color w:val="000000" w:themeColor="text1"/>
                <w:kern w:val="0"/>
                <w:szCs w:val="21"/>
                <w:highlight w:val="none"/>
                <w:lang w:val="en-US" w:eastAsia="zh-CN"/>
                <w14:textFill>
                  <w14:solidFill>
                    <w14:schemeClr w14:val="tx1"/>
                  </w14:solidFill>
                </w14:textFill>
              </w:rPr>
              <w:t>市</w:t>
            </w:r>
            <w:r>
              <w:rPr>
                <w:rFonts w:hint="eastAsia"/>
                <w:color w:val="000000" w:themeColor="text1"/>
                <w:kern w:val="0"/>
                <w:szCs w:val="21"/>
                <w:highlight w:val="none"/>
                <w:lang w:val="en-US" w:eastAsia="zh-CN"/>
                <w14:textFill>
                  <w14:solidFill>
                    <w14:schemeClr w14:val="tx1"/>
                  </w14:solidFill>
                </w14:textFill>
              </w:rPr>
              <w:t>鸡东县</w:t>
            </w:r>
            <w:r>
              <w:rPr>
                <w:rFonts w:hint="default"/>
                <w:color w:val="000000" w:themeColor="text1"/>
                <w:kern w:val="0"/>
                <w:szCs w:val="21"/>
                <w:highlight w:val="none"/>
                <w:lang w:val="en-US" w:eastAsia="zh-CN"/>
                <w14:textFill>
                  <w14:solidFill>
                    <w14:schemeClr w14:val="tx1"/>
                  </w14:solidFill>
                </w14:textFill>
              </w:rPr>
              <w:t>:项目占地总面积0.</w:t>
            </w:r>
            <w:r>
              <w:rPr>
                <w:rFonts w:hint="eastAsia"/>
                <w:color w:val="000000" w:themeColor="text1"/>
                <w:kern w:val="0"/>
                <w:szCs w:val="21"/>
                <w:highlight w:val="none"/>
                <w:lang w:val="en-US" w:eastAsia="zh-CN"/>
                <w14:textFill>
                  <w14:solidFill>
                    <w14:schemeClr w14:val="tx1"/>
                  </w14:solidFill>
                </w14:textFill>
              </w:rPr>
              <w:t>14</w:t>
            </w:r>
            <w:r>
              <w:rPr>
                <w:rFonts w:hint="default"/>
                <w:color w:val="000000" w:themeColor="text1"/>
                <w:kern w:val="0"/>
                <w:szCs w:val="21"/>
                <w:highlight w:val="none"/>
                <w:lang w:val="en-US" w:eastAsia="zh-CN"/>
                <w14:textFill>
                  <w14:solidFill>
                    <w14:schemeClr w14:val="tx1"/>
                  </w14:solidFill>
                </w14:textFill>
              </w:rPr>
              <w:t>平方公里</w:t>
            </w:r>
            <w:r>
              <w:rPr>
                <w:rFonts w:hint="eastAsia"/>
                <w:color w:val="000000" w:themeColor="text1"/>
                <w:kern w:val="0"/>
                <w:szCs w:val="21"/>
                <w:highlight w:val="none"/>
                <w:lang w:val="en-US" w:eastAsia="zh-CN"/>
                <w14:textFill>
                  <w14:solidFill>
                    <w14:schemeClr w14:val="tx1"/>
                  </w14:solidFill>
                </w14:textFill>
              </w:rPr>
              <w:t>，</w:t>
            </w:r>
            <w:r>
              <w:rPr>
                <w:rFonts w:hint="default"/>
                <w:color w:val="000000" w:themeColor="text1"/>
                <w:kern w:val="0"/>
                <w:szCs w:val="21"/>
                <w:highlight w:val="none"/>
                <w:lang w:val="en-US" w:eastAsia="zh-CN"/>
                <w14:textFill>
                  <w14:solidFill>
                    <w14:schemeClr w14:val="tx1"/>
                  </w14:solidFill>
                </w14:textFill>
              </w:rPr>
              <w:t>与生态保护红线交集面积为0.00平方公里，占项目占地面积的0.00%。与自然保护地整合优化方案数据交集面积为0.00平方公里，占项目占地面积的 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 0.00%:与重点管控单元交集面积为0.</w:t>
            </w:r>
            <w:r>
              <w:rPr>
                <w:rFonts w:hint="eastAsia"/>
                <w:color w:val="000000" w:themeColor="text1"/>
                <w:kern w:val="0"/>
                <w:szCs w:val="21"/>
                <w:highlight w:val="none"/>
                <w:lang w:val="en-US" w:eastAsia="zh-CN"/>
                <w14:textFill>
                  <w14:solidFill>
                    <w14:schemeClr w14:val="tx1"/>
                  </w14:solidFill>
                </w14:textFill>
              </w:rPr>
              <w:t>14</w:t>
            </w:r>
            <w:r>
              <w:rPr>
                <w:rFonts w:hint="default"/>
                <w:color w:val="000000" w:themeColor="text1"/>
                <w:kern w:val="0"/>
                <w:szCs w:val="21"/>
                <w:highlight w:val="none"/>
                <w:lang w:val="en-US" w:eastAsia="zh-CN"/>
                <w14:textFill>
                  <w14:solidFill>
                    <w14:schemeClr w14:val="tx1"/>
                  </w14:solidFill>
                </w14:textFill>
              </w:rPr>
              <w:t>平方公里，占项目占地面积的</w:t>
            </w:r>
            <w:r>
              <w:rPr>
                <w:rFonts w:hint="eastAsia"/>
                <w:color w:val="000000" w:themeColor="text1"/>
                <w:kern w:val="0"/>
                <w:szCs w:val="21"/>
                <w:highlight w:val="none"/>
                <w:lang w:val="en-US" w:eastAsia="zh-CN"/>
                <w14:textFill>
                  <w14:solidFill>
                    <w14:schemeClr w14:val="tx1"/>
                  </w14:solidFill>
                </w14:textFill>
              </w:rPr>
              <w:t>10</w:t>
            </w:r>
            <w:r>
              <w:rPr>
                <w:rFonts w:hint="default"/>
                <w:color w:val="000000" w:themeColor="text1"/>
                <w:kern w:val="0"/>
                <w:szCs w:val="21"/>
                <w:highlight w:val="none"/>
                <w:lang w:val="en-US" w:eastAsia="zh-CN"/>
                <w14:textFill>
                  <w14:solidFill>
                    <w14:schemeClr w14:val="tx1"/>
                  </w14:solidFill>
                </w14:textFill>
              </w:rPr>
              <w:t>0.00%:一般管控单元交集面积为0.0</w:t>
            </w:r>
            <w:r>
              <w:rPr>
                <w:rFonts w:hint="eastAsia"/>
                <w:color w:val="000000" w:themeColor="text1"/>
                <w:kern w:val="0"/>
                <w:szCs w:val="21"/>
                <w:highlight w:val="none"/>
                <w:lang w:val="en-US" w:eastAsia="zh-CN"/>
                <w14:textFill>
                  <w14:solidFill>
                    <w14:schemeClr w14:val="tx1"/>
                  </w14:solidFill>
                </w14:textFill>
              </w:rPr>
              <w:t>0</w:t>
            </w:r>
            <w:r>
              <w:rPr>
                <w:rFonts w:hint="default"/>
                <w:color w:val="000000" w:themeColor="text1"/>
                <w:kern w:val="0"/>
                <w:szCs w:val="21"/>
                <w:highlight w:val="none"/>
                <w:lang w:val="en-US" w:eastAsia="zh-CN"/>
                <w14:textFill>
                  <w14:solidFill>
                    <w14:schemeClr w14:val="tx1"/>
                  </w14:solidFill>
                </w14:textFill>
              </w:rPr>
              <w:t>平方公里，占项目占地面积的0.00%。与地下水环境优先保护区交集面积为0.00平方公里，占项目占地面积的 0.00%:与地下水环境重点管控区交集面积为0.00平方公里，占项目占地面积的0.00%，与地下水环境一般管控区交集面积为0.</w:t>
            </w:r>
            <w:r>
              <w:rPr>
                <w:rFonts w:hint="eastAsia"/>
                <w:color w:val="000000" w:themeColor="text1"/>
                <w:kern w:val="0"/>
                <w:szCs w:val="21"/>
                <w:highlight w:val="none"/>
                <w:lang w:val="en-US" w:eastAsia="zh-CN"/>
                <w14:textFill>
                  <w14:solidFill>
                    <w14:schemeClr w14:val="tx1"/>
                  </w14:solidFill>
                </w14:textFill>
              </w:rPr>
              <w:t>14</w:t>
            </w:r>
            <w:r>
              <w:rPr>
                <w:rFonts w:hint="default"/>
                <w:color w:val="000000" w:themeColor="text1"/>
                <w:kern w:val="0"/>
                <w:szCs w:val="21"/>
                <w:highlight w:val="none"/>
                <w:lang w:val="en-US" w:eastAsia="zh-CN"/>
                <w14:textFill>
                  <w14:solidFill>
                    <w14:schemeClr w14:val="tx1"/>
                  </w14:solidFill>
                </w14:textFill>
              </w:rPr>
              <w:t>平方公里，占项目占地面积的 100.00%。</w:t>
            </w:r>
          </w:p>
          <w:p w14:paraId="35739AFA">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lang w:val="en-US" w:eastAsia="zh-CN"/>
                <w14:textFill>
                  <w14:solidFill>
                    <w14:schemeClr w14:val="tx1"/>
                  </w14:solidFill>
                </w14:textFill>
              </w:rPr>
              <w:t>本项目的建设符合《黑龙江省人民政府关于实施“三线一单”生态环境分区管控的意见》（黑政发〔2020〕14号）、《鸡西市生态环境准入清单（2023年版）》的内容，《</w:t>
            </w:r>
            <w:r>
              <w:rPr>
                <w:rFonts w:hint="eastAsia"/>
                <w:color w:val="000000" w:themeColor="text1"/>
                <w:kern w:val="0"/>
                <w:szCs w:val="21"/>
                <w:highlight w:val="none"/>
                <w:lang w:val="en-US" w:eastAsia="zh-CN"/>
                <w14:textFill>
                  <w14:solidFill>
                    <w14:schemeClr w14:val="tx1"/>
                  </w14:solidFill>
                </w14:textFill>
              </w:rPr>
              <w:t>鸡东县忠旺粮库有限公司烘干塔建设</w:t>
            </w:r>
            <w:r>
              <w:rPr>
                <w:rFonts w:hint="default"/>
                <w:color w:val="000000" w:themeColor="text1"/>
                <w:kern w:val="0"/>
                <w:szCs w:val="21"/>
                <w:highlight w:val="none"/>
                <w:lang w:val="en-US" w:eastAsia="zh-CN"/>
                <w14:textFill>
                  <w14:solidFill>
                    <w14:schemeClr w14:val="tx1"/>
                  </w14:solidFill>
                </w14:textFill>
              </w:rPr>
              <w:t>生态环境分区管控分析报告》中的相关要求。</w:t>
            </w:r>
            <w:r>
              <w:rPr>
                <w:rFonts w:hint="default"/>
                <w:color w:val="000000" w:themeColor="text1"/>
                <w:kern w:val="0"/>
                <w:szCs w:val="21"/>
                <w:highlight w:val="none"/>
                <w14:textFill>
                  <w14:solidFill>
                    <w14:schemeClr w14:val="tx1"/>
                  </w14:solidFill>
                </w14:textFill>
              </w:rPr>
              <w:t>因此，本项目符合</w:t>
            </w:r>
            <w:r>
              <w:rPr>
                <w:rFonts w:hint="eastAsia"/>
                <w:color w:val="000000" w:themeColor="text1"/>
                <w:kern w:val="0"/>
                <w:szCs w:val="21"/>
                <w:highlight w:val="none"/>
                <w:lang w:eastAsia="zh-CN"/>
                <w14:textFill>
                  <w14:solidFill>
                    <w14:schemeClr w14:val="tx1"/>
                  </w14:solidFill>
                </w14:textFill>
              </w:rPr>
              <w:t>“</w:t>
            </w:r>
            <w:r>
              <w:rPr>
                <w:rFonts w:hint="default"/>
                <w:color w:val="000000" w:themeColor="text1"/>
                <w:kern w:val="0"/>
                <w:szCs w:val="21"/>
                <w:highlight w:val="none"/>
                <w14:textFill>
                  <w14:solidFill>
                    <w14:schemeClr w14:val="tx1"/>
                  </w14:solidFill>
                </w14:textFill>
              </w:rPr>
              <w:t>三线一单</w:t>
            </w:r>
            <w:r>
              <w:rPr>
                <w:rFonts w:hint="eastAsia"/>
                <w:color w:val="000000" w:themeColor="text1"/>
                <w:kern w:val="0"/>
                <w:szCs w:val="21"/>
                <w:highlight w:val="none"/>
                <w:lang w:eastAsia="zh-CN"/>
                <w14:textFill>
                  <w14:solidFill>
                    <w14:schemeClr w14:val="tx1"/>
                  </w14:solidFill>
                </w14:textFill>
              </w:rPr>
              <w:t>”</w:t>
            </w:r>
            <w:r>
              <w:rPr>
                <w:rFonts w:hint="default"/>
                <w:color w:val="000000" w:themeColor="text1"/>
                <w:kern w:val="0"/>
                <w:szCs w:val="21"/>
                <w:highlight w:val="none"/>
                <w14:textFill>
                  <w14:solidFill>
                    <w14:schemeClr w14:val="tx1"/>
                  </w14:solidFill>
                </w14:textFill>
              </w:rPr>
              <w:t>相关要求。</w:t>
            </w:r>
          </w:p>
          <w:p w14:paraId="7C2EBF34">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eastAsia"/>
                <w:b/>
                <w:bCs/>
                <w:color w:val="000000" w:themeColor="text1"/>
                <w:kern w:val="0"/>
                <w:szCs w:val="2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2</w:t>
            </w:r>
            <w:r>
              <w:rPr>
                <w:rFonts w:hint="eastAsia"/>
                <w:b/>
                <w:bCs/>
                <w:color w:val="000000" w:themeColor="text1"/>
                <w:kern w:val="0"/>
                <w:szCs w:val="21"/>
                <w:highlight w:val="none"/>
                <w14:textFill>
                  <w14:solidFill>
                    <w14:schemeClr w14:val="tx1"/>
                  </w14:solidFill>
                </w14:textFill>
              </w:rPr>
              <w:t>、选址合理性分析</w:t>
            </w:r>
          </w:p>
          <w:p w14:paraId="6D426BE8">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cs="Times New Roman" w:eastAsiaTheme="minorEastAsia"/>
                <w:color w:val="000000" w:themeColor="text1"/>
                <w:sz w:val="21"/>
                <w:szCs w:val="21"/>
                <w:highlight w:val="none"/>
                <w:u w:val="none"/>
                <w:lang w:val="en-US" w:eastAsia="zh-CN"/>
                <w14:textFill>
                  <w14:solidFill>
                    <w14:schemeClr w14:val="tx1"/>
                  </w14:solidFill>
                </w14:textFill>
              </w:rPr>
            </w:pPr>
            <w:r>
              <w:rPr>
                <w:rFonts w:hint="eastAsia"/>
                <w:color w:val="000000" w:themeColor="text1"/>
                <w:kern w:val="0"/>
                <w:szCs w:val="21"/>
                <w:highlight w:val="none"/>
                <w14:textFill>
                  <w14:solidFill>
                    <w14:schemeClr w14:val="tx1"/>
                  </w14:solidFill>
                </w14:textFill>
              </w:rPr>
              <w:t>项目</w:t>
            </w:r>
            <w:r>
              <w:rPr>
                <w:rFonts w:hint="default"/>
                <w:color w:val="000000" w:themeColor="text1"/>
                <w:kern w:val="0"/>
                <w:szCs w:val="21"/>
                <w:highlight w:val="none"/>
                <w14:textFill>
                  <w14:solidFill>
                    <w14:schemeClr w14:val="tx1"/>
                  </w14:solidFill>
                </w14:textFill>
              </w:rPr>
              <w:t>位于</w:t>
            </w:r>
            <w:r>
              <w:rPr>
                <w:rFonts w:hint="eastAsia"/>
                <w:color w:val="000000" w:themeColor="text1"/>
                <w:highlight w:val="none"/>
                <w:lang w:val="en-US" w:eastAsia="zh-CN"/>
                <w14:textFill>
                  <w14:solidFill>
                    <w14:schemeClr w14:val="tx1"/>
                  </w14:solidFill>
                </w14:textFill>
              </w:rPr>
              <w:t>黑龙江省鸡西市鸡东县鸡东镇银东村</w:t>
            </w:r>
            <w:r>
              <w:rPr>
                <w:rFonts w:hint="default"/>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本项目所在地土地性质为工业用地，厂区东</w:t>
            </w:r>
            <w:r>
              <w:rPr>
                <w:rFonts w:hint="default"/>
                <w:color w:val="000000" w:themeColor="text1"/>
                <w:kern w:val="0"/>
                <w:szCs w:val="21"/>
                <w:highlight w:val="none"/>
                <w14:textFill>
                  <w14:solidFill>
                    <w14:schemeClr w14:val="tx1"/>
                  </w14:solidFill>
                </w14:textFill>
              </w:rPr>
              <w:t>侧</w:t>
            </w:r>
            <w:r>
              <w:rPr>
                <w:rFonts w:hint="eastAsia"/>
                <w:color w:val="000000" w:themeColor="text1"/>
                <w:kern w:val="0"/>
                <w:szCs w:val="21"/>
                <w:highlight w:val="none"/>
                <w:lang w:val="en-US" w:eastAsia="zh-CN"/>
                <w14:textFill>
                  <w14:solidFill>
                    <w14:schemeClr w14:val="tx1"/>
                  </w14:solidFill>
                </w14:textFill>
              </w:rPr>
              <w:t>为鸡东县殡仪馆</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北侧为敬老中心楼，南侧为X114县道，西侧为空地。</w:t>
            </w:r>
            <w:r>
              <w:rPr>
                <w:rFonts w:hint="default"/>
                <w:color w:val="000000" w:themeColor="text1"/>
                <w:highlight w:val="none"/>
                <w14:textFill>
                  <w14:solidFill>
                    <w14:schemeClr w14:val="tx1"/>
                  </w14:solidFill>
                </w14:textFill>
              </w:rPr>
              <w:t>本项目不涉及生态环境保护目标</w:t>
            </w:r>
            <w:r>
              <w:rPr>
                <w:rFonts w:hint="eastAsia"/>
                <w:color w:val="000000" w:themeColor="text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50米范围声环境保护目标</w:t>
            </w:r>
            <w:r>
              <w:rPr>
                <w:rFonts w:hint="eastAsia" w:cs="Times New Roman"/>
                <w:bCs/>
                <w:color w:val="000000" w:themeColor="text1"/>
                <w:szCs w:val="21"/>
                <w:highlight w:val="none"/>
                <w:lang w:val="en-US" w:eastAsia="zh-CN"/>
                <w14:textFill>
                  <w14:solidFill>
                    <w14:schemeClr w14:val="tx1"/>
                  </w14:solidFill>
                </w14:textFill>
              </w:rPr>
              <w:t>为西南侧银东村村委会及北侧敬老中心楼</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Cs w:val="21"/>
                <w:highlight w:val="none"/>
                <w14:textFill>
                  <w14:solidFill>
                    <w14:schemeClr w14:val="tx1"/>
                  </w14:solidFill>
                </w14:textFill>
              </w:rPr>
              <w:t>本项目500米范围内大气环境保护目标</w:t>
            </w:r>
            <w:r>
              <w:rPr>
                <w:rFonts w:hint="eastAsia" w:cs="Times New Roman" w:eastAsiaTheme="minorEastAsia"/>
                <w:color w:val="000000" w:themeColor="text1"/>
                <w:szCs w:val="21"/>
                <w:highlight w:val="none"/>
                <w:u w:val="none"/>
                <w:lang w:val="en-US" w:eastAsia="zh-CN"/>
                <w14:textFill>
                  <w14:solidFill>
                    <w14:schemeClr w14:val="tx1"/>
                  </w14:solidFill>
                </w14:textFill>
              </w:rPr>
              <w:t>为位于</w:t>
            </w:r>
            <w:r>
              <w:rPr>
                <w:rFonts w:hint="eastAsia" w:cs="Times New Roman"/>
                <w:bCs/>
                <w:color w:val="000000" w:themeColor="text1"/>
                <w:szCs w:val="21"/>
                <w:highlight w:val="none"/>
                <w:lang w:val="en-US" w:eastAsia="zh-CN"/>
                <w14:textFill>
                  <w14:solidFill>
                    <w14:schemeClr w14:val="tx1"/>
                  </w14:solidFill>
                </w14:textFill>
              </w:rPr>
              <w:t>西南侧银东村村委会、北侧敬老中心楼及北侧居民区。</w:t>
            </w:r>
          </w:p>
          <w:p w14:paraId="46232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vertAlign w:val="baseli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本项目新增原未利用78695m</w:t>
            </w:r>
            <w:r>
              <w:rPr>
                <w:rFonts w:hint="eastAsia" w:cs="Times New Roman"/>
                <w:bCs/>
                <w:color w:val="000000" w:themeColor="text1"/>
                <w:sz w:val="21"/>
                <w:szCs w:val="21"/>
                <w:highlight w:val="none"/>
                <w:vertAlign w:val="superscript"/>
                <w:lang w:val="en-US" w:eastAsia="zh-CN"/>
                <w14:textFill>
                  <w14:solidFill>
                    <w14:schemeClr w14:val="tx1"/>
                  </w14:solidFill>
                </w14:textFill>
              </w:rPr>
              <w:t>2</w:t>
            </w:r>
            <w:r>
              <w:rPr>
                <w:rFonts w:hint="eastAsia" w:cs="Times New Roman"/>
                <w:bCs/>
                <w:color w:val="000000" w:themeColor="text1"/>
                <w:sz w:val="21"/>
                <w:szCs w:val="21"/>
                <w:highlight w:val="none"/>
                <w:vertAlign w:val="baseline"/>
                <w:lang w:val="en-US" w:eastAsia="zh-CN"/>
                <w14:textFill>
                  <w14:solidFill>
                    <w14:schemeClr w14:val="tx1"/>
                  </w14:solidFill>
                </w14:textFill>
              </w:rPr>
              <w:t>工业用地，位于原项目位置西北部。</w:t>
            </w:r>
          </w:p>
          <w:p w14:paraId="628181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本项目无生产废水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项目不新增员工，因此无新增废水。</w:t>
            </w:r>
            <w:r>
              <w:rPr>
                <w:rFonts w:hint="eastAsia" w:ascii="Times New Roman" w:cs="Times New Roman" w:hAnsiTheme="minorEastAsia" w:eastAsiaTheme="minorEastAsia"/>
                <w:color w:val="000000" w:themeColor="text1"/>
                <w:kern w:val="0"/>
                <w:sz w:val="21"/>
                <w:szCs w:val="21"/>
                <w:highlight w:val="none"/>
                <w:lang w:val="en-US" w:eastAsia="zh-CN" w:bidi="ar-SA"/>
                <w14:textFill>
                  <w14:solidFill>
                    <w14:schemeClr w14:val="tx1"/>
                  </w14:solidFill>
                </w14:textFill>
              </w:rPr>
              <w:t>通过厂内设置相应的大气污染防治措施及噪声污染防治措施，可使大气污染物及噪声达标排放，不会对周围居民生活造成明显影响。</w:t>
            </w:r>
            <w:r>
              <w:rPr>
                <w:rFonts w:hint="eastAsia" w:cs="Times New Roman" w:eastAsiaTheme="minorEastAsia"/>
                <w:color w:val="000000" w:themeColor="text1"/>
                <w:sz w:val="21"/>
                <w:szCs w:val="21"/>
                <w:highlight w:val="none"/>
                <w:u w:val="none"/>
                <w:lang w:val="en-US" w:eastAsia="zh-CN"/>
                <w14:textFill>
                  <w14:solidFill>
                    <w14:schemeClr w14:val="tx1"/>
                  </w14:solidFill>
                </w14:textFill>
              </w:rPr>
              <w:t>固体废物合理处置。</w:t>
            </w:r>
          </w:p>
          <w:p w14:paraId="5C4DD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b/>
                <w:bCs/>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本项目</w:t>
            </w:r>
            <w:r>
              <w:rPr>
                <w:rFonts w:hint="eastAsia"/>
                <w:color w:val="000000" w:themeColor="text1"/>
                <w:kern w:val="0"/>
                <w:szCs w:val="21"/>
                <w:highlight w:val="none"/>
                <w14:textFill>
                  <w14:solidFill>
                    <w14:schemeClr w14:val="tx1"/>
                  </w14:solidFill>
                </w14:textFill>
              </w:rPr>
              <w:t>厂区地理位置交通便利，基础设施齐全，与周边环境协调。项目不在风景名胜区、自然保护区、水源保护区及其他需要特别保护的区域内，没有明显的环境制约因素，项目选址合理。</w:t>
            </w:r>
          </w:p>
          <w:p w14:paraId="49F27D12">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default"/>
                <w:color w:val="000000" w:themeColor="text1"/>
                <w:highlight w:val="none"/>
                <w14:textFill>
                  <w14:solidFill>
                    <w14:schemeClr w14:val="tx1"/>
                  </w14:solidFill>
                </w14:textFill>
              </w:rPr>
            </w:pPr>
            <w:r>
              <w:rPr>
                <w:rFonts w:hint="eastAsia"/>
                <w:b/>
                <w:bCs/>
                <w:color w:val="000000" w:themeColor="text1"/>
                <w:kern w:val="0"/>
                <w:szCs w:val="21"/>
                <w:highlight w:val="none"/>
                <w:lang w:val="en-US" w:eastAsia="zh-CN"/>
                <w14:textFill>
                  <w14:solidFill>
                    <w14:schemeClr w14:val="tx1"/>
                  </w14:solidFill>
                </w14:textFill>
              </w:rPr>
              <w:t>3</w:t>
            </w:r>
            <w:r>
              <w:rPr>
                <w:rFonts w:hint="eastAsia"/>
                <w:b/>
                <w:bCs/>
                <w:color w:val="000000" w:themeColor="text1"/>
                <w:kern w:val="0"/>
                <w:szCs w:val="21"/>
                <w:highlight w:val="none"/>
                <w14:textFill>
                  <w14:solidFill>
                    <w14:schemeClr w14:val="tx1"/>
                  </w14:solidFill>
                </w14:textFill>
              </w:rPr>
              <w:t>、产业政策符合性</w:t>
            </w:r>
          </w:p>
          <w:p w14:paraId="67D56B94">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contextualSpacing/>
              <w:jc w:val="left"/>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《产业结构调整指导目录（</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2024年本</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本项目属于鼓励类中第一大类农林业第8条“农林牧渔产品储运、保鲜、加工与综合利用”。因此，本项目</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符合国家产业政策。</w:t>
            </w:r>
          </w:p>
          <w:p w14:paraId="23C9A79A">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2" w:firstLineChars="200"/>
              <w:contextualSpacing/>
              <w:jc w:val="left"/>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与《黑龙江省工业炉窑大气污染综合治理方案》（黑环发[2019]144号）符合性分析</w:t>
            </w:r>
          </w:p>
          <w:p w14:paraId="1CB41277">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contextualSpacing/>
              <w:textAlignment w:val="auto"/>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根据《黑龙江省工业炉窑大气污染综合治理方案》（黑环发[2019]144号），</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推进工业炉窑全面达标排放。已有行业排放标准的工业炉窑，严格执行行业排放标准相关规定，配套建设高效脱硫脱硝除尘设施，确保稳定达标排放。已核发排污许可证的，应严格按照许可要求执行</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严格项目环境准入。新建涉工业炉窑的建设项目，原则上要入园区，配套建设高效环保治理设施。加大落后产能和不达标工业炉窑淘汰力度。分行业清理《产业结构调整指导目录》淘汰类工业炉窑。对热效率低下、敞开未封闭，装备简易落后、自动化程度低，无组织排放突出，以及无治理设施或治理设施工作落后等严重污染环境的工业炉窑，依法责令停业关闭。</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p>
          <w:p w14:paraId="0BFD98DD">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烟气经除尘效率为9</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%的布袋除尘器处理后经</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一</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根</w:t>
            </w:r>
            <w:r>
              <w:rPr>
                <w:rFonts w:hint="eastAsia" w:cs="Times New Roman"/>
                <w:bCs/>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m高</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w:t>
            </w:r>
            <w:r>
              <w:rPr>
                <w:rFonts w:hint="eastAsia" w:cs="Times New Roman"/>
                <w:bCs/>
                <w:color w:val="000000" w:themeColor="text1"/>
                <w:kern w:val="0"/>
                <w:sz w:val="21"/>
                <w:szCs w:val="21"/>
                <w:highlight w:val="none"/>
                <w:lang w:eastAsia="zh-CN"/>
                <w14:textFill>
                  <w14:solidFill>
                    <w14:schemeClr w14:val="tx1"/>
                  </w14:solidFill>
                </w14:textFill>
              </w:rPr>
              <w:t>颗粒物</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排放浓度、烟气黑度满足《工业炉窑大气污染物排放标准》（GB9078-1996）表2</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中</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二级标准，SO</w:t>
            </w:r>
            <w:r>
              <w:rPr>
                <w:rFonts w:hint="default" w:ascii="Times New Roman" w:hAnsi="Times New Roman" w:eastAsia="宋体" w:cs="Times New Roman"/>
                <w:bCs/>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排放浓度满足《工业炉窑大气污染物排放标准》（GB9078-1996）表4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中</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二级标准。</w:t>
            </w:r>
          </w:p>
          <w:p w14:paraId="3F49A73F">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本项目不属于《产业结构调整指导目录》淘汰类工业炉窑，热风炉布置于封闭的</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内，燃料</w:t>
            </w:r>
            <w:r>
              <w:rPr>
                <w:rFonts w:hint="eastAsia" w:cs="Times New Roman"/>
                <w:bCs/>
                <w:color w:val="000000" w:themeColor="text1"/>
                <w:kern w:val="0"/>
                <w:sz w:val="21"/>
                <w:szCs w:val="21"/>
                <w:highlight w:val="none"/>
                <w:lang w:val="en-US" w:eastAsia="zh-CN"/>
                <w14:textFill>
                  <w14:solidFill>
                    <w14:schemeClr w14:val="tx1"/>
                  </w14:solidFill>
                </w14:textFill>
              </w:rPr>
              <w:t>及</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灰渣储存于</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内，控制物料储存及输送的无组织排放。本项目</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热风炉产生的烟气，经过环保治理设施污染物达标排放，对周围环境及敏感目标影响较小。</w:t>
            </w:r>
            <w:r>
              <w:rPr>
                <w:rFonts w:hint="default" w:ascii="Times New Roman" w:hAnsi="Times New Roman" w:eastAsia="宋体" w:cs="Times New Roman"/>
                <w:color w:val="000000" w:themeColor="text1"/>
                <w:sz w:val="21"/>
                <w:szCs w:val="21"/>
                <w:highlight w:val="none"/>
                <w14:textFill>
                  <w14:solidFill>
                    <w14:schemeClr w14:val="tx1"/>
                  </w14:solidFill>
                </w14:textFill>
              </w:rPr>
              <w:t>本项目作为农村特有的为粮食安全提供的烘干服务企业，结合黑龙江省现有粮食烘干企业的情况，目前均未要求粮食烘干企业进驻工业园区的要求。</w:t>
            </w:r>
          </w:p>
          <w:p w14:paraId="549E55E4">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本项目建设符合《黑龙江省工业炉窑大气污染综合治理方案》（黑环发[2019]144号）相关要求。</w:t>
            </w:r>
          </w:p>
          <w:p w14:paraId="6C0ED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w:t>
            </w:r>
            <w:r>
              <w:rPr>
                <w:rFonts w:hint="default"/>
                <w:b/>
                <w:bCs/>
                <w:color w:val="000000" w:themeColor="text1"/>
                <w:szCs w:val="21"/>
                <w:highlight w:val="none"/>
                <w14:textFill>
                  <w14:solidFill>
                    <w14:schemeClr w14:val="tx1"/>
                  </w14:solidFill>
                </w14:textFill>
              </w:rPr>
              <w:t>《黑龙江省大气污染防治条例》（2018年修订）符合性分析</w:t>
            </w:r>
          </w:p>
          <w:p w14:paraId="2EDB4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根据条</w:t>
            </w:r>
            <w:r>
              <w:rPr>
                <w:rFonts w:hint="eastAsia" w:ascii="宋体" w:hAnsi="宋体" w:eastAsia="宋体" w:cs="宋体"/>
                <w:color w:val="000000" w:themeColor="text1"/>
                <w:szCs w:val="21"/>
                <w:highlight w:val="none"/>
                <w14:textFill>
                  <w14:solidFill>
                    <w14:schemeClr w14:val="tx1"/>
                  </w14:solidFill>
                </w14:textFill>
              </w:rPr>
              <w:t>例“第三十三条设区的市级城市建成区内，禁止新建额定蒸发量低于每小时二十吨或者额定功率低于十四兆瓦的燃煤锅炉；已经建成的额定蒸发量每小时十吨以下或者额定功率七兆瓦以下的燃煤锅炉，应当在国家规定的期限内淘汰”。</w:t>
            </w:r>
          </w:p>
          <w:p w14:paraId="20FB9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cs="Times New Roman"/>
                <w:color w:val="000000" w:themeColor="text1"/>
                <w:sz w:val="21"/>
                <w:szCs w:val="21"/>
                <w:highlight w:val="none"/>
                <w:lang w:val="en-US" w:eastAsia="zh-CN"/>
                <w14:textFill>
                  <w14:solidFill>
                    <w14:schemeClr w14:val="tx1"/>
                  </w14:solidFill>
                </w14:textFill>
              </w:rPr>
              <w:t>，为粮食烘干提供热源，配套设置布袋除尘器，燃料为生物质成型燃料</w:t>
            </w:r>
            <w:r>
              <w:rPr>
                <w:rFonts w:hint="eastAsia" w:ascii="宋体" w:hAnsi="宋体" w:cs="宋体"/>
                <w:color w:val="000000" w:themeColor="text1"/>
                <w:szCs w:val="21"/>
                <w:highlight w:val="none"/>
                <w:lang w:eastAsia="zh-CN"/>
                <w14:textFill>
                  <w14:solidFill>
                    <w14:schemeClr w14:val="tx1"/>
                  </w14:solidFill>
                </w14:textFill>
              </w:rPr>
              <w:t>，因此，</w:t>
            </w:r>
            <w:r>
              <w:rPr>
                <w:rFonts w:hint="default"/>
                <w:color w:val="000000" w:themeColor="text1"/>
                <w:szCs w:val="21"/>
                <w:highlight w:val="none"/>
                <w14:textFill>
                  <w14:solidFill>
                    <w14:schemeClr w14:val="tx1"/>
                  </w14:solidFill>
                </w14:textFill>
              </w:rPr>
              <w:t>本项目建设符合《黑龙江省大气污染防治条例》（2018年修订）的环境管理要求。</w:t>
            </w:r>
          </w:p>
          <w:p w14:paraId="071A38EC">
            <w:pPr>
              <w:keepNext w:val="0"/>
              <w:keepLines w:val="0"/>
              <w:pageBreakBefore w:val="0"/>
              <w:suppressLineNumbers w:val="0"/>
              <w:kinsoku/>
              <w:wordWrap/>
              <w:overflowPunct/>
              <w:topLinePunct w:val="0"/>
              <w:autoSpaceDE w:val="0"/>
              <w:autoSpaceDN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与</w:t>
            </w:r>
            <w:r>
              <w:rPr>
                <w:rFonts w:hint="default" w:ascii="Times New Roman" w:hAnsi="Times New Roman" w:eastAsia="宋体" w:cs="Times New Roman"/>
                <w:b/>
                <w:color w:val="000000" w:themeColor="text1"/>
                <w:kern w:val="0"/>
                <w:sz w:val="21"/>
                <w:szCs w:val="21"/>
                <w:highlight w:val="none"/>
                <w:lang w:val="en-US" w:eastAsia="zh-CN"/>
                <w14:textFill>
                  <w14:solidFill>
                    <w14:schemeClr w14:val="tx1"/>
                  </w14:solidFill>
                </w14:textFill>
              </w:rPr>
              <w:t>《环境空气细颗粒物污染综合防治技术政策》</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符合性分析</w:t>
            </w:r>
          </w:p>
          <w:p w14:paraId="5004D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根据《环境空气细颗粒物污染综合防治技术政策》，</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三、防治工业污染，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细颗粒物污染防治技术简要说明中，一、工业污染防治技术，（一）有组织排放颗粒物（烟、粉尘）污染防治技术，包括袋式除尘、湿式电除尘技术、电袋复合除尘技术。（二）前体污染物（NO、SO</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、VOCs、NH</w:t>
            </w:r>
            <w:r>
              <w:rPr>
                <w:rFonts w:hint="default" w:ascii="Times New Roman" w:hAnsi="Times New Roman" w:eastAsia="宋体" w:cs="Times New Roman"/>
                <w:color w:val="000000" w:themeColor="text1"/>
                <w:kern w:val="0"/>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等）净化技术，包括各种脱硫技术、氮氧化物的催化还原技术及烟气脱硝技术、挥发性有机物的燃烧净化与吸附回收技术、氨的水洗涤净化技术。（三）无组织排放颗粒物和前体污染物治理技术，包括适用于大气颗粒物及其前体物污染控制的密闭生产技术、粉状物料堆放场的遮风与抑尘技术</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p w14:paraId="31A9487A">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w:t>
            </w:r>
            <w:r>
              <w:rPr>
                <w:rFonts w:hint="eastAsia" w:cs="Times New Roman"/>
                <w:b w:val="0"/>
                <w:bCs w:val="0"/>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eastAsia="zh-CN"/>
                <w14:textFill>
                  <w14:solidFill>
                    <w14:schemeClr w14:val="tx1"/>
                  </w14:solidFill>
                </w14:textFill>
              </w:rPr>
              <w:t>烟囱</w:t>
            </w:r>
            <w:r>
              <w:rPr>
                <w:rFonts w:hint="eastAsia" w:cs="Times New Roman"/>
                <w:b w:val="0"/>
                <w:bCs w:val="0"/>
                <w:color w:val="000000" w:themeColor="text1"/>
                <w:sz w:val="21"/>
                <w:szCs w:val="21"/>
                <w:highlight w:val="no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高空排放，SO</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w:t>
            </w:r>
            <w:r>
              <w:rPr>
                <w:rFonts w:hint="eastAsia" w:cs="Times New Roman"/>
                <w:b w:val="0"/>
                <w:bCs w:val="0"/>
                <w:color w:val="000000" w:themeColor="text1"/>
                <w:sz w:val="21"/>
                <w:szCs w:val="21"/>
                <w:highlight w:val="none"/>
                <w:lang w:val="en-US" w:eastAsia="zh-CN"/>
                <w14:textFill>
                  <w14:solidFill>
                    <w14:schemeClr w14:val="tx1"/>
                  </w14:solidFill>
                </w14:textFill>
              </w:rPr>
              <w:t>符合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《工业炉窑大气污染物排放标准》（GB9078-1996）中的表4中的二级标准，</w:t>
            </w:r>
            <w:r>
              <w:rPr>
                <w:rFonts w:hint="eastAsia" w:cs="Times New Roman"/>
                <w:b w:val="0"/>
                <w:bCs w:val="0"/>
                <w:color w:val="000000" w:themeColor="text1"/>
                <w:sz w:val="21"/>
                <w:szCs w:val="21"/>
                <w:highlight w:val="none"/>
                <w:lang w:val="en-US" w:eastAsia="zh-CN"/>
                <w14:textFill>
                  <w14:solidFill>
                    <w14:schemeClr w14:val="tx1"/>
                  </w14:solidFill>
                </w14:textFill>
              </w:rPr>
              <w:t>颗粒物排放浓度及烟气黑度符合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《工业炉窑大气污染物排放标准》（GB9078-1996）中的表2中的二级标准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原料烘干</w:t>
            </w:r>
            <w:r>
              <w:rPr>
                <w:rFonts w:hint="default" w:ascii="Times New Roman" w:hAnsi="Times New Roman" w:cs="Times New Roman"/>
                <w:color w:val="000000" w:themeColor="text1"/>
                <w:sz w:val="21"/>
                <w:szCs w:val="21"/>
                <w:highlight w:val="none"/>
                <w:lang w:eastAsia="zh-CN"/>
                <w14:textFill>
                  <w14:solidFill>
                    <w14:schemeClr w14:val="tx1"/>
                  </w14:solidFill>
                </w14:textFill>
              </w:rPr>
              <w:t>、运输</w:t>
            </w:r>
            <w:r>
              <w:rPr>
                <w:rFonts w:hint="eastAsia"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cs="Times New Roman"/>
                <w:color w:val="000000" w:themeColor="text1"/>
                <w:sz w:val="21"/>
                <w:szCs w:val="21"/>
                <w:highlight w:val="none"/>
                <w14:textFill>
                  <w14:solidFill>
                    <w14:schemeClr w14:val="tx1"/>
                  </w14:solidFill>
                </w14:textFill>
              </w:rPr>
              <w:t>过程会有</w:t>
            </w:r>
            <w:r>
              <w:rPr>
                <w:rFonts w:hint="default" w:ascii="Times New Roman" w:hAnsi="Times New Roman"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cs="Times New Roman"/>
                <w:color w:val="000000" w:themeColor="text1"/>
                <w:sz w:val="21"/>
                <w:szCs w:val="21"/>
                <w:highlight w:val="none"/>
                <w14:textFill>
                  <w14:solidFill>
                    <w14:schemeClr w14:val="tx1"/>
                  </w14:solidFill>
                </w14:textFill>
              </w:rPr>
              <w:t>产生，此部分</w:t>
            </w:r>
            <w:r>
              <w:rPr>
                <w:rFonts w:hint="default" w:ascii="Times New Roman" w:hAnsi="Times New Roman"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cs="Times New Roman"/>
                <w:color w:val="000000" w:themeColor="text1"/>
                <w:sz w:val="21"/>
                <w:szCs w:val="21"/>
                <w:highlight w:val="none"/>
                <w14:textFill>
                  <w14:solidFill>
                    <w14:schemeClr w14:val="tx1"/>
                  </w14:solidFill>
                </w14:textFill>
              </w:rPr>
              <w:t>以无组织的形式排放。装卸工段</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密闭性良好的设备，全封闭输送机、原粮入</w:t>
            </w:r>
            <w:r>
              <w:rPr>
                <w:rFonts w:hint="eastAsia" w:cs="Times New Roman"/>
                <w:color w:val="000000" w:themeColor="text1"/>
                <w:spacing w:val="0"/>
                <w:kern w:val="0"/>
                <w:sz w:val="21"/>
                <w:szCs w:val="21"/>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采取封闭和减小装卸高度</w:t>
            </w:r>
            <w:r>
              <w:rPr>
                <w:rFonts w:hint="default" w:ascii="Times New Roman" w:hAnsi="Times New Roman" w:cs="Times New Roman"/>
                <w:color w:val="000000" w:themeColor="text1"/>
                <w:sz w:val="21"/>
                <w:szCs w:val="21"/>
                <w:highlight w:val="none"/>
                <w14:textFill>
                  <w14:solidFill>
                    <w14:schemeClr w14:val="tx1"/>
                  </w14:solidFill>
                </w14:textFill>
              </w:rPr>
              <w:t>等降尘措施，运输过程中采用封闭输送</w:t>
            </w:r>
            <w:r>
              <w:rPr>
                <w:rFonts w:hint="eastAsia" w:ascii="Times New Roman" w:hAnsi="Times New Roman" w:cs="Times New Roman"/>
                <w:color w:val="000000" w:themeColor="text1"/>
                <w:sz w:val="21"/>
                <w:szCs w:val="21"/>
                <w:highlight w:val="none"/>
                <w:lang w:eastAsia="zh-CN"/>
                <w14:textFill>
                  <w14:solidFill>
                    <w14:schemeClr w14:val="tx1"/>
                  </w14:solidFill>
                </w14:textFill>
              </w:rPr>
              <w:t>；清粮采用全密闭筛</w:t>
            </w:r>
            <w:r>
              <w:rPr>
                <w:rFonts w:hint="eastAsia" w:cs="Times New Roman"/>
                <w:color w:val="000000" w:themeColor="text1"/>
                <w:sz w:val="21"/>
                <w:szCs w:val="21"/>
                <w:highlight w:val="none"/>
                <w:lang w:val="en-US" w:eastAsia="zh-CN"/>
                <w14:textFill>
                  <w14:solidFill>
                    <w14:schemeClr w14:val="tx1"/>
                  </w14:solidFill>
                </w14:textFill>
              </w:rPr>
              <w:t>分机</w:t>
            </w:r>
            <w:r>
              <w:rPr>
                <w:rFonts w:hint="eastAsia" w:ascii="Times New Roman" w:hAnsi="Times New Roman" w:cs="Times New Roman"/>
                <w:color w:val="000000" w:themeColor="text1"/>
                <w:sz w:val="21"/>
                <w:szCs w:val="21"/>
                <w:highlight w:val="none"/>
                <w:lang w:eastAsia="zh-CN"/>
                <w14:textFill>
                  <w14:solidFill>
                    <w14:schemeClr w14:val="tx1"/>
                  </w14:solidFill>
                </w14:textFill>
              </w:rPr>
              <w:t>，产生的粉尘经设备自带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。燃料库</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密闭并定期洒水抑尘，减少粉尘扩散</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厂界颗粒物排放浓度符合《大气污染物综合排放标准》（GB16297-1996）表2无组织排放浓度限值要求。</w:t>
            </w:r>
            <w:r>
              <w:rPr>
                <w:rFonts w:hint="default" w:ascii="Times New Roman" w:hAnsi="Times New Roman" w:eastAsia="宋体" w:cs="Times New Roman"/>
                <w:color w:val="000000" w:themeColor="text1"/>
                <w:sz w:val="21"/>
                <w:szCs w:val="21"/>
                <w:highlight w:val="none"/>
                <w14:textFill>
                  <w14:solidFill>
                    <w14:schemeClr w14:val="tx1"/>
                  </w14:solidFill>
                </w14:textFill>
              </w:rPr>
              <w:t>因此本项目符合《</w:t>
            </w:r>
            <w:r>
              <w:rPr>
                <w:rFonts w:hint="default"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环境空气细颗粒物污染综合防治技术政策</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p w14:paraId="2C2454CB">
            <w:pPr>
              <w:pStyle w:val="144"/>
              <w:keepNext w:val="0"/>
              <w:keepLines w:val="0"/>
              <w:pageBreakBefore w:val="0"/>
              <w:widowControl w:val="0"/>
              <w:suppressLineNumbers w:val="0"/>
              <w:kinsoku/>
              <w:wordWrap/>
              <w:overflowPunct/>
              <w:topLinePunct w:val="0"/>
              <w:bidi w:val="0"/>
              <w:spacing w:before="0" w:beforeAutospacing="0" w:after="0" w:afterAutospacing="0"/>
              <w:ind w:left="0" w:right="0" w:firstLine="422" w:firstLineChars="200"/>
              <w:textAlignment w:val="auto"/>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7</w:t>
            </w:r>
            <w:r>
              <w:rPr>
                <w:rFonts w:hint="eastAsia"/>
                <w:b/>
                <w:bCs/>
                <w:color w:val="000000" w:themeColor="text1"/>
                <w:sz w:val="21"/>
                <w:szCs w:val="21"/>
                <w:highlight w:val="none"/>
                <w14:textFill>
                  <w14:solidFill>
                    <w14:schemeClr w14:val="tx1"/>
                  </w14:solidFill>
                </w14:textFill>
              </w:rPr>
              <w:t>、与《“黑龙江省“十四五”生态环境保护规划》符合</w:t>
            </w:r>
            <w:r>
              <w:rPr>
                <w:rFonts w:hint="eastAsia"/>
                <w:b/>
                <w:bCs/>
                <w:color w:val="000000" w:themeColor="text1"/>
                <w:sz w:val="21"/>
                <w:szCs w:val="21"/>
                <w:highlight w:val="none"/>
                <w:lang w:eastAsia="zh-CN"/>
                <w14:textFill>
                  <w14:solidFill>
                    <w14:schemeClr w14:val="tx1"/>
                  </w14:solidFill>
                </w14:textFill>
              </w:rPr>
              <w:t>性</w:t>
            </w:r>
            <w:r>
              <w:rPr>
                <w:rFonts w:hint="eastAsia"/>
                <w:b/>
                <w:bCs/>
                <w:color w:val="000000" w:themeColor="text1"/>
                <w:sz w:val="21"/>
                <w:szCs w:val="21"/>
                <w:highlight w:val="none"/>
                <w14:textFill>
                  <w14:solidFill>
                    <w14:schemeClr w14:val="tx1"/>
                  </w14:solidFill>
                </w14:textFill>
              </w:rPr>
              <w:t>分析</w:t>
            </w:r>
          </w:p>
          <w:p w14:paraId="7FDA7AA4">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color w:val="000000" w:themeColor="text1"/>
                <w:sz w:val="21"/>
                <w:szCs w:val="21"/>
                <w:highlight w:val="none"/>
                <w14:textFill>
                  <w14:solidFill>
                    <w14:schemeClr w14:val="tx1"/>
                  </w14:solidFill>
                </w14:textFill>
              </w:rPr>
              <w:t>，采用生物质成型燃料，不涉及燃煤燃料使用，可以达标排放，属于可行技术，确保污染物稳定达标排放；运营期</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无生产废水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项目不新增员工，因此无新增废水。</w:t>
            </w:r>
            <w:r>
              <w:rPr>
                <w:rFonts w:hint="eastAsia"/>
                <w:color w:val="000000" w:themeColor="text1"/>
                <w:sz w:val="21"/>
                <w:szCs w:val="21"/>
                <w:highlight w:val="none"/>
                <w14:textFill>
                  <w14:solidFill>
                    <w14:schemeClr w14:val="tx1"/>
                  </w14:solidFill>
                </w14:textFill>
              </w:rPr>
              <w:t>不属于《黑龙江省“十四五”生态环境保护规划》中“重点行业大气污染治理工程、水生态环境提升重大工程、土壤和地下水污染治理重大工程”中要求内容，项目建设符合《黑龙江省“十四五”生态环境保护规划》要求。</w:t>
            </w:r>
          </w:p>
          <w:p w14:paraId="031EEC6A">
            <w:pPr>
              <w:keepNext w:val="0"/>
              <w:keepLines w:val="0"/>
              <w:pageBreakBefore w:val="0"/>
              <w:numPr>
                <w:ilvl w:val="0"/>
                <w:numId w:val="3"/>
              </w:numPr>
              <w:suppressLineNumbers w:val="0"/>
              <w:kinsoku/>
              <w:wordWrap/>
              <w:overflowPunct/>
              <w:topLinePunct w:val="0"/>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与《鸡西市“十四五”生态环境保护规划》的符合性分析</w:t>
            </w:r>
          </w:p>
          <w:p w14:paraId="64B5FA99">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highlight w:val="none"/>
                <w:lang w:eastAsia="zh-CN"/>
              </w:rPr>
            </w:pPr>
            <w:r>
              <w:rPr>
                <w:rFonts w:hint="eastAsia"/>
                <w:highlight w:val="none"/>
                <w:lang w:eastAsia="zh-CN"/>
              </w:rPr>
              <w:t>实施大气环境质量目标管理。对照 2035 年远景目标,开展形势分析,逐步提高大气环境质量目标，持续改善城市大气环境质量。开展工业炉窑深度治理。分类建立超低排放改造以外的重点涉工业炉窑行业清单，制定工业炉窑深度治理工作方案。严格排放标准要求，加强不达标工业炉窑的淘汰力度，加快淘汰中小型煤气发生炉。鼓励工业炉窑使用电、天然气等清洁能源或由周边热电厂供热。</w:t>
            </w:r>
          </w:p>
          <w:p w14:paraId="47066D55">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highlight w:val="none"/>
                <w:lang w:eastAsia="zh-CN"/>
              </w:rPr>
            </w:pPr>
            <w:r>
              <w:rPr>
                <w:rFonts w:hint="eastAsia"/>
                <w:highlight w:val="none"/>
                <w:lang w:eastAsia="zh-CN"/>
              </w:rPr>
              <w:t>加大燃煤污染治理力度。深入实施散煤污染治理“三重一改”攻坚行动，统筹全市棚户区、城中村、城乡结合部、商户和农村地区散煤污染治理，按照“煤炭集中使用、清洁利用”原则，重点削减散煤、工业锅炉、工业炉窑等非电用煤，以“煤改气”“煤改电”为主要方式，降低煤炭在能源消费中的比重。持续推进清洁取暖，加快生物质成型燃料供暖，构建绿色、节约、高效、协调、适用的清洁供暖体系。市主城区建成区基本实现散煤清零。加快淘汰全市建成区10-35 蒸吨/小时燃煤锅炉，推进 65 蒸吨/小时及以上燃煤锅炉(含电力)超低排放改造，实现 20 蒸吨/小时及以上锅炉稳定达标排放全覆盖。</w:t>
            </w:r>
          </w:p>
          <w:p w14:paraId="30BB08AC">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highlight w:val="none"/>
                <w:lang w:eastAsia="zh-CN"/>
              </w:rPr>
            </w:pPr>
            <w:r>
              <w:rPr>
                <w:rFonts w:hint="eastAsia"/>
                <w:highlight w:val="none"/>
                <w:lang w:eastAsia="zh-CN"/>
              </w:rPr>
              <w:t>强化秸秆综合利用和禁烧。推进秸秆综合利用实施，合理安排“五化”利用，完善秸秆收储运体系，研发推广综合利用先进技术和设备。加强试点示范，拓宽利用路径，完善扶持政策，探索建立政府、企业与农民三方共赢的秸秆综合利用利益链接机制，实现秸秆综合利用水平全面提升。强化各级网格责任单位秸秆禁烧主体责任，健全市县乡村“四级”网格化监管体系，强化秸秆禁烧督查巡查，综合运用卫星遥感、高清视频监控等手段,不断提高禁烧监管水平,严格落实奖惩制度。到 2025年，全市秸秆还田率达到60%以上，秸秆综合利用率达到90%。</w:t>
            </w:r>
          </w:p>
          <w:p w14:paraId="7F73C8AF">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default"/>
                <w:highlight w:val="none"/>
                <w:lang w:val="en-US" w:eastAsia="zh-CN"/>
              </w:rPr>
            </w:pPr>
            <w:r>
              <w:rPr>
                <w:rFonts w:hint="eastAsia"/>
                <w:highlight w:val="none"/>
                <w:lang w:eastAsia="zh-CN"/>
              </w:rPr>
              <w:t>推进扬尘精细化管控。全面推行绿色施工，严格落实施工工地扬尘管控责任，加强施工扬尘监管执法。推进低尘机械化湿式清扫作业，加大城市出入口、城乡结合部等重要路段冲洗保洁力度，渣土车实施全闭运输，强化绿化用地扬尘治理。城市裸露地面、粉粒类物料堆放以及大型煤炭物料堆场，全面完成抑尘设施建设和物料输送系统封闭改造鼓励有条件的堆场实施全封闭改造</w:t>
            </w:r>
            <w:r>
              <w:rPr>
                <w:rFonts w:hint="eastAsia"/>
                <w:highlight w:val="none"/>
                <w:lang w:val="en-US" w:eastAsia="zh-CN"/>
              </w:rPr>
              <w:t>。</w:t>
            </w:r>
          </w:p>
          <w:p w14:paraId="210EC79E">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r>
              <w:rPr>
                <w:rFonts w:hint="eastAsia"/>
                <w:highlight w:val="none"/>
                <w:lang w:eastAsia="zh-CN"/>
              </w:rPr>
              <w:t>采用生物质成型燃料，不涉及燃煤燃料使用，可以达标排放，属于可行技术，确保污染物稳定达标排放；</w:t>
            </w:r>
            <w:r>
              <w:rPr>
                <w:rFonts w:hint="eastAsia"/>
                <w:highlight w:val="none"/>
                <w:lang w:val="en-US" w:eastAsia="zh-CN"/>
              </w:rPr>
              <w:t>本项目无新增废水。</w:t>
            </w:r>
            <w:r>
              <w:rPr>
                <w:rFonts w:hint="eastAsia"/>
                <w:color w:val="000000" w:themeColor="text1"/>
                <w:sz w:val="21"/>
                <w:szCs w:val="21"/>
                <w:highlight w:val="none"/>
                <w14:textFill>
                  <w14:solidFill>
                    <w14:schemeClr w14:val="tx1"/>
                  </w14:solidFill>
                </w14:textFill>
              </w:rPr>
              <w:t>项目建设符合《</w:t>
            </w:r>
            <w:r>
              <w:rPr>
                <w:rFonts w:hint="eastAsia"/>
                <w:color w:val="000000" w:themeColor="text1"/>
                <w:sz w:val="21"/>
                <w:szCs w:val="21"/>
                <w:highlight w:val="none"/>
                <w:lang w:val="en-US" w:eastAsia="zh-CN"/>
                <w14:textFill>
                  <w14:solidFill>
                    <w14:schemeClr w14:val="tx1"/>
                  </w14:solidFill>
                </w14:textFill>
              </w:rPr>
              <w:t>鸡西市</w:t>
            </w:r>
            <w:r>
              <w:rPr>
                <w:rFonts w:hint="eastAsia"/>
                <w:color w:val="000000" w:themeColor="text1"/>
                <w:sz w:val="21"/>
                <w:szCs w:val="21"/>
                <w:highlight w:val="none"/>
                <w14:textFill>
                  <w14:solidFill>
                    <w14:schemeClr w14:val="tx1"/>
                  </w14:solidFill>
                </w14:textFill>
              </w:rPr>
              <w:t>“十四五”生态环境保护规划》要求。</w:t>
            </w:r>
          </w:p>
          <w:p w14:paraId="0E1B4635">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、与《工业炉窑大气污染综合治理方案》（环大气[2019]56号）符合性分析</w:t>
            </w:r>
          </w:p>
          <w:p w14:paraId="3DDD7958">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《工业炉窑大气污染综合治理方案》（环大气[2019]56号）</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r>
              <w:rPr>
                <w:rFonts w:hint="eastAsia" w:cs="Times New Roman"/>
                <w:b w:val="0"/>
                <w:bCs/>
                <w:color w:val="000000" w:themeColor="text1"/>
                <w:sz w:val="21"/>
                <w:szCs w:val="21"/>
                <w:highlight w:val="none"/>
                <w:lang w:eastAsia="zh-CN"/>
                <w14:textFill>
                  <w14:solidFill>
                    <w14:schemeClr w14:val="tx1"/>
                  </w14:solidFill>
                </w14:textFill>
              </w:rPr>
              <w:t>”</w:t>
            </w:r>
          </w:p>
          <w:p w14:paraId="7DB99418">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r>
              <w:rPr>
                <w:rFonts w:hint="eastAsia" w:cs="Times New Roman"/>
                <w:b w:val="0"/>
                <w:bCs/>
                <w:color w:val="000000" w:themeColor="text1"/>
                <w:sz w:val="21"/>
                <w:szCs w:val="21"/>
                <w:highlight w:val="none"/>
                <w:lang w:eastAsia="zh-CN"/>
                <w14:textFill>
                  <w14:solidFill>
                    <w14:schemeClr w14:val="tx1"/>
                  </w14:solidFill>
                </w14:textFill>
              </w:rPr>
              <w:t>”</w:t>
            </w:r>
          </w:p>
          <w:p w14:paraId="711FFF97">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，用于粮食烘干，本项目厂址位于</w:t>
            </w:r>
            <w:r>
              <w:rPr>
                <w:rFonts w:hint="eastAsia" w:cs="Times New Roman"/>
                <w:b w:val="0"/>
                <w:bCs/>
                <w:color w:val="000000" w:themeColor="text1"/>
                <w:sz w:val="21"/>
                <w:szCs w:val="21"/>
                <w:highlight w:val="none"/>
                <w:lang w:val="en-US" w:eastAsia="zh-CN"/>
                <w14:textFill>
                  <w14:solidFill>
                    <w14:schemeClr w14:val="tx1"/>
                  </w14:solidFill>
                </w14:textFill>
              </w:rPr>
              <w:t>鸡西</w:t>
            </w:r>
            <w:r>
              <w:rPr>
                <w:rFonts w:hint="eastAsia"/>
                <w:color w:val="000000" w:themeColor="text1"/>
                <w:highlight w:val="none"/>
                <w:lang w:val="en-US" w:eastAsia="zh-CN"/>
                <w14:textFill>
                  <w14:solidFill>
                    <w14:schemeClr w14:val="tx1"/>
                  </w14:solidFill>
                </w14:textFill>
              </w:rPr>
              <w:t>市鸡东县鸡东镇银东村</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，不属于《工业炉窑大气污染综合治理方案》重点区域，也不属于其附件4中的重点行业工业炉窑。</w:t>
            </w:r>
          </w:p>
          <w:p w14:paraId="593B3041">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本项目生物质热风炉烟气经除尘效率为99%的布袋除尘器处理后经</w:t>
            </w:r>
            <w:r>
              <w:rPr>
                <w:rFonts w:hint="eastAsia" w:cs="Times New Roman"/>
                <w:b w:val="0"/>
                <w:bCs/>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w:t>
            </w:r>
            <w:r>
              <w:rPr>
                <w:rFonts w:hint="eastAsia" w:cs="Times New Roman"/>
                <w:b w:val="0"/>
                <w:bCs/>
                <w:color w:val="000000" w:themeColor="text1"/>
                <w:sz w:val="21"/>
                <w:szCs w:val="21"/>
                <w:highlight w:val="none"/>
                <w:lang w:eastAsia="zh-CN"/>
                <w14:textFill>
                  <w14:solidFill>
                    <w14:schemeClr w14:val="tx1"/>
                  </w14:solidFill>
                </w14:textFill>
              </w:rPr>
              <w:t>颗粒物</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、烟气黑度排放浓度满足《工业炉窑大气污染物排放标准》（GB9078-1996）表2二级标准，SO</w:t>
            </w:r>
            <w:r>
              <w:rPr>
                <w:rFonts w:hint="eastAsia"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染物排放标准》（GB9078-1996）表4二级标准。厂界颗粒物排放满足《大气污染物综合排放标准》（GB16297-1996）标准的要求。因此本项目建设符合《工业炉窑大气污染综合治理方案》（环大气[2019]56号）相关要求。</w:t>
            </w:r>
          </w:p>
          <w:p w14:paraId="15089A87">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10、与</w:t>
            </w: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《黑龙江省大气污染防治行动计划实施细则》</w:t>
            </w:r>
            <w:r>
              <w:rPr>
                <w:rFonts w:hint="eastAsia" w:cs="Times New Roman"/>
                <w:b/>
                <w:bCs w:val="0"/>
                <w:color w:val="000000" w:themeColor="text1"/>
                <w:sz w:val="21"/>
                <w:szCs w:val="21"/>
                <w:highlight w:val="none"/>
                <w:lang w:val="en-US" w:eastAsia="zh-CN"/>
                <w14:textFill>
                  <w14:solidFill>
                    <w14:schemeClr w14:val="tx1"/>
                  </w14:solidFill>
                </w14:textFill>
              </w:rPr>
              <w:t>符合性分析</w:t>
            </w:r>
          </w:p>
          <w:p w14:paraId="774F3137">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《黑龙江省大气污染防治行动计划实施细则》</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加强对燃煤锅炉及窑炉等治理。规模在20蒸吨及以上的燃煤锅炉要实施烟气脱硫，确保达标排放。循环硫化床锅炉要全部安装静电、布袋等高效除尘设施，实现达标排放，抛煤机和往复炉排等层燃锅炉要使用含硫量低于</w:t>
            </w:r>
            <w:r>
              <w:rPr>
                <w:rFonts w:hint="eastAsia" w:cs="Times New Roman"/>
                <w:b w:val="0"/>
                <w:bCs/>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5%、灰分小于27%、全水分15%以下、低位发热量不低于4700千卡/公斤的洁净配煤，并综合考虑加大动力煤洗选力度、清洁能源替代等多种措施。冲天炉完成电炉改造，或实施每小时5吨以上热风炉和湿式除尘器改造，实现稳定达标排放。燃煤窑炉完成煤气发生炉、水煤浆燃烧器等技术改造或使用清洁能源，实现达标排放。</w:t>
            </w:r>
            <w:r>
              <w:rPr>
                <w:rFonts w:hint="eastAsia" w:cs="Times New Roman"/>
                <w:b w:val="0"/>
                <w:bCs/>
                <w:color w:val="000000" w:themeColor="text1"/>
                <w:sz w:val="21"/>
                <w:szCs w:val="21"/>
                <w:highlight w:val="none"/>
                <w:lang w:eastAsia="zh-CN"/>
                <w14:textFill>
                  <w14:solidFill>
                    <w14:schemeClr w14:val="tx1"/>
                  </w14:solidFill>
                </w14:textFill>
              </w:rPr>
              <w:t>”</w:t>
            </w:r>
          </w:p>
          <w:p w14:paraId="71DB4EEF">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扩大高污染燃料禁燃区范围。到2014年年底，各地要完成高污染燃料禁燃区划定和调整工作，并向社会公布。禁燃区面积不低于建成区面积的80%，并根据城市建成区的发展不断调整划定范围。禁燃区内禁止散烧原煤以及煤焦油、重油、渣油等燃料，禁止燃烧各种可燃废物，禁止燃用生物质燃料及污染物含量超过国家规定限值的柴油、煤油等高污染燃料。已建成的使用高污染燃料的各类设施要限期拆除或改造成使用管道天然气、液化石油气、电等清洁能源。</w:t>
            </w:r>
            <w:r>
              <w:rPr>
                <w:rFonts w:hint="eastAsia" w:cs="Times New Roman"/>
                <w:b w:val="0"/>
                <w:bCs/>
                <w:color w:val="000000" w:themeColor="text1"/>
                <w:sz w:val="21"/>
                <w:szCs w:val="21"/>
                <w:highlight w:val="none"/>
                <w:lang w:eastAsia="zh-CN"/>
                <w14:textFill>
                  <w14:solidFill>
                    <w14:schemeClr w14:val="tx1"/>
                  </w14:solidFill>
                </w14:textFill>
              </w:rPr>
              <w:t>”</w:t>
            </w:r>
          </w:p>
          <w:p w14:paraId="04FA282B">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本项目</w:t>
            </w:r>
            <w:r>
              <w:rPr>
                <w:rFonts w:hint="eastAsia" w:cs="Times New Roman"/>
                <w:bCs/>
                <w:color w:val="000000" w:themeColor="text1"/>
                <w:kern w:val="0"/>
                <w:sz w:val="21"/>
                <w:szCs w:val="21"/>
                <w:highlight w:val="none"/>
                <w:lang w:val="en-US" w:eastAsia="zh-CN"/>
                <w14:textFill>
                  <w14:solidFill>
                    <w14:schemeClr w14:val="tx1"/>
                  </w14:solidFill>
                </w14:textFill>
              </w:rPr>
              <w:t>热风炉房内为1台600万Kcal/h</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t>热风炉</w:t>
            </w:r>
            <w:r>
              <w:rPr>
                <w:rFonts w:hint="eastAsia" w:cs="Times New Roman"/>
                <w:b w:val="0"/>
                <w:bCs/>
                <w:color w:val="000000" w:themeColor="text1"/>
                <w:sz w:val="21"/>
                <w:szCs w:val="21"/>
                <w:highlight w:val="none"/>
                <w:lang w:val="en-US" w:eastAsia="zh-CN"/>
                <w14:textFill>
                  <w14:solidFill>
                    <w14:schemeClr w14:val="tx1"/>
                  </w14:solidFill>
                </w14:textFill>
              </w:rPr>
              <w:t>，燃料为生物质成型燃料，配套设置布袋除尘器，</w:t>
            </w:r>
            <w:r>
              <w:rPr>
                <w:rFonts w:hint="eastAsia" w:cs="Times New Roman"/>
                <w:color w:val="000000" w:themeColor="text1"/>
                <w:sz w:val="21"/>
                <w:szCs w:val="21"/>
                <w:highlight w:val="none"/>
                <w:lang w:val="en-US" w:eastAsia="zh-CN"/>
                <w14:textFill>
                  <w14:solidFill>
                    <w14:schemeClr w14:val="tx1"/>
                  </w14:solidFill>
                </w14:textFill>
              </w:rPr>
              <w:t>不属于高污染燃料。</w:t>
            </w:r>
          </w:p>
          <w:p w14:paraId="57248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与《黑龙江省空气质量持续改善行动计划实施方案》</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（黑政发【2023】19号）</w:t>
            </w:r>
            <w:r>
              <w:rPr>
                <w:rFonts w:hint="default" w:ascii="Times New Roman" w:hAnsi="Times New Roman" w:eastAsia="宋体" w:cs="Times New Roman"/>
                <w:b/>
                <w:bCs/>
                <w:color w:val="000000" w:themeColor="text1"/>
                <w:kern w:val="0"/>
                <w:sz w:val="21"/>
                <w:szCs w:val="21"/>
                <w:highlight w:val="none"/>
                <w:u w:val="none"/>
                <w14:textFill>
                  <w14:solidFill>
                    <w14:schemeClr w14:val="tx1"/>
                  </w14:solidFill>
                </w14:textFill>
              </w:rPr>
              <w:t>符合性分析</w:t>
            </w:r>
          </w:p>
          <w:p w14:paraId="169369C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《黑龙江省空气质量持续改善行动计划实施方案》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（黑政发【2023】19号）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指出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在持续优化改善能源结构方面，加快推进能源结构优化，严格控制煤炭消费总量，积极推进燃煤锅炉淘汰改造，加快工业炉窑燃料清洁替代，以试点城市为引领持续推进清洁取暖，积极推进散煤污染治理</w:t>
            </w:r>
            <w:r>
              <w:rPr>
                <w:rFonts w:hint="eastAsia"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在持续加强面源污染治理方面，深化扬尘污染综合治理，推进矿山生态环境综合整治，加强秸秆综合利用和禁烧管控，加强秸秆综合利用和禁烧管控。</w:t>
            </w:r>
            <w:r>
              <w:rPr>
                <w:rFonts w:hint="eastAsia" w:ascii="Times New Roman" w:hAnsi="Times New Roman" w:eastAsia="宋体" w:cs="Times New Roman"/>
                <w:b w:val="0"/>
                <w:bCs w:val="0"/>
                <w:i w:val="0"/>
                <w:iCs w:val="0"/>
                <w:caps w:val="0"/>
                <w:color w:val="000000" w:themeColor="text1"/>
                <w:spacing w:val="0"/>
                <w:sz w:val="21"/>
                <w:szCs w:val="21"/>
                <w:highlight w:val="none"/>
                <w:lang w:eastAsia="zh-CN"/>
                <w14:textFill>
                  <w14:solidFill>
                    <w14:schemeClr w14:val="tx1"/>
                  </w14:solidFill>
                </w14:textFill>
              </w:rPr>
              <w:t>”</w:t>
            </w:r>
          </w:p>
          <w:p w14:paraId="5A3D9C1C">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鸡西市鸡东县鸡东镇银东村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热风炉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房内为1台</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600万Kcal/h</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燃料为生物质成型颗粒，</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生物质热风炉烟气经除尘效率为99%的布袋除尘器处理后经</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染物排放标准》（GB9078-1996）表4二级标准。</w:t>
            </w:r>
          </w:p>
          <w:p w14:paraId="67A13FA4">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。燃料库、</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定期洒水抑尘，减少粉尘扩散；</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所用燃料生物质颗粒</w:t>
            </w:r>
            <w:r>
              <w:rPr>
                <w:rFonts w:hint="default" w:ascii="Times New Roman" w:hAnsi="Times New Roman" w:eastAsia="宋体" w:cs="Times New Roman"/>
                <w:color w:val="000000" w:themeColor="text1"/>
                <w:sz w:val="21"/>
                <w:szCs w:val="21"/>
                <w:highlight w:val="none"/>
                <w14:textFill>
                  <w14:solidFill>
                    <w14:schemeClr w14:val="tx1"/>
                  </w14:solidFill>
                </w14:textFill>
              </w:rPr>
              <w:t>随用随存，不长时间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储存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生物质颗粒、</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除尘器收集的除尘灰储存于</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21"/>
                <w:szCs w:val="21"/>
                <w:highlight w:val="none"/>
                <w14:textFill>
                  <w14:solidFill>
                    <w14:schemeClr w14:val="tx1"/>
                  </w14:solidFill>
                </w14:textFill>
              </w:rPr>
              <w:t>灰渣间内，灰渣间地面做防渗处理，灰渣间密闭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杜绝露天堆放，并配合表面洒水降尘不会形成动力起尘的粉尘影响。</w:t>
            </w:r>
          </w:p>
          <w:p w14:paraId="229C7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b w:val="0"/>
                <w:bCs w:val="0"/>
                <w:i w:val="0"/>
                <w:iCs w:val="0"/>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项目施工期</w:t>
            </w:r>
            <w:r>
              <w:rPr>
                <w:rFonts w:hint="default" w:ascii="Times New Roman" w:hAnsi="Times New Roman" w:eastAsia="宋体" w:cs="Times New Roman"/>
                <w:color w:val="000000" w:themeColor="text1"/>
                <w:sz w:val="21"/>
                <w:szCs w:val="21"/>
                <w:highlight w:val="none"/>
                <w14:textFill>
                  <w14:solidFill>
                    <w14:schemeClr w14:val="tx1"/>
                  </w14:solidFill>
                </w14:textFill>
              </w:rPr>
              <w:t>施工车辆采取篷布加盖措施，施工车辆运输弃土、垃圾的车辆装载高度应低于车辆上沿，不得超高超载。实行封闭运输，以免车辆颠簸撒漏。坚持文明装卸，运输车辆装卸完货后应清洗车厢</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在施工场地上设置专人负责弃土、建筑垃圾、建筑材料的处置、清运和堆放，堆放场地加盖蓬布或洒水，防止二次扬尘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对建筑垃圾及弃土应及时处理、清运、以减少占地，防止扬尘污染，在施工现场周围，连续设置不低于1.5m高的围挡，在施工场地安排员工定期对施工场地洒水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对场区内的裸露地面进行绿化、硬化工作</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等措施，施工期</w:t>
            </w:r>
            <w:r>
              <w:rPr>
                <w:rFonts w:hint="default" w:ascii="Times New Roman" w:hAnsi="Times New Roman" w:eastAsia="宋体" w:cs="Times New Roman"/>
                <w:color w:val="000000" w:themeColor="text1"/>
                <w:sz w:val="21"/>
                <w:szCs w:val="21"/>
                <w:highlight w:val="none"/>
                <w14:textFill>
                  <w14:solidFill>
                    <w14:schemeClr w14:val="tx1"/>
                  </w14:solidFill>
                </w14:textFill>
              </w:rPr>
              <w:t>减少扬尘的产生量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b w:val="0"/>
                <w:bCs w:val="0"/>
                <w:i w:val="0"/>
                <w:iCs w:val="0"/>
                <w:caps w:val="0"/>
                <w:color w:val="000000" w:themeColor="text1"/>
                <w:spacing w:val="0"/>
                <w:sz w:val="21"/>
                <w:szCs w:val="21"/>
                <w:highlight w:val="none"/>
                <w14:textFill>
                  <w14:solidFill>
                    <w14:schemeClr w14:val="tx1"/>
                  </w14:solidFill>
                </w14:textFill>
              </w:rPr>
              <w:t>秸秆</w:t>
            </w:r>
            <w:r>
              <w:rPr>
                <w:rFonts w:hint="eastAsia" w:cs="Times New Roman"/>
                <w:b w:val="0"/>
                <w:bCs w:val="0"/>
                <w:i w:val="0"/>
                <w:iCs w:val="0"/>
                <w:caps w:val="0"/>
                <w:color w:val="000000" w:themeColor="text1"/>
                <w:spacing w:val="0"/>
                <w:sz w:val="21"/>
                <w:szCs w:val="21"/>
                <w:highlight w:val="none"/>
                <w:lang w:val="en-US" w:eastAsia="zh-CN"/>
                <w14:textFill>
                  <w14:solidFill>
                    <w14:schemeClr w14:val="tx1"/>
                  </w14:solidFill>
                </w14:textFill>
              </w:rPr>
              <w:t>利用及燃烧。</w:t>
            </w:r>
          </w:p>
          <w:p w14:paraId="48F15925">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i w:val="0"/>
                <w:iCs w:val="0"/>
                <w:caps w:val="0"/>
                <w:color w:val="000000" w:themeColor="text1"/>
                <w:spacing w:val="0"/>
                <w:sz w:val="21"/>
                <w:szCs w:val="21"/>
                <w:highlight w:val="none"/>
                <w:lang w:val="en-US" w:eastAsia="zh-CN"/>
                <w14:textFill>
                  <w14:solidFill>
                    <w14:schemeClr w14:val="tx1"/>
                  </w14:solidFill>
                </w14:textFill>
              </w:rPr>
              <w:t>综上所述，本项目</w:t>
            </w:r>
            <w:r>
              <w:rPr>
                <w:rFonts w:hint="eastAsia" w:cs="Times New Roman"/>
                <w:b w:val="0"/>
                <w:bCs w:val="0"/>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黑龙江省空气质量持续改善行动计划实施方案》</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（黑政发【2023】19号）</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中要求。</w:t>
            </w:r>
          </w:p>
          <w:p w14:paraId="09292815">
            <w:pPr>
              <w:keepNext w:val="0"/>
              <w:keepLines w:val="0"/>
              <w:pageBreakBefore w:val="0"/>
              <w:suppressLineNumbers w:val="0"/>
              <w:kinsoku/>
              <w:wordWrap/>
              <w:overflowPunct/>
              <w:topLinePunct w:val="0"/>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eastAsia" w:cs="Times New Roman"/>
                <w:b/>
                <w:bCs w:val="0"/>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、与《鸡西市空气质量持续改善行动计划贯彻落实方案（鸡政发〔2024〕6号）》符合性分析</w:t>
            </w:r>
          </w:p>
          <w:p w14:paraId="39C20CF2">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鸡西市空气质量持续改善行动计划贯彻落实方案（鸡政发〔2024〕6号）》中二、持续推进产业结构调整：（五）加快退出重点行业落后产能。严格执行《产业结构调整指导目录》要求，加快退出淘汰类产能、工艺、装备，提高限制类产能、工艺、装备淘汰改造引导力度。三、持续优化改善能源结构：（十）严格合理控制煤炭消费总量。全市原则上不再新增自备燃煤机组，按要求支持自备燃煤机组实施清洁能源替代。合理保障支撑电力稳定供应、电网安全运行、清洁能源大规模并网消纳的煤电项目及其用煤量。鼓励锅炉生产制造企业优化锅炉设计，应用新材料、新技术、新工艺，通过优化参数和燃料结构、采用新型热力循环等方式，从源头提高锅炉绿色低碳水平。到2025年，全市煤炭消费比重在2020年基础上下降4%左右。</w:t>
            </w:r>
          </w:p>
          <w:p w14:paraId="7D59C03A">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根据《产业结构调整指导目录(2024年本)》中鼓励类“一、农林牧渔业8、农产品仓储运输：农林牧渔产品储运、保鲜、加工与综合利用”，不属于淘汰类、限值类产能、工艺、装备。</w:t>
            </w:r>
          </w:p>
          <w:p w14:paraId="0DA508F6">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鸡西市鸡东县鸡东镇银东村</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热风炉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房内为1台</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600万Kcal/h</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热风炉</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，用于粮食烘干</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燃料为生物质成型颗粒，</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生物质热风炉烟气经除尘效率为99%的布袋除尘器处理后经</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m高烟囱排放，</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颗粒物</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、烟气黑度排放浓度满足《工业炉窑大气污染物排放标准》（GB9078-1996）表2二级标准，SO</w:t>
            </w:r>
            <w:r>
              <w:rPr>
                <w:rFonts w:hint="default" w:ascii="Times New Roman" w:hAnsi="Times New Roman" w:eastAsia="宋体" w:cs="Times New Roman"/>
                <w:b w:val="0"/>
                <w:bCs/>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排放浓度满足《工业炉窑大气污</w:t>
            </w: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染物排放标准》（GB9078-1996）表4二级标准。</w:t>
            </w:r>
          </w:p>
          <w:p w14:paraId="1855A40B">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原料烘干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eastAsia="宋体" w:cs="Times New Roman"/>
                <w:color w:val="000000" w:themeColor="text1"/>
                <w:sz w:val="21"/>
                <w:szCs w:val="21"/>
                <w:highlight w:val="none"/>
                <w14:textFill>
                  <w14:solidFill>
                    <w14:schemeClr w14:val="tx1"/>
                  </w14:solidFill>
                </w14:textFill>
              </w:rPr>
              <w:t>过程会有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产生，此部分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eastAsia="宋体" w:cs="Times New Roman"/>
                <w:color w:val="000000" w:themeColor="text1"/>
                <w:sz w:val="21"/>
                <w:szCs w:val="21"/>
                <w:highlight w:val="none"/>
                <w14:textFill>
                  <w14:solidFill>
                    <w14:schemeClr w14:val="tx1"/>
                  </w14:solidFill>
                </w14:textFill>
              </w:rPr>
              <w:t>以无组织的形式排放。装卸工段</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采用密闭性良好的设备，全封闭输送机、原粮入</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采取封闭和减小装卸高度</w:t>
            </w:r>
            <w:r>
              <w:rPr>
                <w:rFonts w:hint="default" w:ascii="Times New Roman" w:hAnsi="Times New Roman" w:eastAsia="宋体" w:cs="Times New Roman"/>
                <w:color w:val="000000" w:themeColor="text1"/>
                <w:sz w:val="21"/>
                <w:szCs w:val="21"/>
                <w:highlight w:val="none"/>
                <w14:textFill>
                  <w14:solidFill>
                    <w14:schemeClr w14:val="tx1"/>
                  </w14:solidFill>
                </w14:textFill>
              </w:rPr>
              <w:t>等降尘措施，运输过程中采用封闭输送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；清粮采用全密闭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，产生的粉尘经设备自带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袋式除尘器</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。燃料库、</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密闭并</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定期洒水抑尘，减少粉尘扩散；</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所用燃料生物质颗粒</w:t>
            </w:r>
            <w:r>
              <w:rPr>
                <w:rFonts w:hint="default" w:ascii="Times New Roman" w:hAnsi="Times New Roman" w:eastAsia="宋体" w:cs="Times New Roman"/>
                <w:color w:val="000000" w:themeColor="text1"/>
                <w:sz w:val="21"/>
                <w:szCs w:val="21"/>
                <w:highlight w:val="none"/>
                <w14:textFill>
                  <w14:solidFill>
                    <w14:schemeClr w14:val="tx1"/>
                  </w14:solidFill>
                </w14:textFill>
              </w:rPr>
              <w:t>随用随存，不长时间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储存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生物质颗粒、</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除尘器收集的除尘灰储存于</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color w:val="000000" w:themeColor="text1"/>
                <w:sz w:val="21"/>
                <w:szCs w:val="21"/>
                <w:highlight w:val="none"/>
                <w14:textFill>
                  <w14:solidFill>
                    <w14:schemeClr w14:val="tx1"/>
                  </w14:solidFill>
                </w14:textFill>
              </w:rPr>
              <w:t>灰渣间内，灰渣间地面做防渗处理，灰渣间密闭</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杜绝露天堆放，并配合表面洒水降尘不会形成动力起尘的粉尘影响。</w:t>
            </w:r>
          </w:p>
          <w:p w14:paraId="6CDE05AB">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综上所述本项目符合《鸡西市空气质量持续改善行动计划贯彻落实方案（鸡政发〔2024〕6号）》关要求。</w:t>
            </w:r>
          </w:p>
          <w:p w14:paraId="373A1B87">
            <w:pPr>
              <w:pStyle w:val="42"/>
              <w:keepNext w:val="0"/>
              <w:keepLines w:val="0"/>
              <w:suppressLineNumbers w:val="0"/>
              <w:spacing w:before="0" w:beforeAutospacing="0" w:after="0" w:afterAutospacing="0"/>
              <w:ind w:left="0" w:right="0"/>
              <w:rPr>
                <w:rFonts w:hint="eastAsia"/>
                <w:highlight w:val="none"/>
                <w:lang w:val="en-US" w:eastAsia="zh-CN"/>
              </w:rPr>
            </w:pPr>
          </w:p>
          <w:p w14:paraId="7A56498A">
            <w:pPr>
              <w:keepNext w:val="0"/>
              <w:keepLines w:val="0"/>
              <w:pageBreakBefore w:val="0"/>
              <w:suppressLineNumbers w:val="0"/>
              <w:kinsoku/>
              <w:wordWrap/>
              <w:overflowPunct/>
              <w:topLinePunct w:val="0"/>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p w14:paraId="627D94BC">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default" w:eastAsia="宋体"/>
                <w:color w:val="000000" w:themeColor="text1"/>
                <w:highlight w:val="none"/>
                <w:lang w:val="en-US" w:eastAsia="zh-CN"/>
                <w14:textFill>
                  <w14:solidFill>
                    <w14:schemeClr w14:val="tx1"/>
                  </w14:solidFill>
                </w14:textFill>
              </w:rPr>
            </w:pPr>
          </w:p>
        </w:tc>
      </w:tr>
      <w:bookmarkEnd w:id="3"/>
    </w:tbl>
    <w:p w14:paraId="5799338C">
      <w:pPr>
        <w:spacing w:line="360" w:lineRule="auto"/>
        <w:outlineLvl w:val="0"/>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4" w:type="default"/>
          <w:pgSz w:w="11850" w:h="16783"/>
          <w:pgMar w:top="1701" w:right="1531" w:bottom="1701" w:left="1531" w:header="851" w:footer="1077" w:gutter="0"/>
          <w:pgBorders>
            <w:top w:val="none" w:sz="0" w:space="0"/>
            <w:left w:val="none" w:sz="0" w:space="0"/>
            <w:bottom w:val="none" w:sz="0" w:space="0"/>
            <w:right w:val="none" w:sz="0" w:space="0"/>
          </w:pgBorders>
          <w:pgNumType w:fmt="numberInDash" w:start="1"/>
          <w:cols w:space="0" w:num="1"/>
          <w:docGrid w:type="lines" w:linePitch="312" w:charSpace="0"/>
        </w:sectPr>
      </w:pPr>
    </w:p>
    <w:p w14:paraId="19C7008E">
      <w:pPr>
        <w:pStyle w:val="28"/>
        <w:spacing w:before="0" w:beforeAutospacing="0" w:after="0" w:afterAutospacing="0"/>
        <w:jc w:val="center"/>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bookmarkStart w:id="4" w:name="_Toc20676"/>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二、建设项目工程分析</w:t>
      </w:r>
      <w:bookmarkEnd w:id="4"/>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8246"/>
      </w:tblGrid>
      <w:tr w14:paraId="4C2C5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22" w:type="dxa"/>
            <w:vAlign w:val="center"/>
          </w:tcPr>
          <w:p w14:paraId="1FB2D6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1"/>
                <w:sz w:val="24"/>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建设内容</w:t>
            </w:r>
          </w:p>
        </w:tc>
        <w:tc>
          <w:tcPr>
            <w:tcW w:w="8220" w:type="dxa"/>
            <w:vAlign w:val="center"/>
          </w:tcPr>
          <w:p w14:paraId="7ABEA87F">
            <w:pPr>
              <w:pStyle w:val="2"/>
              <w:keepNext w:val="0"/>
              <w:keepLines w:val="0"/>
              <w:widowControl w:val="0"/>
              <w:suppressLineNumbers w:val="0"/>
              <w:snapToGrid/>
              <w:spacing w:before="0" w:beforeAutospacing="0" w:after="0" w:afterAutospacing="0" w:line="360" w:lineRule="auto"/>
              <w:ind w:left="0" w:right="0" w:firstLine="422" w:firstLineChars="200"/>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21"/>
                <w:sz w:val="21"/>
                <w:szCs w:val="21"/>
                <w:highlight w:val="none"/>
                <w14:textFill>
                  <w14:solidFill>
                    <w14:schemeClr w14:val="tx1"/>
                  </w14:solidFill>
                </w14:textFill>
              </w:rPr>
              <w:t>1、建设内容及规模</w:t>
            </w:r>
          </w:p>
          <w:p w14:paraId="681220D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kern w:val="21"/>
                <w:sz w:val="21"/>
                <w:szCs w:val="21"/>
                <w:highlight w:val="none"/>
                <w:vertAlign w:val="baseline"/>
                <w:lang w:val="en-US" w:eastAsia="zh-CN"/>
                <w14:textFill>
                  <w14:solidFill>
                    <w14:schemeClr w14:val="tx1"/>
                  </w14:solidFill>
                </w14:textFill>
              </w:rPr>
              <w:t>鸡东县忠旺粮库有限公司土地手续变更，现有总占地面积66799.2m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，本次在原厂区西侧新增占地面积78695m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 总占地</w:t>
            </w:r>
            <w:r>
              <w:rPr>
                <w:rFonts w:hint="default" w:cs="Times New Roman"/>
                <w:color w:val="000000" w:themeColor="text1"/>
                <w:kern w:val="21"/>
                <w:sz w:val="21"/>
                <w:szCs w:val="21"/>
                <w:highlight w:val="none"/>
                <w:vertAlign w:val="baseline"/>
                <w:lang w:val="en-US" w:eastAsia="zh-CN"/>
                <w14:textFill>
                  <w14:solidFill>
                    <w14:schemeClr w14:val="tx1"/>
                  </w14:solidFill>
                </w14:textFill>
              </w:rPr>
              <w:t>面积145494.2m</w:t>
            </w:r>
            <w:r>
              <w:rPr>
                <w:rFonts w:hint="default"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cs="Times New Roman"/>
                <w:color w:val="000000" w:themeColor="text1"/>
                <w:kern w:val="21"/>
                <w:sz w:val="21"/>
                <w:szCs w:val="21"/>
                <w:highlight w:val="none"/>
                <w:vertAlign w:val="baseline"/>
                <w:lang w:val="en-US" w:eastAsia="zh-CN"/>
                <w14:textFill>
                  <w14:solidFill>
                    <w14:schemeClr w14:val="tx1"/>
                  </w14:solidFill>
                </w14:textFill>
              </w:rPr>
              <w:t>。</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现配置一台600万Kcal/h热风</w:t>
            </w:r>
            <w:r>
              <w:rPr>
                <w:rFonts w:hint="default" w:cs="Times New Roman"/>
                <w:color w:val="000000" w:themeColor="text1"/>
                <w:kern w:val="21"/>
                <w:sz w:val="21"/>
                <w:szCs w:val="21"/>
                <w:highlight w:val="none"/>
                <w:vertAlign w:val="baseline"/>
                <w:lang w:val="en-US" w:eastAsia="zh-CN"/>
                <w14:textFill>
                  <w14:solidFill>
                    <w14:schemeClr w14:val="tx1"/>
                  </w14:solidFill>
                </w14:textFill>
              </w:rPr>
              <w:t>炉</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，1座日烘干能力500t/d烘干塔，现年烘干水稻40000t。由于本项目</w:t>
            </w:r>
            <w:r>
              <w:rPr>
                <w:rFonts w:hint="eastAsia" w:eastAsia="宋体"/>
                <w:color w:val="000000" w:themeColor="text1"/>
                <w:sz w:val="21"/>
                <w:szCs w:val="21"/>
                <w:highlight w:val="none"/>
                <w:lang w:val="en-US" w:eastAsia="zh-CN"/>
                <w14:textFill>
                  <w14:solidFill>
                    <w14:schemeClr w14:val="tx1"/>
                  </w14:solidFill>
                </w14:textFill>
              </w:rPr>
              <w:t>新增烘干玉米20000t，生产时间由80天增加至120天，热风炉工作时间由1920h增加至2880h，排污量增加</w:t>
            </w:r>
            <w:r>
              <w:rPr>
                <w:rFonts w:hint="eastAsia"/>
                <w:color w:val="000000" w:themeColor="text1"/>
                <w:sz w:val="21"/>
                <w:szCs w:val="21"/>
                <w:highlight w:val="none"/>
                <w:lang w:val="en-US" w:eastAsia="zh-CN"/>
                <w14:textFill>
                  <w14:solidFill>
                    <w14:schemeClr w14:val="tx1"/>
                  </w14:solidFill>
                </w14:textFill>
              </w:rPr>
              <w:t>，需进行改扩建环评</w:t>
            </w:r>
            <w:r>
              <w:rPr>
                <w:rFonts w:hint="eastAsia" w:eastAsia="宋体"/>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新建内容为</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在新增占地范围内新建4座钢结构保温平房仓，1座消防泵房，1座消防水池库房。</w:t>
            </w:r>
            <w:r>
              <w:rPr>
                <w:rFonts w:hint="eastAsia" w:cs="Times New Roman"/>
                <w:color w:val="000000" w:themeColor="text1"/>
                <w:kern w:val="21"/>
                <w:sz w:val="21"/>
                <w:szCs w:val="21"/>
                <w:highlight w:val="none"/>
                <w:lang w:val="en-US" w:eastAsia="zh-CN"/>
                <w14:textFill>
                  <w14:solidFill>
                    <w14:schemeClr w14:val="tx1"/>
                  </w14:solidFill>
                </w14:textFill>
              </w:rPr>
              <w:t>目前仓储设施可满足新增20000t的仓储需求。本项目建成后全厂年烘干总量为玉米20000t，水稻40000t</w:t>
            </w:r>
            <w:r>
              <w:rPr>
                <w:rFonts w:hint="eastAsia" w:cs="Times New Roman"/>
                <w:color w:val="000000" w:themeColor="text1"/>
                <w:kern w:val="21"/>
                <w:sz w:val="21"/>
                <w:szCs w:val="21"/>
                <w:highlight w:val="none"/>
                <w:vertAlign w:val="baseline"/>
                <w:lang w:eastAsia="zh-CN"/>
                <w14:textFill>
                  <w14:solidFill>
                    <w14:schemeClr w14:val="tx1"/>
                  </w14:solidFill>
                </w14:textFill>
              </w:rPr>
              <w:t>。</w:t>
            </w:r>
            <w:r>
              <w:rPr>
                <w:rFonts w:hint="default" w:ascii="Times New Roman" w:hAnsi="Times New Roman" w:cs="Times New Roman"/>
                <w:color w:val="000000" w:themeColor="text1"/>
                <w:kern w:val="21"/>
                <w:sz w:val="21"/>
                <w:szCs w:val="21"/>
                <w:highlight w:val="none"/>
                <w14:textFill>
                  <w14:solidFill>
                    <w14:schemeClr w14:val="tx1"/>
                  </w14:solidFill>
                </w14:textFill>
              </w:rPr>
              <w:t>主要建设内容见表2-1。</w:t>
            </w:r>
          </w:p>
          <w:p w14:paraId="09C14A2D">
            <w:pPr>
              <w:keepNext w:val="0"/>
              <w:keepLines w:val="0"/>
              <w:suppressLineNumbers w:val="0"/>
              <w:spacing w:before="0" w:beforeAutospacing="0" w:after="0" w:afterAutospacing="0"/>
              <w:ind w:left="0" w:right="0"/>
              <w:jc w:val="center"/>
              <w:rPr>
                <w:rFonts w:hint="default" w:ascii="Times New Roman" w:hAnsi="Times New Roman" w:eastAsia="黑体" w:cs="Times New Roman"/>
                <w:snapToGrid w:val="0"/>
                <w:color w:val="000000" w:themeColor="text1"/>
                <w:sz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表2-1主要建设内容及规模一览表</w:t>
            </w:r>
          </w:p>
          <w:tbl>
            <w:tblPr>
              <w:tblStyle w:val="3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150"/>
              <w:gridCol w:w="5464"/>
              <w:gridCol w:w="755"/>
            </w:tblGrid>
            <w:tr w14:paraId="4AAF6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noWrap w:val="0"/>
                  <w:vAlign w:val="center"/>
                </w:tcPr>
                <w:p w14:paraId="703EC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工程组成</w:t>
                  </w:r>
                </w:p>
              </w:tc>
              <w:tc>
                <w:tcPr>
                  <w:tcW w:w="716" w:type="pct"/>
                  <w:noWrap w:val="0"/>
                  <w:vAlign w:val="center"/>
                </w:tcPr>
                <w:p w14:paraId="1E8DB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建设内容</w:t>
                  </w:r>
                </w:p>
              </w:tc>
              <w:tc>
                <w:tcPr>
                  <w:tcW w:w="3402" w:type="pct"/>
                  <w:noWrap w:val="0"/>
                  <w:vAlign w:val="center"/>
                </w:tcPr>
                <w:p w14:paraId="199B4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建设规模及内容</w:t>
                  </w:r>
                </w:p>
              </w:tc>
              <w:tc>
                <w:tcPr>
                  <w:tcW w:w="470" w:type="pct"/>
                  <w:noWrap w:val="0"/>
                  <w:vAlign w:val="center"/>
                </w:tcPr>
                <w:p w14:paraId="20C20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备注</w:t>
                  </w:r>
                </w:p>
              </w:tc>
            </w:tr>
            <w:tr w14:paraId="07F12B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4944A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主体工程</w:t>
                  </w:r>
                </w:p>
              </w:tc>
              <w:tc>
                <w:tcPr>
                  <w:tcW w:w="716" w:type="pct"/>
                  <w:noWrap w:val="0"/>
                  <w:vAlign w:val="center"/>
                </w:tcPr>
                <w:p w14:paraId="3A00B35F">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烘干塔</w:t>
                  </w:r>
                </w:p>
              </w:tc>
              <w:tc>
                <w:tcPr>
                  <w:tcW w:w="3402" w:type="pct"/>
                  <w:noWrap w:val="0"/>
                  <w:vAlign w:val="center"/>
                </w:tcPr>
                <w:p w14:paraId="0E407FDC">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cs="Times New Roman"/>
                      <w:color w:val="000000" w:themeColor="text1"/>
                      <w:sz w:val="18"/>
                      <w:szCs w:val="18"/>
                      <w:highlight w:val="none"/>
                      <w14:textFill>
                        <w14:solidFill>
                          <w14:schemeClr w14:val="tx1"/>
                        </w14:solidFill>
                      </w14:textFill>
                    </w:rPr>
                    <w:t>座烘干塔，</w:t>
                  </w: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依托原有1座日烘干能力500t/d烘干塔，高27m，</w:t>
                  </w:r>
                  <w:r>
                    <w:rPr>
                      <w:rFonts w:hint="eastAsia" w:cs="Times New Roman"/>
                      <w:color w:val="000000" w:themeColor="text1"/>
                      <w:kern w:val="21"/>
                      <w:sz w:val="18"/>
                      <w:szCs w:val="18"/>
                      <w:highlight w:val="none"/>
                      <w:lang w:val="en-US" w:eastAsia="zh-CN"/>
                      <w14:textFill>
                        <w14:solidFill>
                          <w14:schemeClr w14:val="tx1"/>
                        </w14:solidFill>
                      </w14:textFill>
                    </w:rPr>
                    <w:t>年烘干水稻40000t，新增年烘干玉米20000t</w:t>
                  </w: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w:t>
                  </w:r>
                </w:p>
              </w:tc>
              <w:tc>
                <w:tcPr>
                  <w:tcW w:w="470" w:type="pct"/>
                  <w:noWrap w:val="0"/>
                  <w:vAlign w:val="center"/>
                </w:tcPr>
                <w:p w14:paraId="5520E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zh-CN"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6BCBA9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353C1B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2586CA04">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热风炉房</w:t>
                  </w:r>
                </w:p>
              </w:tc>
              <w:tc>
                <w:tcPr>
                  <w:tcW w:w="3402" w:type="pct"/>
                  <w:noWrap w:val="0"/>
                  <w:vAlign w:val="center"/>
                </w:tcPr>
                <w:p w14:paraId="15AD30AE">
                  <w:pPr>
                    <w:pStyle w:val="14"/>
                    <w:keepNext w:val="0"/>
                    <w:keepLines w:val="0"/>
                    <w:suppressLineNumbers w:val="0"/>
                    <w:bidi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建筑</w:t>
                  </w:r>
                  <w:r>
                    <w:rPr>
                      <w:rFonts w:hint="default" w:ascii="Times New Roman" w:hAnsi="Times New Roman" w:cs="Times New Roman"/>
                      <w:color w:val="000000" w:themeColor="text1"/>
                      <w:sz w:val="18"/>
                      <w:szCs w:val="18"/>
                      <w:highlight w:val="none"/>
                      <w14:textFill>
                        <w14:solidFill>
                          <w14:schemeClr w14:val="tx1"/>
                        </w14:solidFill>
                      </w14:textFill>
                    </w:rPr>
                    <w:t>面积</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301.38</w:t>
                  </w:r>
                  <w:r>
                    <w:rPr>
                      <w:rFonts w:hint="default" w:ascii="Times New Roman" w:hAnsi="Times New Roman" w:cs="Times New Roman"/>
                      <w:color w:val="000000" w:themeColor="text1"/>
                      <w:sz w:val="18"/>
                      <w:szCs w:val="18"/>
                      <w:highlight w:val="none"/>
                      <w14:textFill>
                        <w14:solidFill>
                          <w14:schemeClr w14:val="tx1"/>
                        </w14:solidFill>
                      </w14:textFill>
                    </w:rPr>
                    <w:t>m</w:t>
                  </w:r>
                  <w:r>
                    <w:rPr>
                      <w:rFonts w:hint="default" w:ascii="Times New Roman" w:hAnsi="Times New Roman" w:cs="Times New Roman"/>
                      <w:color w:val="000000" w:themeColor="text1"/>
                      <w:sz w:val="18"/>
                      <w:szCs w:val="18"/>
                      <w:highlight w:val="none"/>
                      <w:vertAlign w:val="superscript"/>
                      <w14:textFill>
                        <w14:solidFill>
                          <w14:schemeClr w14:val="tx1"/>
                        </w14:solidFill>
                      </w14:textFill>
                    </w:rPr>
                    <w:t>2</w:t>
                  </w:r>
                  <w:r>
                    <w:rPr>
                      <w:rFonts w:hint="default" w:ascii="Times New Roman" w:hAnsi="Times New Roman" w:cs="Times New Roman"/>
                      <w:color w:val="000000" w:themeColor="text1"/>
                      <w:sz w:val="18"/>
                      <w:szCs w:val="18"/>
                      <w:highlight w:val="none"/>
                      <w14:textFill>
                        <w14:solidFill>
                          <w14:schemeClr w14:val="tx1"/>
                        </w14:solidFill>
                      </w14:textFill>
                    </w:rPr>
                    <w:t>，</w:t>
                  </w:r>
                  <w:r>
                    <w:rPr>
                      <w:rFonts w:hint="default" w:ascii="Times New Roman" w:hAnsi="Times New Roman" w:cs="Times New Roman"/>
                      <w:bCs/>
                      <w:color w:val="000000" w:themeColor="text1"/>
                      <w:kern w:val="0"/>
                      <w:sz w:val="18"/>
                      <w:szCs w:val="18"/>
                      <w:highlight w:val="none"/>
                      <w:lang w:val="en-US" w:eastAsia="zh-CN"/>
                      <w14:textFill>
                        <w14:solidFill>
                          <w14:schemeClr w14:val="tx1"/>
                        </w14:solidFill>
                      </w14:textFill>
                    </w:rPr>
                    <w:t>1台</w:t>
                  </w:r>
                  <w:r>
                    <w:rPr>
                      <w:rFonts w:hint="eastAsia" w:ascii="Times New Roman" w:hAnsi="Times New Roman" w:cs="Times New Roman"/>
                      <w:bCs/>
                      <w:color w:val="000000" w:themeColor="text1"/>
                      <w:kern w:val="0"/>
                      <w:sz w:val="18"/>
                      <w:szCs w:val="18"/>
                      <w:highlight w:val="none"/>
                      <w:lang w:val="en-US" w:eastAsia="zh-CN"/>
                      <w14:textFill>
                        <w14:solidFill>
                          <w14:schemeClr w14:val="tx1"/>
                        </w14:solidFill>
                      </w14:textFill>
                    </w:rPr>
                    <w:t>600万Kcal/h</w:t>
                  </w: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生物质</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热风炉</w:t>
                  </w:r>
                  <w:r>
                    <w:rPr>
                      <w:rFonts w:hint="eastAsia" w:ascii="Times New Roman" w:hAnsi="Times New Roman" w:eastAsia="宋体" w:cs="Times New Roman"/>
                      <w:bCs/>
                      <w:color w:val="000000" w:themeColor="text1"/>
                      <w:kern w:val="0"/>
                      <w:sz w:val="18"/>
                      <w:szCs w:val="18"/>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用于粮食烘干。</w:t>
                  </w:r>
                </w:p>
              </w:tc>
              <w:tc>
                <w:tcPr>
                  <w:tcW w:w="470" w:type="pct"/>
                  <w:noWrap w:val="0"/>
                  <w:vAlign w:val="center"/>
                </w:tcPr>
                <w:p w14:paraId="6775CB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5D4759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10" w:type="pct"/>
                  <w:noWrap w:val="0"/>
                  <w:vAlign w:val="center"/>
                </w:tcPr>
                <w:p w14:paraId="6C23E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辅助工程</w:t>
                  </w:r>
                </w:p>
              </w:tc>
              <w:tc>
                <w:tcPr>
                  <w:tcW w:w="716" w:type="pct"/>
                  <w:noWrap w:val="0"/>
                  <w:vAlign w:val="center"/>
                </w:tcPr>
                <w:p w14:paraId="7D55531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办公室</w:t>
                  </w:r>
                </w:p>
              </w:tc>
              <w:tc>
                <w:tcPr>
                  <w:tcW w:w="3402" w:type="pct"/>
                  <w:noWrap w:val="0"/>
                  <w:vAlign w:val="center"/>
                </w:tcPr>
                <w:p w14:paraId="4E07754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4座，总建筑面积793.36m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。主要用于工作人员办公和休息。</w:t>
                  </w:r>
                </w:p>
              </w:tc>
              <w:tc>
                <w:tcPr>
                  <w:tcW w:w="470" w:type="pct"/>
                  <w:noWrap w:val="0"/>
                  <w:vAlign w:val="center"/>
                </w:tcPr>
                <w:p w14:paraId="45D396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10D743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0" w:type="pct"/>
                  <w:vMerge w:val="restart"/>
                  <w:noWrap w:val="0"/>
                  <w:vAlign w:val="center"/>
                </w:tcPr>
                <w:p w14:paraId="4425C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储运工程</w:t>
                  </w:r>
                </w:p>
              </w:tc>
              <w:tc>
                <w:tcPr>
                  <w:tcW w:w="716" w:type="pct"/>
                  <w:noWrap w:val="0"/>
                  <w:vAlign w:val="center"/>
                </w:tcPr>
                <w:p w14:paraId="317E5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潮粮囤</w:t>
                  </w:r>
                </w:p>
              </w:tc>
              <w:tc>
                <w:tcPr>
                  <w:tcW w:w="3402" w:type="pct"/>
                  <w:noWrap w:val="0"/>
                  <w:vAlign w:val="center"/>
                </w:tcPr>
                <w:p w14:paraId="4D1CCD54">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eastAsia="宋体" w:cs="Times New Roman"/>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座，</w:t>
                  </w:r>
                  <w:r>
                    <w:rPr>
                      <w:rFonts w:hint="eastAsia"/>
                      <w:color w:val="000000" w:themeColor="text1"/>
                      <w:sz w:val="18"/>
                      <w:szCs w:val="18"/>
                      <w:highlight w:val="none"/>
                      <w:lang w:val="en-US" w:eastAsia="zh-CN"/>
                      <w14:textFill>
                        <w14:solidFill>
                          <w14:schemeClr w14:val="tx1"/>
                        </w14:solidFill>
                      </w14:textFill>
                    </w:rPr>
                    <w:t>全封闭，</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用于</w:t>
                  </w:r>
                  <w:r>
                    <w:rPr>
                      <w:rFonts w:hint="eastAsia"/>
                      <w:color w:val="000000" w:themeColor="text1"/>
                      <w:sz w:val="18"/>
                      <w:szCs w:val="18"/>
                      <w:highlight w:val="none"/>
                      <w:lang w:val="en-US" w:eastAsia="zh-CN"/>
                      <w14:textFill>
                        <w14:solidFill>
                          <w14:schemeClr w14:val="tx1"/>
                        </w14:solidFill>
                      </w14:textFill>
                    </w:rPr>
                    <w:t>存放水稻、玉米湿粮，最大储存量为1500t。</w:t>
                  </w:r>
                </w:p>
              </w:tc>
              <w:tc>
                <w:tcPr>
                  <w:tcW w:w="470" w:type="pct"/>
                  <w:noWrap w:val="0"/>
                  <w:vAlign w:val="center"/>
                </w:tcPr>
                <w:p w14:paraId="2B20A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47FE15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10" w:type="pct"/>
                  <w:vMerge w:val="continue"/>
                  <w:noWrap w:val="0"/>
                  <w:vAlign w:val="center"/>
                </w:tcPr>
                <w:p w14:paraId="21A85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25BF0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干粮囤</w:t>
                  </w:r>
                </w:p>
              </w:tc>
              <w:tc>
                <w:tcPr>
                  <w:tcW w:w="3402" w:type="pct"/>
                  <w:noWrap w:val="0"/>
                  <w:vAlign w:val="center"/>
                </w:tcPr>
                <w:p w14:paraId="2B2C4C99">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座，</w:t>
                  </w:r>
                  <w:r>
                    <w:rPr>
                      <w:rFonts w:hint="eastAsia"/>
                      <w:color w:val="000000" w:themeColor="text1"/>
                      <w:sz w:val="18"/>
                      <w:szCs w:val="18"/>
                      <w:highlight w:val="none"/>
                      <w:lang w:val="en-US" w:eastAsia="zh-CN"/>
                      <w14:textFill>
                        <w14:solidFill>
                          <w14:schemeClr w14:val="tx1"/>
                        </w14:solidFill>
                      </w14:textFill>
                    </w:rPr>
                    <w:t>全封闭，</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用于</w:t>
                  </w:r>
                  <w:r>
                    <w:rPr>
                      <w:rFonts w:hint="eastAsia"/>
                      <w:color w:val="000000" w:themeColor="text1"/>
                      <w:sz w:val="18"/>
                      <w:szCs w:val="18"/>
                      <w:highlight w:val="none"/>
                      <w:lang w:val="en-US" w:eastAsia="zh-CN"/>
                      <w14:textFill>
                        <w14:solidFill>
                          <w14:schemeClr w14:val="tx1"/>
                        </w14:solidFill>
                      </w14:textFill>
                    </w:rPr>
                    <w:t>存放水稻、玉米干粮，最大储存量为1500t。</w:t>
                  </w:r>
                </w:p>
              </w:tc>
              <w:tc>
                <w:tcPr>
                  <w:tcW w:w="470" w:type="pct"/>
                  <w:noWrap w:val="0"/>
                  <w:vAlign w:val="center"/>
                </w:tcPr>
                <w:p w14:paraId="7FA81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2D175A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10" w:type="pct"/>
                  <w:vMerge w:val="continue"/>
                  <w:noWrap w:val="0"/>
                  <w:vAlign w:val="center"/>
                </w:tcPr>
                <w:p w14:paraId="6E30E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vMerge w:val="restart"/>
                  <w:noWrap w:val="0"/>
                  <w:vAlign w:val="center"/>
                </w:tcPr>
                <w:p w14:paraId="0C45629A">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钢结构保温立体桶仓</w:t>
                  </w:r>
                </w:p>
              </w:tc>
              <w:tc>
                <w:tcPr>
                  <w:tcW w:w="3402" w:type="pct"/>
                  <w:noWrap w:val="0"/>
                  <w:vAlign w:val="center"/>
                </w:tcPr>
                <w:p w14:paraId="497A0364">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6</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座，</w:t>
                  </w:r>
                  <w:r>
                    <w:rPr>
                      <w:rFonts w:hint="eastAsia" w:cs="Times New Roman"/>
                      <w:color w:val="000000" w:themeColor="text1"/>
                      <w:sz w:val="18"/>
                      <w:szCs w:val="18"/>
                      <w:highlight w:val="none"/>
                      <w:lang w:val="en-US" w:eastAsia="zh-CN"/>
                      <w14:textFill>
                        <w14:solidFill>
                          <w14:schemeClr w14:val="tx1"/>
                        </w14:solidFill>
                      </w14:textFill>
                    </w:rPr>
                    <w:t>全封闭，</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用于</w:t>
                  </w:r>
                  <w:r>
                    <w:rPr>
                      <w:rFonts w:hint="eastAsia"/>
                      <w:color w:val="000000" w:themeColor="text1"/>
                      <w:sz w:val="18"/>
                      <w:szCs w:val="18"/>
                      <w:highlight w:val="none"/>
                      <w:lang w:val="en-US" w:eastAsia="zh-CN"/>
                      <w14:textFill>
                        <w14:solidFill>
                          <w14:schemeClr w14:val="tx1"/>
                        </w14:solidFill>
                      </w14:textFill>
                    </w:rPr>
                    <w:t>存放水稻、玉米干粮，最大储存量为7500t/个。</w:t>
                  </w:r>
                </w:p>
              </w:tc>
              <w:tc>
                <w:tcPr>
                  <w:tcW w:w="470" w:type="pct"/>
                  <w:vMerge w:val="restart"/>
                  <w:noWrap w:val="0"/>
                  <w:vAlign w:val="center"/>
                </w:tcPr>
                <w:p w14:paraId="78909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3550AB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0" w:type="pct"/>
                  <w:vMerge w:val="continue"/>
                  <w:noWrap w:val="0"/>
                  <w:vAlign w:val="center"/>
                </w:tcPr>
                <w:p w14:paraId="7D8D6B75">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716" w:type="pct"/>
                  <w:vMerge w:val="continue"/>
                  <w:noWrap w:val="0"/>
                  <w:vAlign w:val="center"/>
                </w:tcPr>
                <w:p w14:paraId="4893042E">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3402" w:type="pct"/>
                  <w:noWrap w:val="0"/>
                  <w:vAlign w:val="top"/>
                </w:tcPr>
                <w:p w14:paraId="7DBF3688">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座，</w:t>
                  </w:r>
                  <w:r>
                    <w:rPr>
                      <w:rFonts w:hint="eastAsia" w:cs="Times New Roman"/>
                      <w:color w:val="000000" w:themeColor="text1"/>
                      <w:sz w:val="18"/>
                      <w:szCs w:val="18"/>
                      <w:highlight w:val="none"/>
                      <w:lang w:val="en-US" w:eastAsia="zh-CN"/>
                      <w14:textFill>
                        <w14:solidFill>
                          <w14:schemeClr w14:val="tx1"/>
                        </w14:solidFill>
                      </w14:textFill>
                    </w:rPr>
                    <w:t>全封闭，</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用于</w:t>
                  </w:r>
                  <w:r>
                    <w:rPr>
                      <w:rFonts w:hint="eastAsia"/>
                      <w:color w:val="000000" w:themeColor="text1"/>
                      <w:sz w:val="18"/>
                      <w:szCs w:val="18"/>
                      <w:highlight w:val="none"/>
                      <w:lang w:val="en-US" w:eastAsia="zh-CN"/>
                      <w14:textFill>
                        <w14:solidFill>
                          <w14:schemeClr w14:val="tx1"/>
                        </w14:solidFill>
                      </w14:textFill>
                    </w:rPr>
                    <w:t>存放水稻、玉米干粮，最大储存量为5700t/个</w:t>
                  </w:r>
                </w:p>
              </w:tc>
              <w:tc>
                <w:tcPr>
                  <w:tcW w:w="470" w:type="pct"/>
                  <w:vMerge w:val="continue"/>
                  <w:noWrap w:val="0"/>
                  <w:vAlign w:val="center"/>
                </w:tcPr>
                <w:p w14:paraId="64D6B127">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p>
              </w:tc>
            </w:tr>
            <w:tr w14:paraId="223881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52B2E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35A1872E">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砖圆仓</w:t>
                  </w:r>
                </w:p>
              </w:tc>
              <w:tc>
                <w:tcPr>
                  <w:tcW w:w="3402" w:type="pct"/>
                  <w:noWrap w:val="0"/>
                  <w:vAlign w:val="center"/>
                </w:tcPr>
                <w:p w14:paraId="7497A648">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4</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座，</w:t>
                  </w:r>
                  <w:r>
                    <w:rPr>
                      <w:rFonts w:hint="eastAsia" w:cs="Times New Roman"/>
                      <w:color w:val="000000" w:themeColor="text1"/>
                      <w:sz w:val="18"/>
                      <w:szCs w:val="18"/>
                      <w:highlight w:val="none"/>
                      <w:lang w:val="en-US" w:eastAsia="zh-CN"/>
                      <w14:textFill>
                        <w14:solidFill>
                          <w14:schemeClr w14:val="tx1"/>
                        </w14:solidFill>
                      </w14:textFill>
                    </w:rPr>
                    <w:t>全封闭，</w:t>
                  </w:r>
                  <w:r>
                    <w:rPr>
                      <w:rFonts w:hint="eastAsia" w:ascii="Times New Roman" w:hAnsi="Times New Roman" w:eastAsia="宋体"/>
                      <w:color w:val="000000" w:themeColor="text1"/>
                      <w:sz w:val="18"/>
                      <w:szCs w:val="18"/>
                      <w:highlight w:val="none"/>
                      <w:lang w:val="en-US" w:eastAsia="zh-CN"/>
                      <w14:textFill>
                        <w14:solidFill>
                          <w14:schemeClr w14:val="tx1"/>
                        </w14:solidFill>
                      </w14:textFill>
                    </w:rPr>
                    <w:t>用于</w:t>
                  </w:r>
                  <w:r>
                    <w:rPr>
                      <w:rFonts w:hint="eastAsia"/>
                      <w:color w:val="000000" w:themeColor="text1"/>
                      <w:sz w:val="18"/>
                      <w:szCs w:val="18"/>
                      <w:highlight w:val="none"/>
                      <w:lang w:val="en-US" w:eastAsia="zh-CN"/>
                      <w14:textFill>
                        <w14:solidFill>
                          <w14:schemeClr w14:val="tx1"/>
                        </w14:solidFill>
                      </w14:textFill>
                    </w:rPr>
                    <w:t>存放水稻、玉米干粮，最大储存量为5700t/个</w:t>
                  </w:r>
                </w:p>
              </w:tc>
              <w:tc>
                <w:tcPr>
                  <w:tcW w:w="470" w:type="pct"/>
                  <w:noWrap w:val="0"/>
                  <w:vAlign w:val="center"/>
                </w:tcPr>
                <w:p w14:paraId="3F6CF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139755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10" w:type="pct"/>
                  <w:vMerge w:val="continue"/>
                  <w:noWrap w:val="0"/>
                  <w:vAlign w:val="center"/>
                </w:tcPr>
                <w:p w14:paraId="4AA78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vMerge w:val="restart"/>
                  <w:noWrap w:val="0"/>
                  <w:vAlign w:val="center"/>
                </w:tcPr>
                <w:p w14:paraId="301433CF">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钢结构保温平方仓</w:t>
                  </w:r>
                </w:p>
              </w:tc>
              <w:tc>
                <w:tcPr>
                  <w:tcW w:w="3402" w:type="pct"/>
                  <w:noWrap w:val="0"/>
                  <w:vAlign w:val="center"/>
                </w:tcPr>
                <w:p w14:paraId="451220A1">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1座，全封闭，建筑面积为5508m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，用于存放水稻、玉米干粮，最大存储量为24000t。</w:t>
                  </w:r>
                </w:p>
              </w:tc>
              <w:tc>
                <w:tcPr>
                  <w:tcW w:w="470" w:type="pct"/>
                  <w:noWrap w:val="0"/>
                  <w:vAlign w:val="center"/>
                </w:tcPr>
                <w:p w14:paraId="40D24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41C145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10" w:type="pct"/>
                  <w:vMerge w:val="continue"/>
                  <w:noWrap w:val="0"/>
                  <w:vAlign w:val="center"/>
                </w:tcPr>
                <w:p w14:paraId="23C740FE">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716" w:type="pct"/>
                  <w:vMerge w:val="continue"/>
                  <w:noWrap w:val="0"/>
                  <w:vAlign w:val="center"/>
                </w:tcPr>
                <w:p w14:paraId="4FDCE7B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olor w:val="000000" w:themeColor="text1"/>
                      <w:highlight w:val="none"/>
                      <w14:textFill>
                        <w14:solidFill>
                          <w14:schemeClr w14:val="tx1"/>
                        </w14:solidFill>
                      </w14:textFill>
                    </w:rPr>
                  </w:pPr>
                </w:p>
              </w:tc>
              <w:tc>
                <w:tcPr>
                  <w:tcW w:w="3402" w:type="pct"/>
                  <w:noWrap w:val="0"/>
                  <w:vAlign w:val="center"/>
                </w:tcPr>
                <w:p w14:paraId="35127990">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1座，全封闭，建筑面积为5832m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，用于存放水稻、玉米干粮，最大存储量为24000t。</w:t>
                  </w:r>
                </w:p>
              </w:tc>
              <w:tc>
                <w:tcPr>
                  <w:tcW w:w="470" w:type="pct"/>
                  <w:noWrap w:val="0"/>
                  <w:vAlign w:val="center"/>
                </w:tcPr>
                <w:p w14:paraId="017112B5">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新建</w:t>
                  </w:r>
                </w:p>
              </w:tc>
            </w:tr>
            <w:tr w14:paraId="4DB5F6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10" w:type="pct"/>
                  <w:vMerge w:val="continue"/>
                  <w:noWrap w:val="0"/>
                  <w:vAlign w:val="center"/>
                </w:tcPr>
                <w:p w14:paraId="53004170">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p>
              </w:tc>
              <w:tc>
                <w:tcPr>
                  <w:tcW w:w="716" w:type="pct"/>
                  <w:vMerge w:val="continue"/>
                  <w:noWrap w:val="0"/>
                  <w:vAlign w:val="center"/>
                </w:tcPr>
                <w:p w14:paraId="277DD34F">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p>
              </w:tc>
              <w:tc>
                <w:tcPr>
                  <w:tcW w:w="3402" w:type="pct"/>
                  <w:noWrap w:val="0"/>
                  <w:vAlign w:val="center"/>
                </w:tcPr>
                <w:p w14:paraId="1BEF5212">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1座，全封闭，建筑面积为7776m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，用于存放水稻、玉米干粮，最大存储量为32000t。</w:t>
                  </w:r>
                </w:p>
              </w:tc>
              <w:tc>
                <w:tcPr>
                  <w:tcW w:w="470" w:type="pct"/>
                  <w:noWrap w:val="0"/>
                  <w:vAlign w:val="center"/>
                </w:tcPr>
                <w:p w14:paraId="5B46133A">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新建</w:t>
                  </w:r>
                </w:p>
              </w:tc>
            </w:tr>
            <w:tr w14:paraId="17C8B0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10" w:type="pct"/>
                  <w:vMerge w:val="continue"/>
                  <w:noWrap w:val="0"/>
                  <w:vAlign w:val="center"/>
                </w:tcPr>
                <w:p w14:paraId="3EFAA78C">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p>
              </w:tc>
              <w:tc>
                <w:tcPr>
                  <w:tcW w:w="716" w:type="pct"/>
                  <w:vMerge w:val="continue"/>
                  <w:noWrap w:val="0"/>
                  <w:vAlign w:val="center"/>
                </w:tcPr>
                <w:p w14:paraId="2014007C">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p>
              </w:tc>
              <w:tc>
                <w:tcPr>
                  <w:tcW w:w="3402" w:type="pct"/>
                  <w:noWrap w:val="0"/>
                  <w:vAlign w:val="center"/>
                </w:tcPr>
                <w:p w14:paraId="03A1E4CA">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2座，全封闭，每座建筑面积为6480m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，用于存放水稻、玉米干粮，最大存储量为26000t。</w:t>
                  </w:r>
                </w:p>
              </w:tc>
              <w:tc>
                <w:tcPr>
                  <w:tcW w:w="470" w:type="pct"/>
                  <w:noWrap w:val="0"/>
                  <w:vAlign w:val="center"/>
                </w:tcPr>
                <w:p w14:paraId="7FF1E6A6">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新建</w:t>
                  </w:r>
                </w:p>
              </w:tc>
            </w:tr>
            <w:tr w14:paraId="4F14DC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603389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30D776D9">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库房</w:t>
                  </w:r>
                </w:p>
              </w:tc>
              <w:tc>
                <w:tcPr>
                  <w:tcW w:w="3402" w:type="pct"/>
                  <w:noWrap w:val="0"/>
                  <w:vAlign w:val="center"/>
                </w:tcPr>
                <w:p w14:paraId="531C85AF">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1座，建筑面积为160m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，主要用于存放工具。</w:t>
                  </w:r>
                </w:p>
              </w:tc>
              <w:tc>
                <w:tcPr>
                  <w:tcW w:w="470" w:type="pct"/>
                  <w:noWrap w:val="0"/>
                  <w:vAlign w:val="center"/>
                </w:tcPr>
                <w:p w14:paraId="1CD84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17591C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CA5E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37B4F79E">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消防泵房</w:t>
                  </w:r>
                </w:p>
              </w:tc>
              <w:tc>
                <w:tcPr>
                  <w:tcW w:w="3402" w:type="pct"/>
                  <w:noWrap w:val="0"/>
                  <w:vAlign w:val="center"/>
                </w:tcPr>
                <w:p w14:paraId="36C7F814">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1座，建筑面积为231.66m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（含地下面积57.86</w:t>
                  </w:r>
                  <w:r>
                    <w:rPr>
                      <w:rFonts w:hint="eastAsia" w:cs="Times New Roman"/>
                      <w:color w:val="000000" w:themeColor="text1"/>
                      <w:sz w:val="18"/>
                      <w:szCs w:val="18"/>
                      <w:highlight w:val="none"/>
                      <w:lang w:val="en-US" w:eastAsia="zh-CN"/>
                      <w14:textFill>
                        <w14:solidFill>
                          <w14:schemeClr w14:val="tx1"/>
                        </w14:solidFill>
                      </w14:textFill>
                    </w:rPr>
                    <w:t>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w:t>
                  </w:r>
                </w:p>
                <w:p w14:paraId="2D4732A8">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主要用于存放消防工具。</w:t>
                  </w:r>
                </w:p>
              </w:tc>
              <w:tc>
                <w:tcPr>
                  <w:tcW w:w="470" w:type="pct"/>
                  <w:noWrap w:val="0"/>
                  <w:vAlign w:val="center"/>
                </w:tcPr>
                <w:p w14:paraId="65001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新建</w:t>
                  </w:r>
                </w:p>
              </w:tc>
            </w:tr>
            <w:tr w14:paraId="4D7E31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2F58B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5FA8E305">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消防水池库房</w:t>
                  </w:r>
                </w:p>
              </w:tc>
              <w:tc>
                <w:tcPr>
                  <w:tcW w:w="3402" w:type="pct"/>
                  <w:shd w:val="clear" w:color="auto" w:fill="auto"/>
                  <w:noWrap w:val="0"/>
                  <w:vAlign w:val="center"/>
                </w:tcPr>
                <w:p w14:paraId="1BA238B3">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1座，占地面积为210.6m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，主要用于存放消防用水。</w:t>
                  </w:r>
                </w:p>
              </w:tc>
              <w:tc>
                <w:tcPr>
                  <w:tcW w:w="470" w:type="pct"/>
                  <w:shd w:val="clear" w:color="auto" w:fill="auto"/>
                  <w:noWrap w:val="0"/>
                  <w:vAlign w:val="center"/>
                </w:tcPr>
                <w:p w14:paraId="3729C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新建</w:t>
                  </w:r>
                </w:p>
              </w:tc>
            </w:tr>
            <w:tr w14:paraId="73CC00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20DD40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4751FFDF">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消防蓄水池</w:t>
                  </w:r>
                </w:p>
              </w:tc>
              <w:tc>
                <w:tcPr>
                  <w:tcW w:w="3402" w:type="pct"/>
                  <w:shd w:val="clear" w:color="auto" w:fill="auto"/>
                  <w:noWrap w:val="0"/>
                  <w:vAlign w:val="center"/>
                </w:tcPr>
                <w:p w14:paraId="6A49F244">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1座，建筑面积为120.36m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sz w:val="18"/>
                      <w:szCs w:val="18"/>
                      <w:highlight w:val="none"/>
                      <w:vertAlign w:val="baseline"/>
                      <w:lang w:val="en-US" w:eastAsia="zh-CN"/>
                      <w14:textFill>
                        <w14:solidFill>
                          <w14:schemeClr w14:val="tx1"/>
                        </w14:solidFill>
                      </w14:textFill>
                    </w:rPr>
                    <w:t>，主要用于存放消防用水。</w:t>
                  </w:r>
                </w:p>
              </w:tc>
              <w:tc>
                <w:tcPr>
                  <w:tcW w:w="470" w:type="pct"/>
                  <w:shd w:val="clear" w:color="auto" w:fill="auto"/>
                  <w:noWrap w:val="0"/>
                  <w:vAlign w:val="center"/>
                </w:tcPr>
                <w:p w14:paraId="256F6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依托</w:t>
                  </w:r>
                </w:p>
              </w:tc>
            </w:tr>
            <w:tr w14:paraId="301FBA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15A5B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74D8FB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olor w:val="000000" w:themeColor="text1"/>
                      <w:sz w:val="18"/>
                      <w:szCs w:val="18"/>
                      <w:highlight w:val="none"/>
                      <w14:textFill>
                        <w14:solidFill>
                          <w14:schemeClr w14:val="tx1"/>
                        </w14:solidFill>
                      </w14:textFill>
                    </w:rPr>
                    <w:t>燃料</w:t>
                  </w:r>
                </w:p>
              </w:tc>
              <w:tc>
                <w:tcPr>
                  <w:tcW w:w="3402" w:type="pct"/>
                  <w:noWrap w:val="0"/>
                  <w:vAlign w:val="center"/>
                </w:tcPr>
                <w:p w14:paraId="1F97AF0A">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本项目燃料密封袋装，运输车辆全部采用苦布覆盖，每10天运输一次，运输至厂内热风炉房暂存。</w:t>
                  </w:r>
                </w:p>
              </w:tc>
              <w:tc>
                <w:tcPr>
                  <w:tcW w:w="470" w:type="pct"/>
                  <w:noWrap w:val="0"/>
                  <w:vAlign w:val="center"/>
                </w:tcPr>
                <w:p w14:paraId="6EE54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479179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noWrap w:val="0"/>
                  <w:vAlign w:val="center"/>
                </w:tcPr>
                <w:p w14:paraId="19682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67979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snapToGrid w:val="0"/>
                      <w:color w:val="000000" w:themeColor="text1"/>
                      <w:kern w:val="0"/>
                      <w:sz w:val="18"/>
                      <w:szCs w:val="18"/>
                      <w:highlight w:val="none"/>
                      <w:lang w:eastAsia="zh-CN"/>
                      <w14:textFill>
                        <w14:solidFill>
                          <w14:schemeClr w14:val="tx1"/>
                        </w14:solidFill>
                      </w14:textFill>
                    </w:rPr>
                    <w:t>灰</w:t>
                  </w:r>
                  <w:r>
                    <w:rPr>
                      <w:rFonts w:hint="eastAsia" w:ascii="Times New Roman" w:hAnsi="Times New Roman" w:eastAsia="宋体"/>
                      <w:snapToGrid w:val="0"/>
                      <w:color w:val="000000" w:themeColor="text1"/>
                      <w:kern w:val="0"/>
                      <w:sz w:val="18"/>
                      <w:szCs w:val="18"/>
                      <w:highlight w:val="none"/>
                      <w14:textFill>
                        <w14:solidFill>
                          <w14:schemeClr w14:val="tx1"/>
                        </w14:solidFill>
                      </w14:textFill>
                    </w:rPr>
                    <w:t>渣</w:t>
                  </w:r>
                </w:p>
              </w:tc>
              <w:tc>
                <w:tcPr>
                  <w:tcW w:w="3402" w:type="pct"/>
                  <w:noWrap w:val="0"/>
                  <w:vAlign w:val="center"/>
                </w:tcPr>
                <w:p w14:paraId="5822F511">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项目不设置灰渣仓，热风炉灰渣增湿降温后装袋后密封收集，暂存于热风炉房内，热风炉房内设置封闭式灰渣储存间，灰渣每10天拉运一次，外售肥料厂家综合利用</w:t>
                  </w:r>
                  <w:r>
                    <w:rPr>
                      <w:rFonts w:hint="eastAsia" w:ascii="Times New Roman" w:hAnsi="Times New Roman" w:eastAsia="宋体" w:cs="Times New Roman"/>
                      <w:snapToGrid w:val="0"/>
                      <w:color w:val="000000" w:themeColor="text1"/>
                      <w:kern w:val="0"/>
                      <w:sz w:val="18"/>
                      <w:szCs w:val="18"/>
                      <w:highlight w:val="none"/>
                      <w:lang w:val="en-US" w:eastAsia="zh-CN"/>
                      <w14:textFill>
                        <w14:solidFill>
                          <w14:schemeClr w14:val="tx1"/>
                        </w14:solidFill>
                      </w14:textFill>
                    </w:rPr>
                    <w:t>。</w:t>
                  </w:r>
                </w:p>
              </w:tc>
              <w:tc>
                <w:tcPr>
                  <w:tcW w:w="470" w:type="pct"/>
                  <w:noWrap w:val="0"/>
                  <w:vAlign w:val="center"/>
                </w:tcPr>
                <w:p w14:paraId="7020F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7621D1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pct"/>
                  <w:vMerge w:val="continue"/>
                  <w:noWrap w:val="0"/>
                  <w:vAlign w:val="center"/>
                </w:tcPr>
                <w:p w14:paraId="34BDC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themeColor="text1"/>
                      <w:sz w:val="18"/>
                      <w:szCs w:val="18"/>
                      <w:highlight w:val="none"/>
                      <w:lang w:val="en-US" w:eastAsia="zh-CN"/>
                      <w14:textFill>
                        <w14:solidFill>
                          <w14:schemeClr w14:val="tx1"/>
                        </w14:solidFill>
                      </w14:textFill>
                    </w:rPr>
                  </w:pPr>
                </w:p>
              </w:tc>
              <w:tc>
                <w:tcPr>
                  <w:tcW w:w="716" w:type="pct"/>
                  <w:noWrap w:val="0"/>
                  <w:vAlign w:val="center"/>
                </w:tcPr>
                <w:p w14:paraId="11361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snapToGrid w:val="0"/>
                      <w:color w:val="000000" w:themeColor="text1"/>
                      <w:kern w:val="0"/>
                      <w:sz w:val="18"/>
                      <w:szCs w:val="18"/>
                      <w:highlight w:val="none"/>
                      <w:lang w:val="en-US" w:eastAsia="zh-CN"/>
                      <w14:textFill>
                        <w14:solidFill>
                          <w14:schemeClr w14:val="tx1"/>
                        </w14:solidFill>
                      </w14:textFill>
                    </w:rPr>
                  </w:pPr>
                  <w:r>
                    <w:rPr>
                      <w:rFonts w:hint="eastAsia"/>
                      <w:snapToGrid w:val="0"/>
                      <w:color w:val="000000" w:themeColor="text1"/>
                      <w:kern w:val="0"/>
                      <w:sz w:val="18"/>
                      <w:szCs w:val="18"/>
                      <w:highlight w:val="none"/>
                      <w:lang w:val="en-US" w:eastAsia="zh-CN"/>
                      <w14:textFill>
                        <w14:solidFill>
                          <w14:schemeClr w14:val="tx1"/>
                        </w14:solidFill>
                      </w14:textFill>
                    </w:rPr>
                    <w:t>危废贮存点</w:t>
                  </w:r>
                </w:p>
              </w:tc>
              <w:tc>
                <w:tcPr>
                  <w:tcW w:w="3402" w:type="pct"/>
                  <w:noWrap w:val="0"/>
                  <w:vAlign w:val="center"/>
                </w:tcPr>
                <w:p w14:paraId="07CEDE93">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bCs/>
                      <w:color w:val="000000" w:themeColor="text1"/>
                      <w:kern w:val="0"/>
                      <w:sz w:val="18"/>
                      <w:szCs w:val="18"/>
                      <w:highlight w:val="none"/>
                      <w:vertAlign w:val="baseli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位于库房内，建筑面积3m</w:t>
                  </w:r>
                  <w:r>
                    <w:rPr>
                      <w:rFonts w:hint="eastAsia" w:cs="Times New Roman"/>
                      <w:bCs/>
                      <w:color w:val="000000" w:themeColor="text1"/>
                      <w:kern w:val="0"/>
                      <w:sz w:val="18"/>
                      <w:szCs w:val="18"/>
                      <w:highlight w:val="none"/>
                      <w:vertAlign w:val="superscript"/>
                      <w:lang w:val="en-US" w:eastAsia="zh-CN"/>
                      <w14:textFill>
                        <w14:solidFill>
                          <w14:schemeClr w14:val="tx1"/>
                        </w14:solidFill>
                      </w14:textFill>
                    </w:rPr>
                    <w:t>2</w:t>
                  </w:r>
                  <w:r>
                    <w:rPr>
                      <w:rFonts w:hint="eastAsia" w:cs="Times New Roman"/>
                      <w:bCs/>
                      <w:color w:val="000000" w:themeColor="text1"/>
                      <w:kern w:val="0"/>
                      <w:sz w:val="18"/>
                      <w:szCs w:val="18"/>
                      <w:highlight w:val="none"/>
                      <w:vertAlign w:val="baseline"/>
                      <w:lang w:val="en-US" w:eastAsia="zh-CN"/>
                      <w14:textFill>
                        <w14:solidFill>
                          <w14:schemeClr w14:val="tx1"/>
                        </w14:solidFill>
                      </w14:textFill>
                    </w:rPr>
                    <w:t>，最大储存量为0.1t，每年清运。防渗层为2mm厚的防渗人工材料，防渗系数≤10</w:t>
                  </w:r>
                  <w:r>
                    <w:rPr>
                      <w:rFonts w:hint="eastAsia" w:cs="Times New Roman"/>
                      <w:bCs/>
                      <w:color w:val="000000" w:themeColor="text1"/>
                      <w:kern w:val="0"/>
                      <w:sz w:val="18"/>
                      <w:szCs w:val="18"/>
                      <w:highlight w:val="none"/>
                      <w:vertAlign w:val="superscript"/>
                      <w:lang w:val="en-US" w:eastAsia="zh-CN"/>
                      <w14:textFill>
                        <w14:solidFill>
                          <w14:schemeClr w14:val="tx1"/>
                        </w14:solidFill>
                      </w14:textFill>
                    </w:rPr>
                    <w:t>-10</w:t>
                  </w:r>
                  <w:r>
                    <w:rPr>
                      <w:rFonts w:hint="eastAsia" w:cs="Times New Roman"/>
                      <w:bCs/>
                      <w:color w:val="000000" w:themeColor="text1"/>
                      <w:kern w:val="0"/>
                      <w:sz w:val="18"/>
                      <w:szCs w:val="18"/>
                      <w:highlight w:val="none"/>
                      <w:vertAlign w:val="baseline"/>
                      <w:lang w:val="en-US" w:eastAsia="zh-CN"/>
                      <w14:textFill>
                        <w14:solidFill>
                          <w14:schemeClr w14:val="tx1"/>
                        </w14:solidFill>
                      </w14:textFill>
                    </w:rPr>
                    <w:t>cm/s。</w:t>
                  </w:r>
                </w:p>
              </w:tc>
              <w:tc>
                <w:tcPr>
                  <w:tcW w:w="470" w:type="pct"/>
                  <w:noWrap w:val="0"/>
                  <w:vAlign w:val="center"/>
                </w:tcPr>
                <w:p w14:paraId="61A516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新建</w:t>
                  </w:r>
                </w:p>
              </w:tc>
            </w:tr>
            <w:tr w14:paraId="27B95B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34610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公用工程</w:t>
                  </w:r>
                </w:p>
              </w:tc>
              <w:tc>
                <w:tcPr>
                  <w:tcW w:w="716" w:type="pct"/>
                  <w:noWrap w:val="0"/>
                  <w:vAlign w:val="center"/>
                </w:tcPr>
                <w:p w14:paraId="6ADF2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default"/>
                      <w:color w:val="000000" w:themeColor="text1"/>
                      <w:sz w:val="18"/>
                      <w:szCs w:val="18"/>
                      <w:highlight w:val="none"/>
                      <w14:textFill>
                        <w14:solidFill>
                          <w14:schemeClr w14:val="tx1"/>
                        </w14:solidFill>
                      </w14:textFill>
                    </w:rPr>
                    <w:t>供</w:t>
                  </w:r>
                  <w:r>
                    <w:rPr>
                      <w:rFonts w:hint="eastAsia"/>
                      <w:color w:val="000000" w:themeColor="text1"/>
                      <w:sz w:val="18"/>
                      <w:szCs w:val="18"/>
                      <w:highlight w:val="none"/>
                      <w:lang w:val="en-US" w:eastAsia="zh-CN"/>
                      <w14:textFill>
                        <w14:solidFill>
                          <w14:schemeClr w14:val="tx1"/>
                        </w14:solidFill>
                      </w14:textFill>
                    </w:rPr>
                    <w:t>水</w:t>
                  </w:r>
                </w:p>
              </w:tc>
              <w:tc>
                <w:tcPr>
                  <w:tcW w:w="3402" w:type="pct"/>
                  <w:noWrap w:val="0"/>
                  <w:vAlign w:val="center"/>
                </w:tcPr>
                <w:p w14:paraId="61D0FF18">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本项目</w:t>
                  </w:r>
                  <w:r>
                    <w:rPr>
                      <w:rFonts w:hint="eastAsia" w:cs="Times New Roman"/>
                      <w:color w:val="000000" w:themeColor="text1"/>
                      <w:sz w:val="18"/>
                      <w:szCs w:val="18"/>
                      <w:highlight w:val="none"/>
                      <w:lang w:val="en-US" w:eastAsia="zh-CN"/>
                      <w14:textFill>
                        <w14:solidFill>
                          <w14:schemeClr w14:val="tx1"/>
                        </w14:solidFill>
                      </w14:textFill>
                    </w:rPr>
                    <w:t>现有</w:t>
                  </w:r>
                  <w:r>
                    <w:rPr>
                      <w:rFonts w:hint="default" w:ascii="Times New Roman" w:hAnsi="Times New Roman" w:cs="Times New Roman"/>
                      <w:color w:val="000000" w:themeColor="text1"/>
                      <w:sz w:val="18"/>
                      <w:szCs w:val="18"/>
                      <w:highlight w:val="none"/>
                      <w14:textFill>
                        <w14:solidFill>
                          <w14:schemeClr w14:val="tx1"/>
                        </w14:solidFill>
                      </w14:textFill>
                    </w:rPr>
                    <w:t>用水</w:t>
                  </w:r>
                  <w:r>
                    <w:rPr>
                      <w:rFonts w:hint="default" w:ascii="Times New Roman" w:hAnsi="Times New Roman" w:cs="Times New Roman"/>
                      <w:color w:val="000000" w:themeColor="text1"/>
                      <w:sz w:val="18"/>
                      <w:szCs w:val="18"/>
                      <w:highlight w:val="none"/>
                      <w:lang w:eastAsia="zh-CN"/>
                      <w14:textFill>
                        <w14:solidFill>
                          <w14:schemeClr w14:val="tx1"/>
                        </w14:solidFill>
                      </w14:textFill>
                    </w:rPr>
                    <w:t>由</w:t>
                  </w:r>
                  <w:r>
                    <w:rPr>
                      <w:rFonts w:hint="eastAsia" w:cs="Times New Roman"/>
                      <w:color w:val="000000" w:themeColor="text1"/>
                      <w:sz w:val="18"/>
                      <w:szCs w:val="18"/>
                      <w:highlight w:val="none"/>
                      <w:lang w:val="en-US" w:eastAsia="zh-CN"/>
                      <w14:textFill>
                        <w14:solidFill>
                          <w14:schemeClr w14:val="tx1"/>
                        </w14:solidFill>
                      </w14:textFill>
                    </w:rPr>
                    <w:t>市政管网提供</w:t>
                  </w:r>
                  <w:r>
                    <w:rPr>
                      <w:rFonts w:hint="default" w:ascii="Times New Roman" w:hAnsi="Times New Roman" w:cs="Times New Roman"/>
                      <w:color w:val="000000" w:themeColor="text1"/>
                      <w:sz w:val="18"/>
                      <w:szCs w:val="18"/>
                      <w:highlight w:val="none"/>
                      <w:lang w:eastAsia="zh-CN"/>
                      <w14:textFill>
                        <w14:solidFill>
                          <w14:schemeClr w14:val="tx1"/>
                        </w14:solidFill>
                      </w14:textFill>
                    </w:rPr>
                    <w:t>，主要为生活用水</w:t>
                  </w:r>
                  <w:r>
                    <w:rPr>
                      <w:rFonts w:hint="eastAsia" w:cs="Times New Roman"/>
                      <w:color w:val="000000" w:themeColor="text1"/>
                      <w:sz w:val="18"/>
                      <w:szCs w:val="18"/>
                      <w:highlight w:val="none"/>
                      <w:lang w:eastAsia="zh-CN"/>
                      <w14:textFill>
                        <w14:solidFill>
                          <w14:schemeClr w14:val="tx1"/>
                        </w14:solidFill>
                      </w14:textFill>
                    </w:rPr>
                    <w:t>，</w:t>
                  </w:r>
                  <w:r>
                    <w:rPr>
                      <w:rFonts w:hint="eastAsia"/>
                      <w:color w:val="000000" w:themeColor="text1"/>
                      <w:sz w:val="18"/>
                      <w:szCs w:val="18"/>
                      <w:highlight w:val="none"/>
                      <w14:textFill>
                        <w14:solidFill>
                          <w14:schemeClr w14:val="tx1"/>
                        </w14:solidFill>
                      </w14:textFill>
                    </w:rPr>
                    <w:t>本次不新增劳动定员，不新增生活用水</w:t>
                  </w:r>
                  <w:r>
                    <w:rPr>
                      <w:rFonts w:hint="eastAsia"/>
                      <w:color w:val="000000" w:themeColor="text1"/>
                      <w:sz w:val="18"/>
                      <w:szCs w:val="18"/>
                      <w:highlight w:val="none"/>
                      <w:lang w:eastAsia="zh-CN"/>
                      <w14:textFill>
                        <w14:solidFill>
                          <w14:schemeClr w14:val="tx1"/>
                        </w14:solidFill>
                      </w14:textFill>
                    </w:rPr>
                    <w:t>。</w:t>
                  </w:r>
                </w:p>
              </w:tc>
              <w:tc>
                <w:tcPr>
                  <w:tcW w:w="470" w:type="pct"/>
                  <w:noWrap w:val="0"/>
                  <w:vAlign w:val="center"/>
                </w:tcPr>
                <w:p w14:paraId="1FE79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16DA70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7775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721A4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排</w:t>
                  </w:r>
                  <w:r>
                    <w:rPr>
                      <w:rFonts w:hint="default"/>
                      <w:color w:val="000000" w:themeColor="text1"/>
                      <w:sz w:val="18"/>
                      <w:szCs w:val="18"/>
                      <w:highlight w:val="none"/>
                      <w14:textFill>
                        <w14:solidFill>
                          <w14:schemeClr w14:val="tx1"/>
                        </w14:solidFill>
                      </w14:textFill>
                    </w:rPr>
                    <w:t>水</w:t>
                  </w:r>
                </w:p>
              </w:tc>
              <w:tc>
                <w:tcPr>
                  <w:tcW w:w="3402" w:type="pct"/>
                  <w:noWrap w:val="0"/>
                  <w:vAlign w:val="center"/>
                </w:tcPr>
                <w:p w14:paraId="26B37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14:textFill>
                        <w14:solidFill>
                          <w14:schemeClr w14:val="tx1"/>
                        </w14:solidFill>
                      </w14:textFill>
                    </w:rPr>
                    <w:t>本项目生产过程中无废水产生，项目不新增员工，因此无新增废水</w:t>
                  </w:r>
                  <w:r>
                    <w:rPr>
                      <w:rFonts w:hint="eastAsia" w:cs="Times New Roman"/>
                      <w:color w:val="000000" w:themeColor="text1"/>
                      <w:spacing w:val="0"/>
                      <w:sz w:val="18"/>
                      <w:szCs w:val="18"/>
                      <w:highlight w:val="none"/>
                      <w:lang w:val="en-US" w:eastAsia="zh-CN"/>
                      <w14:textFill>
                        <w14:solidFill>
                          <w14:schemeClr w14:val="tx1"/>
                        </w14:solidFill>
                      </w14:textFill>
                    </w:rPr>
                    <w:t>。</w:t>
                  </w:r>
                </w:p>
              </w:tc>
              <w:tc>
                <w:tcPr>
                  <w:tcW w:w="470" w:type="pct"/>
                  <w:noWrap w:val="0"/>
                  <w:vAlign w:val="center"/>
                </w:tcPr>
                <w:p w14:paraId="7CA95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7A5A2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1426B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629F1F34">
                  <w:pPr>
                    <w:pStyle w:val="1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供电</w:t>
                  </w:r>
                </w:p>
              </w:tc>
              <w:tc>
                <w:tcPr>
                  <w:tcW w:w="3402" w:type="pct"/>
                  <w:noWrap w:val="0"/>
                  <w:vAlign w:val="center"/>
                </w:tcPr>
                <w:p w14:paraId="0C4E0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由</w:t>
                  </w:r>
                  <w:r>
                    <w:rPr>
                      <w:rFonts w:hint="default" w:ascii="Times New Roman" w:hAnsi="Times New Roman" w:cs="Times New Roman"/>
                      <w:color w:val="000000" w:themeColor="text1"/>
                      <w:sz w:val="18"/>
                      <w:szCs w:val="18"/>
                      <w:highlight w:val="none"/>
                      <w14:textFill>
                        <w14:solidFill>
                          <w14:schemeClr w14:val="tx1"/>
                        </w14:solidFill>
                      </w14:textFill>
                    </w:rPr>
                    <w:t>当地电业局供给</w:t>
                  </w:r>
                </w:p>
              </w:tc>
              <w:tc>
                <w:tcPr>
                  <w:tcW w:w="470" w:type="pct"/>
                  <w:noWrap w:val="0"/>
                  <w:vAlign w:val="center"/>
                </w:tcPr>
                <w:p w14:paraId="6D9C6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4B35E3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6219F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61236CED">
                  <w:pPr>
                    <w:pStyle w:val="1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供热</w:t>
                  </w:r>
                  <w:r>
                    <w:rPr>
                      <w:rFonts w:hint="eastAsia"/>
                      <w:color w:val="000000" w:themeColor="text1"/>
                      <w:sz w:val="18"/>
                      <w:szCs w:val="18"/>
                      <w:highlight w:val="none"/>
                      <w:lang w:val="en-US" w:eastAsia="zh-CN"/>
                      <w14:textFill>
                        <w14:solidFill>
                          <w14:schemeClr w14:val="tx1"/>
                        </w14:solidFill>
                      </w14:textFill>
                    </w:rPr>
                    <w:t>供暖</w:t>
                  </w:r>
                </w:p>
              </w:tc>
              <w:tc>
                <w:tcPr>
                  <w:tcW w:w="3402" w:type="pct"/>
                  <w:noWrap w:val="0"/>
                  <w:vAlign w:val="center"/>
                </w:tcPr>
                <w:p w14:paraId="58B30857">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项目生产用热由热风炉提供，</w:t>
                  </w:r>
                  <w:r>
                    <w:rPr>
                      <w:rFonts w:hint="eastAsia" w:cs="Times New Roman"/>
                      <w:color w:val="000000" w:themeColor="text1"/>
                      <w:sz w:val="18"/>
                      <w:szCs w:val="18"/>
                      <w:highlight w:val="none"/>
                      <w:lang w:val="en-US" w:eastAsia="zh-CN"/>
                      <w14:textFill>
                        <w14:solidFill>
                          <w14:schemeClr w14:val="tx1"/>
                        </w14:solidFill>
                      </w14:textFill>
                    </w:rPr>
                    <w:t>供暖为电取暖。</w:t>
                  </w:r>
                </w:p>
              </w:tc>
              <w:tc>
                <w:tcPr>
                  <w:tcW w:w="470" w:type="pct"/>
                  <w:noWrap w:val="0"/>
                  <w:vAlign w:val="center"/>
                </w:tcPr>
                <w:p w14:paraId="75D68F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30821F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restart"/>
                  <w:noWrap w:val="0"/>
                  <w:vAlign w:val="center"/>
                </w:tcPr>
                <w:p w14:paraId="24847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环保工程</w:t>
                  </w:r>
                </w:p>
              </w:tc>
              <w:tc>
                <w:tcPr>
                  <w:tcW w:w="716" w:type="pct"/>
                  <w:vMerge w:val="restart"/>
                  <w:noWrap w:val="0"/>
                  <w:vAlign w:val="center"/>
                </w:tcPr>
                <w:p w14:paraId="139B6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14:textFill>
                        <w14:solidFill>
                          <w14:schemeClr w14:val="tx1"/>
                        </w14:solidFill>
                      </w14:textFill>
                    </w:rPr>
                    <w:t>废</w:t>
                  </w:r>
                  <w:r>
                    <w:rPr>
                      <w:rFonts w:hint="eastAsia"/>
                      <w:color w:val="000000" w:themeColor="text1"/>
                      <w:sz w:val="18"/>
                      <w:szCs w:val="18"/>
                      <w:highlight w:val="none"/>
                      <w:lang w:val="en-US" w:eastAsia="zh-CN"/>
                      <w14:textFill>
                        <w14:solidFill>
                          <w14:schemeClr w14:val="tx1"/>
                        </w14:solidFill>
                      </w14:textFill>
                    </w:rPr>
                    <w:t>气</w:t>
                  </w:r>
                </w:p>
              </w:tc>
              <w:tc>
                <w:tcPr>
                  <w:tcW w:w="3402" w:type="pct"/>
                  <w:noWrap w:val="0"/>
                  <w:vAlign w:val="center"/>
                </w:tcPr>
                <w:p w14:paraId="12F78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生物质热风炉烟气经1套除尘效率为99%的布袋除尘器处理达到《工业炉窑大气污染物排放标准》(GB9078-1996)表2和表4中二级标准要求后，由一根出口内径0.4m，15m 高烟囱排放。</w:t>
                  </w:r>
                  <w:r>
                    <w:rPr>
                      <w:rFonts w:hint="default"/>
                      <w:color w:val="000000" w:themeColor="text1"/>
                      <w:sz w:val="18"/>
                      <w:szCs w:val="18"/>
                      <w:highlight w:val="none"/>
                      <w:lang w:val="en-US" w:eastAsia="zh-CN"/>
                      <w14:textFill>
                        <w14:solidFill>
                          <w14:schemeClr w14:val="tx1"/>
                        </w14:solidFill>
                      </w14:textFill>
                    </w:rPr>
                    <w:t>热风炉周边无组织排放</w:t>
                  </w:r>
                  <w:r>
                    <w:rPr>
                      <w:rFonts w:hint="eastAsia"/>
                      <w:color w:val="000000" w:themeColor="text1"/>
                      <w:sz w:val="18"/>
                      <w:szCs w:val="18"/>
                      <w:highlight w:val="none"/>
                      <w:lang w:val="en-US" w:eastAsia="zh-CN"/>
                      <w14:textFill>
                        <w14:solidFill>
                          <w14:schemeClr w14:val="tx1"/>
                        </w14:solidFill>
                      </w14:textFill>
                    </w:rPr>
                    <w:t>颗粒物</w:t>
                  </w:r>
                  <w:r>
                    <w:rPr>
                      <w:rFonts w:hint="default"/>
                      <w:color w:val="000000" w:themeColor="text1"/>
                      <w:sz w:val="18"/>
                      <w:szCs w:val="18"/>
                      <w:highlight w:val="none"/>
                      <w:lang w:val="en-US" w:eastAsia="zh-CN"/>
                      <w14:textFill>
                        <w14:solidFill>
                          <w14:schemeClr w14:val="tx1"/>
                        </w14:solidFill>
                      </w14:textFill>
                    </w:rPr>
                    <w:t>浓度执行</w:t>
                  </w:r>
                  <w:r>
                    <w:rPr>
                      <w:rFonts w:hint="default"/>
                      <w:color w:val="000000" w:themeColor="text1"/>
                      <w:sz w:val="18"/>
                      <w:szCs w:val="18"/>
                      <w:highlight w:val="none"/>
                      <w14:textFill>
                        <w14:solidFill>
                          <w14:schemeClr w14:val="tx1"/>
                        </w14:solidFill>
                      </w14:textFill>
                    </w:rPr>
                    <w:t>《工业炉窑大气污染物排放标准》（GB9078-1996）中的表</w:t>
                  </w:r>
                  <w:r>
                    <w:rPr>
                      <w:rFonts w:hint="default"/>
                      <w:color w:val="000000" w:themeColor="text1"/>
                      <w:sz w:val="18"/>
                      <w:szCs w:val="18"/>
                      <w:highlight w:val="none"/>
                      <w:lang w:val="en-US" w:eastAsia="zh-CN"/>
                      <w14:textFill>
                        <w14:solidFill>
                          <w14:schemeClr w14:val="tx1"/>
                        </w14:solidFill>
                      </w14:textFill>
                    </w:rPr>
                    <w:t>3中标准限值</w:t>
                  </w:r>
                  <w:r>
                    <w:rPr>
                      <w:rFonts w:hint="default"/>
                      <w:color w:val="000000" w:themeColor="text1"/>
                      <w:sz w:val="18"/>
                      <w:szCs w:val="18"/>
                      <w:highlight w:val="none"/>
                      <w:lang w:eastAsia="zh-CN"/>
                      <w14:textFill>
                        <w14:solidFill>
                          <w14:schemeClr w14:val="tx1"/>
                        </w14:solidFill>
                      </w14:textFill>
                    </w:rPr>
                    <w:t>。</w:t>
                  </w:r>
                </w:p>
              </w:tc>
              <w:tc>
                <w:tcPr>
                  <w:tcW w:w="470" w:type="pct"/>
                  <w:noWrap w:val="0"/>
                  <w:vAlign w:val="center"/>
                </w:tcPr>
                <w:p w14:paraId="7CE4F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339BB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53C58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vMerge w:val="continue"/>
                  <w:noWrap w:val="0"/>
                  <w:vAlign w:val="center"/>
                </w:tcPr>
                <w:p w14:paraId="07F52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p>
              </w:tc>
              <w:tc>
                <w:tcPr>
                  <w:tcW w:w="3402" w:type="pct"/>
                  <w:noWrap w:val="0"/>
                  <w:vAlign w:val="center"/>
                </w:tcPr>
                <w:p w14:paraId="277E5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原粮装卸工段采取粮囤全封闭、减小装卸高度等降尘措施，输送过程中采用封闭输送;筛选粉尘经全封闭设备自带布袋除尘器处理后无组织排放，处理效率为99%;烘干塔塔体设置彩钢罩，具有防风抑尘功能，为环保型烘干塔，可有效阻止95%粉尘外溢，无组织粉尘通过上述措施处理后可满足《大气污染物综合排放标准》(GB16297-1996)表2无组织排放浓度限值要求。</w:t>
                  </w:r>
                </w:p>
              </w:tc>
              <w:tc>
                <w:tcPr>
                  <w:tcW w:w="470" w:type="pct"/>
                  <w:noWrap w:val="0"/>
                  <w:vAlign w:val="center"/>
                </w:tcPr>
                <w:p w14:paraId="395AB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27D9DD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79EF8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0C62F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废</w:t>
                  </w:r>
                  <w:r>
                    <w:rPr>
                      <w:rFonts w:hint="eastAsia"/>
                      <w:color w:val="000000" w:themeColor="text1"/>
                      <w:sz w:val="18"/>
                      <w:szCs w:val="18"/>
                      <w:highlight w:val="none"/>
                      <w:lang w:val="en-US" w:eastAsia="zh-CN"/>
                      <w14:textFill>
                        <w14:solidFill>
                          <w14:schemeClr w14:val="tx1"/>
                        </w14:solidFill>
                      </w14:textFill>
                    </w:rPr>
                    <w:t>水</w:t>
                  </w:r>
                </w:p>
              </w:tc>
              <w:tc>
                <w:tcPr>
                  <w:tcW w:w="3402" w:type="pct"/>
                  <w:noWrap w:val="0"/>
                  <w:vAlign w:val="center"/>
                </w:tcPr>
                <w:p w14:paraId="18097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14:textFill>
                        <w14:solidFill>
                          <w14:schemeClr w14:val="tx1"/>
                        </w14:solidFill>
                      </w14:textFill>
                    </w:rPr>
                    <w:t>本项目生产过程中无废水产生，项目不新增员工，因此无新增废水</w:t>
                  </w:r>
                  <w:r>
                    <w:rPr>
                      <w:rFonts w:hint="eastAsia" w:cs="Times New Roman"/>
                      <w:color w:val="000000" w:themeColor="text1"/>
                      <w:kern w:val="2"/>
                      <w:sz w:val="18"/>
                      <w:szCs w:val="18"/>
                      <w:highlight w:val="none"/>
                      <w:lang w:val="en-US" w:eastAsia="zh-CN" w:bidi="ar-SA"/>
                      <w14:textFill>
                        <w14:solidFill>
                          <w14:schemeClr w14:val="tx1"/>
                        </w14:solidFill>
                      </w14:textFill>
                    </w:rPr>
                    <w:t>。</w:t>
                  </w:r>
                </w:p>
              </w:tc>
              <w:tc>
                <w:tcPr>
                  <w:tcW w:w="470" w:type="pct"/>
                  <w:noWrap w:val="0"/>
                  <w:vAlign w:val="center"/>
                </w:tcPr>
                <w:p w14:paraId="7E5FB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0E978D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3A92E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7DDC1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噪声</w:t>
                  </w:r>
                </w:p>
              </w:tc>
              <w:tc>
                <w:tcPr>
                  <w:tcW w:w="3402" w:type="pct"/>
                  <w:noWrap w:val="0"/>
                  <w:vAlign w:val="center"/>
                </w:tcPr>
                <w:p w14:paraId="1578BD3D">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both"/>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采取</w:t>
                  </w: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低噪声设备、基础减振，</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r>
                    <w:rPr>
                      <w:rFonts w:hint="eastAsia" w:cs="Times New Roman"/>
                      <w:color w:val="000000" w:themeColor="text1"/>
                      <w:spacing w:val="0"/>
                      <w:sz w:val="18"/>
                      <w:szCs w:val="18"/>
                      <w:highlight w:val="none"/>
                      <w:lang w:val="en-US" w:eastAsia="zh-CN"/>
                      <w14:textFill>
                        <w14:solidFill>
                          <w14:schemeClr w14:val="tx1"/>
                        </w14:solidFill>
                      </w14:textFill>
                    </w:rPr>
                    <w:t>等措施</w:t>
                  </w:r>
                  <w:r>
                    <w:rPr>
                      <w:rFonts w:hint="default" w:ascii="Times New Roman" w:hAnsi="Times New Roman" w:cs="Times New Roman"/>
                      <w:color w:val="000000" w:themeColor="text1"/>
                      <w:sz w:val="18"/>
                      <w:szCs w:val="18"/>
                      <w:highlight w:val="none"/>
                      <w14:textFill>
                        <w14:solidFill>
                          <w14:schemeClr w14:val="tx1"/>
                        </w14:solidFill>
                      </w14:textFill>
                    </w:rPr>
                    <w:t>厂界噪声满足《工业企业厂界环境噪声排放标准》(GB12348-2008)2类标准要求。</w:t>
                  </w:r>
                </w:p>
              </w:tc>
              <w:tc>
                <w:tcPr>
                  <w:tcW w:w="470" w:type="pct"/>
                  <w:noWrap w:val="0"/>
                  <w:vAlign w:val="center"/>
                </w:tcPr>
                <w:p w14:paraId="6E2A8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r w14:paraId="2859E2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0" w:type="pct"/>
                  <w:vMerge w:val="continue"/>
                  <w:noWrap w:val="0"/>
                  <w:vAlign w:val="center"/>
                </w:tcPr>
                <w:p w14:paraId="24D9C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themeColor="text1"/>
                      <w:sz w:val="18"/>
                      <w:szCs w:val="18"/>
                      <w:highlight w:val="none"/>
                      <w14:textFill>
                        <w14:solidFill>
                          <w14:schemeClr w14:val="tx1"/>
                        </w14:solidFill>
                      </w14:textFill>
                    </w:rPr>
                  </w:pPr>
                </w:p>
              </w:tc>
              <w:tc>
                <w:tcPr>
                  <w:tcW w:w="716" w:type="pct"/>
                  <w:noWrap w:val="0"/>
                  <w:vAlign w:val="center"/>
                </w:tcPr>
                <w:p w14:paraId="23085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固体废物</w:t>
                  </w:r>
                </w:p>
              </w:tc>
              <w:tc>
                <w:tcPr>
                  <w:tcW w:w="3402" w:type="pct"/>
                  <w:noWrap w:val="0"/>
                  <w:vAlign w:val="center"/>
                </w:tcPr>
                <w:p w14:paraId="0E220F87">
                  <w:pPr>
                    <w:pStyle w:val="9"/>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color w:val="000000" w:themeColor="text1"/>
                      <w:sz w:val="18"/>
                      <w:szCs w:val="18"/>
                      <w:highlight w:val="none"/>
                      <w14:textFill>
                        <w14:solidFill>
                          <w14:schemeClr w14:val="tx1"/>
                        </w14:solidFill>
                      </w14:textFill>
                    </w:rPr>
                    <w:t>本项目</w:t>
                  </w:r>
                  <w:r>
                    <w:rPr>
                      <w:rFonts w:hint="eastAsia"/>
                      <w:color w:val="000000" w:themeColor="text1"/>
                      <w:sz w:val="18"/>
                      <w:szCs w:val="18"/>
                      <w:highlight w:val="none"/>
                      <w14:textFill>
                        <w14:solidFill>
                          <w14:schemeClr w14:val="tx1"/>
                        </w14:solidFill>
                      </w14:textFill>
                    </w:rPr>
                    <w:t>不新增劳动定员，</w:t>
                  </w:r>
                  <w:r>
                    <w:rPr>
                      <w:rFonts w:hint="eastAsia"/>
                      <w:color w:val="000000" w:themeColor="text1"/>
                      <w:sz w:val="18"/>
                      <w:szCs w:val="18"/>
                      <w:highlight w:val="none"/>
                      <w:lang w:val="en-US" w:eastAsia="zh-CN"/>
                      <w14:textFill>
                        <w14:solidFill>
                          <w14:schemeClr w14:val="tx1"/>
                        </w14:solidFill>
                      </w14:textFill>
                    </w:rPr>
                    <w:t>无</w:t>
                  </w:r>
                  <w:r>
                    <w:rPr>
                      <w:rFonts w:hint="eastAsia"/>
                      <w:color w:val="000000" w:themeColor="text1"/>
                      <w:sz w:val="18"/>
                      <w:szCs w:val="18"/>
                      <w:highlight w:val="none"/>
                      <w14:textFill>
                        <w14:solidFill>
                          <w14:schemeClr w14:val="tx1"/>
                        </w14:solidFill>
                      </w14:textFill>
                    </w:rPr>
                    <w:t>新增</w:t>
                  </w:r>
                  <w:r>
                    <w:rPr>
                      <w:rFonts w:hint="eastAsia"/>
                      <w:color w:val="000000" w:themeColor="text1"/>
                      <w:sz w:val="18"/>
                      <w:szCs w:val="18"/>
                      <w:highlight w:val="none"/>
                      <w:lang w:val="en-US" w:eastAsia="zh-CN"/>
                      <w14:textFill>
                        <w14:solidFill>
                          <w14:schemeClr w14:val="tx1"/>
                        </w14:solidFill>
                      </w14:textFill>
                    </w:rPr>
                    <w:t>生活垃圾；热风炉</w:t>
                  </w:r>
                  <w:r>
                    <w:rPr>
                      <w:rFonts w:hint="eastAsia"/>
                      <w:color w:val="000000" w:themeColor="text1"/>
                      <w:sz w:val="18"/>
                      <w:szCs w:val="18"/>
                      <w:highlight w:val="none"/>
                      <w14:textFill>
                        <w14:solidFill>
                          <w14:schemeClr w14:val="tx1"/>
                        </w14:solidFill>
                      </w14:textFill>
                    </w:rPr>
                    <w:t>布袋除尘器收尘</w:t>
                  </w:r>
                  <w:r>
                    <w:rPr>
                      <w:rFonts w:hint="eastAsia"/>
                      <w:color w:val="000000" w:themeColor="text1"/>
                      <w:sz w:val="18"/>
                      <w:szCs w:val="18"/>
                      <w:highlight w:val="none"/>
                      <w:lang w:val="en-US" w:eastAsia="zh-CN"/>
                      <w14:textFill>
                        <w14:solidFill>
                          <w14:schemeClr w14:val="tx1"/>
                        </w14:solidFill>
                      </w14:textFill>
                    </w:rPr>
                    <w:t>及</w:t>
                  </w:r>
                  <w:r>
                    <w:rPr>
                      <w:rFonts w:hint="eastAsia"/>
                      <w:color w:val="000000" w:themeColor="text1"/>
                      <w:sz w:val="18"/>
                      <w:szCs w:val="18"/>
                      <w:highlight w:val="none"/>
                      <w14:textFill>
                        <w14:solidFill>
                          <w14:schemeClr w14:val="tx1"/>
                        </w14:solidFill>
                      </w14:textFill>
                    </w:rPr>
                    <w:t>热风炉炉渣</w:t>
                  </w:r>
                  <w:r>
                    <w:rPr>
                      <w:rFonts w:hint="eastAsia"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集中收集</w:t>
                  </w:r>
                  <w:r>
                    <w:rPr>
                      <w:rFonts w:hint="eastAsia" w:cs="Times New Roman"/>
                      <w:color w:val="000000" w:themeColor="text1"/>
                      <w:sz w:val="18"/>
                      <w:szCs w:val="18"/>
                      <w:highlight w:val="none"/>
                      <w:lang w:val="en-US" w:eastAsia="zh-CN"/>
                      <w14:textFill>
                        <w14:solidFill>
                          <w14:schemeClr w14:val="tx1"/>
                        </w14:solidFill>
                      </w14:textFill>
                    </w:rPr>
                    <w:t>袋装存储于灰渣间，每10天清运1次，不在厂区长期储存，外售综合利用</w:t>
                  </w:r>
                  <w:r>
                    <w:rPr>
                      <w:rFonts w:hint="eastAsia" w:cs="Times New Roman"/>
                      <w:color w:val="000000" w:themeColor="text1"/>
                      <w:kern w:val="2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粮食杂质（包含筛选工段布袋除尘器收尘）集中收集后由市政部门统一处理；废布袋，由除尘器厂家更换后直接带走；</w:t>
                  </w:r>
                  <w:r>
                    <w:rPr>
                      <w:rFonts w:hint="eastAsia" w:cs="Times New Roman"/>
                      <w:color w:val="000000" w:themeColor="text1"/>
                      <w:kern w:val="2"/>
                      <w:sz w:val="18"/>
                      <w:szCs w:val="18"/>
                      <w:highlight w:val="none"/>
                      <w:lang w:val="en-US" w:eastAsia="zh-CN" w:bidi="ar-SA"/>
                      <w14:textFill>
                        <w14:solidFill>
                          <w14:schemeClr w14:val="tx1"/>
                        </w14:solidFill>
                      </w14:textFill>
                    </w:rPr>
                    <w:t>废机油，废弃含油抹布手套暂存于危废贮存点，定期委托有资质单位处理</w:t>
                  </w:r>
                  <w:r>
                    <w:rPr>
                      <w:rFonts w:hint="eastAsia" w:cs="Times New Roman"/>
                      <w:color w:val="000000" w:themeColor="text1"/>
                      <w:sz w:val="18"/>
                      <w:szCs w:val="18"/>
                      <w:highlight w:val="none"/>
                      <w:lang w:val="en-US" w:eastAsia="zh-CN"/>
                      <w14:textFill>
                        <w14:solidFill>
                          <w14:schemeClr w14:val="tx1"/>
                        </w14:solidFill>
                      </w14:textFill>
                    </w:rPr>
                    <w:t>。</w:t>
                  </w:r>
                </w:p>
              </w:tc>
              <w:tc>
                <w:tcPr>
                  <w:tcW w:w="470" w:type="pct"/>
                  <w:noWrap w:val="0"/>
                  <w:vAlign w:val="center"/>
                </w:tcPr>
                <w:p w14:paraId="7D53E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依托</w:t>
                  </w:r>
                </w:p>
              </w:tc>
            </w:tr>
          </w:tbl>
          <w:p w14:paraId="7D885F03">
            <w:pPr>
              <w:keepNext w:val="0"/>
              <w:keepLines w:val="0"/>
              <w:suppressLineNumbers w:val="0"/>
              <w:adjustRightInd w:val="0"/>
              <w:snapToGrid w:val="0"/>
              <w:spacing w:before="0" w:beforeAutospacing="0" w:after="0" w:afterAutospacing="0" w:line="360" w:lineRule="auto"/>
              <w:ind w:left="0" w:right="0" w:firstLine="422" w:firstLineChars="200"/>
              <w:rPr>
                <w:rFonts w:hint="default"/>
                <w:b/>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2、</w:t>
            </w:r>
            <w:r>
              <w:rPr>
                <w:rFonts w:hint="default"/>
                <w:b/>
                <w:color w:val="000000" w:themeColor="text1"/>
                <w:szCs w:val="21"/>
                <w:highlight w:val="none"/>
                <w14:textFill>
                  <w14:solidFill>
                    <w14:schemeClr w14:val="tx1"/>
                  </w14:solidFill>
                </w14:textFill>
              </w:rPr>
              <w:t>主要产品及产能</w:t>
            </w:r>
          </w:p>
          <w:p w14:paraId="73AAF2C6">
            <w:pPr>
              <w:keepNext w:val="0"/>
              <w:keepLines w:val="0"/>
              <w:suppressLineNumbers w:val="0"/>
              <w:adjustRightInd w:val="0"/>
              <w:snapToGrid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本项目产品方案详见表2-2。</w:t>
            </w:r>
          </w:p>
          <w:p w14:paraId="0F9EE580">
            <w:pPr>
              <w:keepNext w:val="0"/>
              <w:keepLines w:val="0"/>
              <w:suppressLineNumbers w:val="0"/>
              <w:adjustRightInd w:val="0"/>
              <w:snapToGrid w:val="0"/>
              <w:spacing w:before="0" w:beforeAutospacing="0" w:after="0" w:afterAutospacing="0"/>
              <w:ind w:left="0" w:right="0"/>
              <w:jc w:val="center"/>
              <w:rPr>
                <w:rFonts w:hint="eastAsia" w:eastAsia="宋体"/>
                <w:b/>
                <w:color w:val="000000" w:themeColor="text1"/>
                <w:szCs w:val="21"/>
                <w:highlight w:val="none"/>
                <w:lang w:eastAsia="zh-CN"/>
                <w14:textFill>
                  <w14:solidFill>
                    <w14:schemeClr w14:val="tx1"/>
                  </w14:solidFill>
                </w14:textFill>
              </w:rPr>
            </w:pPr>
            <w:r>
              <w:rPr>
                <w:rFonts w:hint="default"/>
                <w:b/>
                <w:color w:val="000000" w:themeColor="text1"/>
                <w:szCs w:val="21"/>
                <w:highlight w:val="none"/>
                <w14:textFill>
                  <w14:solidFill>
                    <w14:schemeClr w14:val="tx1"/>
                  </w14:solidFill>
                </w14:textFill>
              </w:rPr>
              <w:t>表2-2主要产品及产能</w:t>
            </w:r>
          </w:p>
          <w:tbl>
            <w:tblPr>
              <w:tblStyle w:val="34"/>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1142"/>
              <w:gridCol w:w="1373"/>
              <w:gridCol w:w="1910"/>
              <w:gridCol w:w="1175"/>
              <w:gridCol w:w="612"/>
              <w:gridCol w:w="1202"/>
            </w:tblGrid>
            <w:tr w14:paraId="55216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dxa"/>
                  <w:vAlign w:val="center"/>
                </w:tcPr>
                <w:p w14:paraId="3B20262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序号</w:t>
                  </w:r>
                </w:p>
              </w:tc>
              <w:tc>
                <w:tcPr>
                  <w:tcW w:w="1142" w:type="dxa"/>
                  <w:vAlign w:val="center"/>
                </w:tcPr>
                <w:p w14:paraId="703CF99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产品名称</w:t>
                  </w:r>
                </w:p>
              </w:tc>
              <w:tc>
                <w:tcPr>
                  <w:tcW w:w="1373" w:type="dxa"/>
                  <w:vAlign w:val="center"/>
                </w:tcPr>
                <w:p w14:paraId="12D031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现有</w:t>
                  </w: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年产量</w:t>
                  </w:r>
                </w:p>
              </w:tc>
              <w:tc>
                <w:tcPr>
                  <w:tcW w:w="1910" w:type="dxa"/>
                  <w:vAlign w:val="center"/>
                </w:tcPr>
                <w:p w14:paraId="2F6D7EA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本次项目新增年产量</w:t>
                  </w:r>
                </w:p>
              </w:tc>
              <w:tc>
                <w:tcPr>
                  <w:tcW w:w="1175" w:type="dxa"/>
                  <w:vAlign w:val="center"/>
                </w:tcPr>
                <w:p w14:paraId="0EF0E41C">
                  <w:pPr>
                    <w:keepNext w:val="0"/>
                    <w:keepLines w:val="0"/>
                    <w:suppressLineNumbers w:val="0"/>
                    <w:spacing w:before="0" w:beforeAutospacing="0" w:after="0" w:afterAutospacing="0"/>
                    <w:ind w:left="0" w:right="0"/>
                    <w:jc w:val="center"/>
                    <w:rPr>
                      <w:rFonts w:hint="default"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全厂年产量</w:t>
                  </w:r>
                </w:p>
              </w:tc>
              <w:tc>
                <w:tcPr>
                  <w:tcW w:w="612" w:type="dxa"/>
                  <w:vAlign w:val="center"/>
                </w:tcPr>
                <w:p w14:paraId="635384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单位</w:t>
                  </w:r>
                </w:p>
              </w:tc>
              <w:tc>
                <w:tcPr>
                  <w:tcW w:w="1202" w:type="dxa"/>
                  <w:vAlign w:val="center"/>
                </w:tcPr>
                <w:p w14:paraId="69CAD51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备注</w:t>
                  </w:r>
                </w:p>
              </w:tc>
            </w:tr>
            <w:tr w14:paraId="2C63E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dxa"/>
                  <w:vAlign w:val="center"/>
                </w:tcPr>
                <w:p w14:paraId="5989206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t>1</w:t>
                  </w:r>
                </w:p>
              </w:tc>
              <w:tc>
                <w:tcPr>
                  <w:tcW w:w="1142" w:type="dxa"/>
                  <w:vAlign w:val="center"/>
                </w:tcPr>
                <w:p w14:paraId="5A44A2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lang w:val="en-US" w:eastAsia="zh-CN"/>
                      <w14:textFill>
                        <w14:solidFill>
                          <w14:schemeClr w14:val="tx1"/>
                        </w14:solidFill>
                      </w14:textFill>
                    </w:rPr>
                    <w:t>玉米</w:t>
                  </w:r>
                </w:p>
              </w:tc>
              <w:tc>
                <w:tcPr>
                  <w:tcW w:w="1373" w:type="dxa"/>
                  <w:vAlign w:val="center"/>
                </w:tcPr>
                <w:p w14:paraId="1AD700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w:t>
                  </w:r>
                </w:p>
              </w:tc>
              <w:tc>
                <w:tcPr>
                  <w:tcW w:w="1910" w:type="dxa"/>
                  <w:vAlign w:val="center"/>
                </w:tcPr>
                <w:p w14:paraId="29A9FF4E">
                  <w:pPr>
                    <w:keepNext w:val="0"/>
                    <w:keepLines w:val="0"/>
                    <w:suppressLineNumbers w:val="0"/>
                    <w:spacing w:before="0" w:beforeAutospacing="0" w:after="0" w:afterAutospacing="0"/>
                    <w:ind w:left="0" w:leftChars="0" w:right="0" w:rightChars="0"/>
                    <w:jc w:val="center"/>
                    <w:rPr>
                      <w:rFonts w:hint="default"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16245.073</w:t>
                  </w:r>
                </w:p>
              </w:tc>
              <w:tc>
                <w:tcPr>
                  <w:tcW w:w="1175" w:type="dxa"/>
                  <w:vAlign w:val="center"/>
                </w:tcPr>
                <w:p w14:paraId="5F124D1B">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16245.073</w:t>
                  </w:r>
                </w:p>
              </w:tc>
              <w:tc>
                <w:tcPr>
                  <w:tcW w:w="612" w:type="dxa"/>
                  <w:vAlign w:val="center"/>
                </w:tcPr>
                <w:p w14:paraId="21D786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t/a</w:t>
                  </w:r>
                </w:p>
              </w:tc>
              <w:tc>
                <w:tcPr>
                  <w:tcW w:w="1202" w:type="dxa"/>
                  <w:vAlign w:val="center"/>
                </w:tcPr>
                <w:p w14:paraId="3C7DC5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含水率</w:t>
                  </w:r>
                  <w:r>
                    <w:rPr>
                      <w:rFonts w:hint="eastAsia" w:cs="Times New Roman"/>
                      <w:b w:val="0"/>
                      <w:bCs w:val="0"/>
                      <w:color w:val="000000" w:themeColor="text1"/>
                      <w:sz w:val="18"/>
                      <w:szCs w:val="18"/>
                      <w:highlight w:val="none"/>
                      <w:lang w:val="en-US" w:eastAsia="zh-CN"/>
                      <w14:textFill>
                        <w14:solidFill>
                          <w14:schemeClr w14:val="tx1"/>
                        </w14:solidFill>
                      </w14:textFill>
                    </w:rPr>
                    <w:t>14%</w:t>
                  </w:r>
                </w:p>
              </w:tc>
            </w:tr>
            <w:tr w14:paraId="3634B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0" w:type="dxa"/>
                  <w:vAlign w:val="center"/>
                </w:tcPr>
                <w:p w14:paraId="74E0EA7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vertAlign w:val="baseline"/>
                      <w:lang w:val="en-US" w:eastAsia="zh-CN"/>
                      <w14:textFill>
                        <w14:solidFill>
                          <w14:schemeClr w14:val="tx1"/>
                        </w14:solidFill>
                      </w14:textFill>
                    </w:rPr>
                  </w:pPr>
                  <w:r>
                    <w:rPr>
                      <w:rFonts w:hint="eastAsia" w:cs="Times New Roman"/>
                      <w:b w:val="0"/>
                      <w:bCs w:val="0"/>
                      <w:color w:val="000000" w:themeColor="text1"/>
                      <w:sz w:val="18"/>
                      <w:szCs w:val="18"/>
                      <w:highlight w:val="none"/>
                      <w:vertAlign w:val="baseline"/>
                      <w:lang w:val="en-US" w:eastAsia="zh-CN"/>
                      <w14:textFill>
                        <w14:solidFill>
                          <w14:schemeClr w14:val="tx1"/>
                        </w14:solidFill>
                      </w14:textFill>
                    </w:rPr>
                    <w:t>2</w:t>
                  </w:r>
                </w:p>
              </w:tc>
              <w:tc>
                <w:tcPr>
                  <w:tcW w:w="1142" w:type="dxa"/>
                  <w:vAlign w:val="center"/>
                </w:tcPr>
                <w:p w14:paraId="4E4603D1">
                  <w:pPr>
                    <w:keepNext w:val="0"/>
                    <w:keepLines w:val="0"/>
                    <w:suppressLineNumbers w:val="0"/>
                    <w:spacing w:before="0" w:beforeAutospacing="0" w:after="0" w:afterAutospacing="0"/>
                    <w:ind w:left="0" w:right="0"/>
                    <w:jc w:val="center"/>
                    <w:rPr>
                      <w:rFonts w:hint="default" w:cs="Times New Roman"/>
                      <w:b w:val="0"/>
                      <w:bCs w:val="0"/>
                      <w:color w:val="000000" w:themeColor="text1"/>
                      <w:sz w:val="18"/>
                      <w:szCs w:val="18"/>
                      <w:highlight w:val="none"/>
                      <w:lang w:val="en-US" w:eastAsia="zh-CN"/>
                      <w14:textFill>
                        <w14:solidFill>
                          <w14:schemeClr w14:val="tx1"/>
                        </w14:solidFill>
                      </w14:textFill>
                    </w:rPr>
                  </w:pPr>
                  <w:r>
                    <w:rPr>
                      <w:rFonts w:hint="eastAsia" w:cs="Times New Roman"/>
                      <w:b w:val="0"/>
                      <w:bCs w:val="0"/>
                      <w:color w:val="000000" w:themeColor="text1"/>
                      <w:sz w:val="18"/>
                      <w:szCs w:val="18"/>
                      <w:highlight w:val="none"/>
                      <w:lang w:val="en-US" w:eastAsia="zh-CN"/>
                      <w14:textFill>
                        <w14:solidFill>
                          <w14:schemeClr w14:val="tx1"/>
                        </w14:solidFill>
                      </w14:textFill>
                    </w:rPr>
                    <w:t>水稻</w:t>
                  </w:r>
                </w:p>
              </w:tc>
              <w:tc>
                <w:tcPr>
                  <w:tcW w:w="1373" w:type="dxa"/>
                  <w:vAlign w:val="center"/>
                </w:tcPr>
                <w:p w14:paraId="095A97C7">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38756.44</w:t>
                  </w:r>
                </w:p>
              </w:tc>
              <w:tc>
                <w:tcPr>
                  <w:tcW w:w="1910" w:type="dxa"/>
                  <w:vAlign w:val="center"/>
                </w:tcPr>
                <w:p w14:paraId="0AF2F428">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w:t>
                  </w:r>
                </w:p>
              </w:tc>
              <w:tc>
                <w:tcPr>
                  <w:tcW w:w="1175" w:type="dxa"/>
                  <w:vAlign w:val="center"/>
                </w:tcPr>
                <w:p w14:paraId="148D0A69">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38756.44</w:t>
                  </w:r>
                </w:p>
              </w:tc>
              <w:tc>
                <w:tcPr>
                  <w:tcW w:w="612" w:type="dxa"/>
                  <w:vAlign w:val="center"/>
                </w:tcPr>
                <w:p w14:paraId="35D1FEB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18"/>
                      <w:szCs w:val="18"/>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14:textFill>
                        <w14:solidFill>
                          <w14:schemeClr w14:val="tx1"/>
                        </w14:solidFill>
                      </w14:textFill>
                    </w:rPr>
                    <w:t>t/a</w:t>
                  </w:r>
                </w:p>
              </w:tc>
              <w:tc>
                <w:tcPr>
                  <w:tcW w:w="1202" w:type="dxa"/>
                  <w:vAlign w:val="center"/>
                </w:tcPr>
                <w:p w14:paraId="213AD4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含水率1</w:t>
                  </w:r>
                  <w:r>
                    <w:rPr>
                      <w:rFonts w:hint="eastAsia" w:cs="Times New Roman"/>
                      <w:b w:val="0"/>
                      <w:bCs w:val="0"/>
                      <w:color w:val="000000" w:themeColor="text1"/>
                      <w:sz w:val="18"/>
                      <w:szCs w:val="18"/>
                      <w:highlight w:val="none"/>
                      <w:lang w:val="en-US" w:eastAsia="zh-CN"/>
                      <w14:textFill>
                        <w14:solidFill>
                          <w14:schemeClr w14:val="tx1"/>
                        </w14:solidFill>
                      </w14:textFill>
                    </w:rPr>
                    <w:t>4.5%</w:t>
                  </w:r>
                </w:p>
              </w:tc>
            </w:tr>
          </w:tbl>
          <w:p w14:paraId="2CF7F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eastAsia" w:cs="Times New Roman"/>
                <w:b/>
                <w:bCs/>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Cs w:val="21"/>
                <w:highlight w:val="none"/>
                <w14:textFill>
                  <w14:solidFill>
                    <w14:schemeClr w14:val="tx1"/>
                  </w14:solidFill>
                </w14:textFill>
              </w:rPr>
              <w:t>主要设备</w:t>
            </w:r>
          </w:p>
          <w:p w14:paraId="7C7EA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snapToGrid w:val="0"/>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主要设备见表2-</w:t>
            </w:r>
            <w:r>
              <w:rPr>
                <w:rFonts w:hint="eastAsia" w:cs="Times New Roman"/>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w:t>
            </w:r>
          </w:p>
          <w:p w14:paraId="10AF4005">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w:t>
            </w:r>
            <w:r>
              <w:rPr>
                <w:rFonts w:hint="eastAsia" w:cs="Times New Roman"/>
                <w:b/>
                <w:bCs/>
                <w:snapToGrid w:val="0"/>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主要设备一览表</w:t>
            </w:r>
          </w:p>
          <w:tbl>
            <w:tblPr>
              <w:tblStyle w:val="34"/>
              <w:tblW w:w="4998" w:type="pct"/>
              <w:tblInd w:w="-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269"/>
              <w:gridCol w:w="1145"/>
              <w:gridCol w:w="1587"/>
              <w:gridCol w:w="1318"/>
              <w:gridCol w:w="1336"/>
              <w:gridCol w:w="789"/>
            </w:tblGrid>
            <w:tr w14:paraId="1DB0D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369F7E36">
                  <w:pPr>
                    <w:keepNext w:val="0"/>
                    <w:keepLines w:val="0"/>
                    <w:suppressLineNumbers w:val="0"/>
                    <w:spacing w:before="0" w:beforeAutospacing="0" w:after="0" w:afterAutospacing="0"/>
                    <w:ind w:left="0" w:right="0"/>
                    <w:jc w:val="center"/>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序号</w:t>
                  </w:r>
                </w:p>
              </w:tc>
              <w:tc>
                <w:tcPr>
                  <w:tcW w:w="1269" w:type="dxa"/>
                  <w:vAlign w:val="center"/>
                </w:tcPr>
                <w:p w14:paraId="57BC99F2">
                  <w:pPr>
                    <w:keepNext w:val="0"/>
                    <w:keepLines w:val="0"/>
                    <w:suppressLineNumbers w:val="0"/>
                    <w:spacing w:before="0" w:beforeAutospacing="0" w:after="0" w:afterAutospacing="0"/>
                    <w:ind w:left="0" w:right="0"/>
                    <w:jc w:val="center"/>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设备名称</w:t>
                  </w:r>
                </w:p>
              </w:tc>
              <w:tc>
                <w:tcPr>
                  <w:tcW w:w="1145" w:type="dxa"/>
                  <w:vAlign w:val="center"/>
                </w:tcPr>
                <w:p w14:paraId="7C576F37">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型号</w:t>
                  </w:r>
                </w:p>
              </w:tc>
              <w:tc>
                <w:tcPr>
                  <w:tcW w:w="1587" w:type="dxa"/>
                  <w:vAlign w:val="center"/>
                </w:tcPr>
                <w:p w14:paraId="5836FE97">
                  <w:pPr>
                    <w:keepNext w:val="0"/>
                    <w:keepLines w:val="0"/>
                    <w:suppressLineNumbers w:val="0"/>
                    <w:spacing w:before="0" w:beforeAutospacing="0" w:after="0" w:afterAutospacing="0"/>
                    <w:ind w:left="0" w:right="0"/>
                    <w:jc w:val="center"/>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现有设备数量</w:t>
                  </w:r>
                </w:p>
              </w:tc>
              <w:tc>
                <w:tcPr>
                  <w:tcW w:w="1318" w:type="dxa"/>
                  <w:vAlign w:val="center"/>
                </w:tcPr>
                <w:p w14:paraId="6D9652F6">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本项目新增设备数量</w:t>
                  </w:r>
                </w:p>
              </w:tc>
              <w:tc>
                <w:tcPr>
                  <w:tcW w:w="1336" w:type="dxa"/>
                  <w:vAlign w:val="center"/>
                </w:tcPr>
                <w:p w14:paraId="52B0CA38">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全厂设备数量</w:t>
                  </w:r>
                </w:p>
              </w:tc>
              <w:tc>
                <w:tcPr>
                  <w:tcW w:w="789" w:type="dxa"/>
                  <w:vAlign w:val="center"/>
                </w:tcPr>
                <w:p w14:paraId="30D1A613">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单位</w:t>
                  </w:r>
                </w:p>
              </w:tc>
            </w:tr>
            <w:tr w14:paraId="1A5AA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7E16FF3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t>1</w:t>
                  </w:r>
                </w:p>
              </w:tc>
              <w:tc>
                <w:tcPr>
                  <w:tcW w:w="1269" w:type="dxa"/>
                  <w:vAlign w:val="center"/>
                </w:tcPr>
                <w:p w14:paraId="70B47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烘干塔</w:t>
                  </w:r>
                </w:p>
              </w:tc>
              <w:tc>
                <w:tcPr>
                  <w:tcW w:w="1145" w:type="dxa"/>
                  <w:vAlign w:val="center"/>
                </w:tcPr>
                <w:p w14:paraId="5E382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500t/d</w:t>
                  </w:r>
                </w:p>
              </w:tc>
              <w:tc>
                <w:tcPr>
                  <w:tcW w:w="1587" w:type="dxa"/>
                  <w:vAlign w:val="center"/>
                </w:tcPr>
                <w:p w14:paraId="661C9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1座日烘干能力500t/d烘干塔</w:t>
                  </w:r>
                </w:p>
              </w:tc>
              <w:tc>
                <w:tcPr>
                  <w:tcW w:w="1318" w:type="dxa"/>
                  <w:vAlign w:val="center"/>
                </w:tcPr>
                <w:p w14:paraId="0A585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0</w:t>
                  </w:r>
                </w:p>
              </w:tc>
              <w:tc>
                <w:tcPr>
                  <w:tcW w:w="1336" w:type="dxa"/>
                  <w:vAlign w:val="center"/>
                </w:tcPr>
                <w:p w14:paraId="5284B8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w:t>
                  </w:r>
                </w:p>
              </w:tc>
              <w:tc>
                <w:tcPr>
                  <w:tcW w:w="789" w:type="dxa"/>
                  <w:vAlign w:val="center"/>
                </w:tcPr>
                <w:p w14:paraId="1628B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座</w:t>
                  </w:r>
                </w:p>
              </w:tc>
            </w:tr>
            <w:tr w14:paraId="0E2B3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4626EB7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t>2</w:t>
                  </w:r>
                </w:p>
              </w:tc>
              <w:tc>
                <w:tcPr>
                  <w:tcW w:w="1269" w:type="dxa"/>
                  <w:vAlign w:val="center"/>
                </w:tcPr>
                <w:p w14:paraId="10291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热风炉</w:t>
                  </w:r>
                </w:p>
              </w:tc>
              <w:tc>
                <w:tcPr>
                  <w:tcW w:w="1145" w:type="dxa"/>
                  <w:vAlign w:val="center"/>
                </w:tcPr>
                <w:p w14:paraId="485BE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600万Kcal/h</w:t>
                  </w:r>
                </w:p>
              </w:tc>
              <w:tc>
                <w:tcPr>
                  <w:tcW w:w="1587" w:type="dxa"/>
                  <w:vAlign w:val="center"/>
                </w:tcPr>
                <w:p w14:paraId="5C623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1台600万Kcal/h燃生物质链条炉</w:t>
                  </w:r>
                </w:p>
              </w:tc>
              <w:tc>
                <w:tcPr>
                  <w:tcW w:w="1318" w:type="dxa"/>
                  <w:vAlign w:val="center"/>
                </w:tcPr>
                <w:p w14:paraId="770492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 w:val="0"/>
                      <w:bCs w:val="0"/>
                      <w:color w:val="000000" w:themeColor="text1"/>
                      <w:kern w:val="0"/>
                      <w:sz w:val="18"/>
                      <w:szCs w:val="18"/>
                      <w:highlight w:val="none"/>
                      <w:lang w:val="en-US" w:eastAsia="zh-CN"/>
                      <w14:textFill>
                        <w14:solidFill>
                          <w14:schemeClr w14:val="tx1"/>
                        </w14:solidFill>
                      </w14:textFill>
                    </w:rPr>
                    <w:t>0</w:t>
                  </w:r>
                </w:p>
              </w:tc>
              <w:tc>
                <w:tcPr>
                  <w:tcW w:w="1336" w:type="dxa"/>
                  <w:vAlign w:val="center"/>
                </w:tcPr>
                <w:p w14:paraId="6B5A5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12FBB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台</w:t>
                  </w:r>
                </w:p>
              </w:tc>
            </w:tr>
            <w:tr w14:paraId="3CF2F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6CE550D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t>3</w:t>
                  </w:r>
                </w:p>
              </w:tc>
              <w:tc>
                <w:tcPr>
                  <w:tcW w:w="1269" w:type="dxa"/>
                  <w:vAlign w:val="center"/>
                </w:tcPr>
                <w:p w14:paraId="1E774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布袋除尘器</w:t>
                  </w:r>
                </w:p>
              </w:tc>
              <w:tc>
                <w:tcPr>
                  <w:tcW w:w="1145" w:type="dxa"/>
                  <w:vAlign w:val="center"/>
                </w:tcPr>
                <w:p w14:paraId="6707AA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87" w:type="dxa"/>
                  <w:vAlign w:val="center"/>
                </w:tcPr>
                <w:p w14:paraId="009B0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1318" w:type="dxa"/>
                  <w:vAlign w:val="center"/>
                </w:tcPr>
                <w:p w14:paraId="7F2B6BF7">
                  <w:pPr>
                    <w:keepNext w:val="0"/>
                    <w:keepLines w:val="0"/>
                    <w:suppressLineNumbers w:val="0"/>
                    <w:snapToGrid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w:t>
                  </w:r>
                </w:p>
              </w:tc>
              <w:tc>
                <w:tcPr>
                  <w:tcW w:w="1336" w:type="dxa"/>
                  <w:vAlign w:val="center"/>
                </w:tcPr>
                <w:p w14:paraId="0D74D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2209B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套</w:t>
                  </w:r>
                </w:p>
              </w:tc>
            </w:tr>
            <w:tr w14:paraId="31229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083ED8A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4</w:t>
                  </w:r>
                </w:p>
              </w:tc>
              <w:tc>
                <w:tcPr>
                  <w:tcW w:w="1269" w:type="dxa"/>
                  <w:vAlign w:val="center"/>
                </w:tcPr>
                <w:p w14:paraId="69DB1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筛选机</w:t>
                  </w:r>
                </w:p>
              </w:tc>
              <w:tc>
                <w:tcPr>
                  <w:tcW w:w="1145" w:type="dxa"/>
                  <w:vAlign w:val="center"/>
                </w:tcPr>
                <w:p w14:paraId="2F0E75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87" w:type="dxa"/>
                  <w:vAlign w:val="center"/>
                </w:tcPr>
                <w:p w14:paraId="06B5B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1318" w:type="dxa"/>
                  <w:vAlign w:val="center"/>
                </w:tcPr>
                <w:p w14:paraId="4774635D">
                  <w:pPr>
                    <w:keepNext w:val="0"/>
                    <w:keepLines w:val="0"/>
                    <w:suppressLineNumbers w:val="0"/>
                    <w:snapToGrid w:val="0"/>
                    <w:spacing w:before="0" w:beforeAutospacing="0" w:after="0" w:afterAutospacing="0"/>
                    <w:ind w:left="0" w:right="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w:t>
                  </w:r>
                </w:p>
              </w:tc>
              <w:tc>
                <w:tcPr>
                  <w:tcW w:w="1336" w:type="dxa"/>
                  <w:vAlign w:val="center"/>
                </w:tcPr>
                <w:p w14:paraId="4C07B3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5D0BB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台</w:t>
                  </w:r>
                </w:p>
              </w:tc>
            </w:tr>
            <w:tr w14:paraId="4DF59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38CB790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5</w:t>
                  </w:r>
                </w:p>
              </w:tc>
              <w:tc>
                <w:tcPr>
                  <w:tcW w:w="1269" w:type="dxa"/>
                  <w:vAlign w:val="center"/>
                </w:tcPr>
                <w:p w14:paraId="21368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提升机</w:t>
                  </w:r>
                </w:p>
              </w:tc>
              <w:tc>
                <w:tcPr>
                  <w:tcW w:w="1145" w:type="dxa"/>
                  <w:vAlign w:val="center"/>
                </w:tcPr>
                <w:p w14:paraId="55EE7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87" w:type="dxa"/>
                  <w:vAlign w:val="center"/>
                </w:tcPr>
                <w:p w14:paraId="37A5D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p>
              </w:tc>
              <w:tc>
                <w:tcPr>
                  <w:tcW w:w="1318" w:type="dxa"/>
                  <w:vAlign w:val="center"/>
                </w:tcPr>
                <w:p w14:paraId="60D9283F">
                  <w:pPr>
                    <w:keepNext w:val="0"/>
                    <w:keepLines w:val="0"/>
                    <w:suppressLineNumbers w:val="0"/>
                    <w:snapToGrid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36" w:type="dxa"/>
                  <w:vAlign w:val="center"/>
                </w:tcPr>
                <w:p w14:paraId="3F9BF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p>
              </w:tc>
              <w:tc>
                <w:tcPr>
                  <w:tcW w:w="789" w:type="dxa"/>
                  <w:vAlign w:val="center"/>
                </w:tcPr>
                <w:p w14:paraId="05994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台</w:t>
                  </w:r>
                </w:p>
              </w:tc>
            </w:tr>
            <w:tr w14:paraId="6729C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6B64910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6</w:t>
                  </w:r>
                </w:p>
              </w:tc>
              <w:tc>
                <w:tcPr>
                  <w:tcW w:w="1269" w:type="dxa"/>
                  <w:vAlign w:val="center"/>
                </w:tcPr>
                <w:p w14:paraId="54BCF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输送机</w:t>
                  </w:r>
                </w:p>
              </w:tc>
              <w:tc>
                <w:tcPr>
                  <w:tcW w:w="1145" w:type="dxa"/>
                  <w:vAlign w:val="center"/>
                </w:tcPr>
                <w:p w14:paraId="0B280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87" w:type="dxa"/>
                  <w:vAlign w:val="center"/>
                </w:tcPr>
                <w:p w14:paraId="69011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lang w:val="en-US" w:eastAsia="zh-CN"/>
                      <w14:textFill>
                        <w14:solidFill>
                          <w14:schemeClr w14:val="tx1"/>
                        </w14:solidFill>
                      </w14:textFill>
                    </w:rPr>
                    <w:t>10</w:t>
                  </w:r>
                </w:p>
              </w:tc>
              <w:tc>
                <w:tcPr>
                  <w:tcW w:w="1318" w:type="dxa"/>
                  <w:vAlign w:val="center"/>
                </w:tcPr>
                <w:p w14:paraId="0A255111">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olor w:val="000000" w:themeColor="text1"/>
                      <w:kern w:val="2"/>
                      <w:sz w:val="18"/>
                      <w:szCs w:val="18"/>
                      <w:highlight w:val="none"/>
                      <w:lang w:val="en-US" w:eastAsia="zh-CN" w:bidi="ar-SA"/>
                      <w14:textFill>
                        <w14:solidFill>
                          <w14:schemeClr w14:val="tx1"/>
                        </w14:solidFill>
                      </w14:textFill>
                    </w:rPr>
                    <w:t>0</w:t>
                  </w:r>
                </w:p>
              </w:tc>
              <w:tc>
                <w:tcPr>
                  <w:tcW w:w="1336" w:type="dxa"/>
                  <w:vAlign w:val="center"/>
                </w:tcPr>
                <w:p w14:paraId="008DD4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w:t>
                  </w:r>
                </w:p>
              </w:tc>
              <w:tc>
                <w:tcPr>
                  <w:tcW w:w="789" w:type="dxa"/>
                  <w:vAlign w:val="center"/>
                </w:tcPr>
                <w:p w14:paraId="2DD65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台</w:t>
                  </w:r>
                </w:p>
              </w:tc>
            </w:tr>
            <w:tr w14:paraId="2484ED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6CBDB67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7</w:t>
                  </w:r>
                </w:p>
              </w:tc>
              <w:tc>
                <w:tcPr>
                  <w:tcW w:w="1269" w:type="dxa"/>
                  <w:vAlign w:val="center"/>
                </w:tcPr>
                <w:p w14:paraId="22FCE6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Theme="minorEastAsia"/>
                      <w:color w:val="000000" w:themeColor="text1"/>
                      <w:sz w:val="18"/>
                      <w:szCs w:val="18"/>
                      <w:highlight w:val="none"/>
                      <w:vertAlign w:val="baseline"/>
                      <w:lang w:val="en-US" w:eastAsia="zh-CN"/>
                      <w14:textFill>
                        <w14:solidFill>
                          <w14:schemeClr w14:val="tx1"/>
                        </w14:solidFill>
                      </w14:textFill>
                    </w:rPr>
                    <w:t>地衡</w:t>
                  </w:r>
                </w:p>
              </w:tc>
              <w:tc>
                <w:tcPr>
                  <w:tcW w:w="1145" w:type="dxa"/>
                  <w:vAlign w:val="center"/>
                </w:tcPr>
                <w:p w14:paraId="2AF89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Theme="minorEastAsia"/>
                      <w:color w:val="000000" w:themeColor="text1"/>
                      <w:sz w:val="18"/>
                      <w:szCs w:val="18"/>
                      <w:highlight w:val="none"/>
                      <w:vertAlign w:val="baseline"/>
                      <w:lang w:val="en-US" w:eastAsia="zh-CN"/>
                      <w14:textFill>
                        <w14:solidFill>
                          <w14:schemeClr w14:val="tx1"/>
                        </w14:solidFill>
                      </w14:textFill>
                    </w:rPr>
                    <w:t>/</w:t>
                  </w:r>
                </w:p>
              </w:tc>
              <w:tc>
                <w:tcPr>
                  <w:tcW w:w="1587" w:type="dxa"/>
                  <w:vAlign w:val="center"/>
                </w:tcPr>
                <w:p w14:paraId="5DA5C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lang w:val="en-US" w:eastAsia="zh-CN"/>
                      <w14:textFill>
                        <w14:solidFill>
                          <w14:schemeClr w14:val="tx1"/>
                        </w14:solidFill>
                      </w14:textFill>
                    </w:rPr>
                    <w:t>1</w:t>
                  </w:r>
                </w:p>
              </w:tc>
              <w:tc>
                <w:tcPr>
                  <w:tcW w:w="1318" w:type="dxa"/>
                  <w:vAlign w:val="center"/>
                </w:tcPr>
                <w:p w14:paraId="578CAB34">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olor w:val="000000" w:themeColor="text1"/>
                      <w:kern w:val="2"/>
                      <w:sz w:val="18"/>
                      <w:szCs w:val="18"/>
                      <w:highlight w:val="none"/>
                      <w:lang w:val="en-US" w:eastAsia="zh-CN" w:bidi="ar-SA"/>
                      <w14:textFill>
                        <w14:solidFill>
                          <w14:schemeClr w14:val="tx1"/>
                        </w14:solidFill>
                      </w14:textFill>
                    </w:rPr>
                    <w:t>0</w:t>
                  </w:r>
                </w:p>
              </w:tc>
              <w:tc>
                <w:tcPr>
                  <w:tcW w:w="1336" w:type="dxa"/>
                  <w:vAlign w:val="center"/>
                </w:tcPr>
                <w:p w14:paraId="2DB10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078F99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台</w:t>
                  </w:r>
                </w:p>
              </w:tc>
            </w:tr>
            <w:tr w14:paraId="77F9B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75DED24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8</w:t>
                  </w:r>
                </w:p>
              </w:tc>
              <w:tc>
                <w:tcPr>
                  <w:tcW w:w="1269" w:type="dxa"/>
                  <w:vAlign w:val="center"/>
                </w:tcPr>
                <w:p w14:paraId="0EDC3C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Theme="minorEastAsia"/>
                      <w:color w:val="000000" w:themeColor="text1"/>
                      <w:sz w:val="18"/>
                      <w:szCs w:val="18"/>
                      <w:highlight w:val="none"/>
                      <w:vertAlign w:val="baseline"/>
                      <w:lang w:val="en-US" w:eastAsia="zh-CN"/>
                      <w14:textFill>
                        <w14:solidFill>
                          <w14:schemeClr w14:val="tx1"/>
                        </w14:solidFill>
                      </w14:textFill>
                    </w:rPr>
                    <w:t>电子天平</w:t>
                  </w:r>
                </w:p>
              </w:tc>
              <w:tc>
                <w:tcPr>
                  <w:tcW w:w="1145" w:type="dxa"/>
                  <w:vAlign w:val="center"/>
                </w:tcPr>
                <w:p w14:paraId="63318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eastAsiaTheme="minorEastAsia"/>
                      <w:color w:val="000000" w:themeColor="text1"/>
                      <w:sz w:val="18"/>
                      <w:szCs w:val="18"/>
                      <w:highlight w:val="none"/>
                      <w:vertAlign w:val="baseline"/>
                      <w:lang w:val="en-US" w:eastAsia="zh-CN"/>
                      <w14:textFill>
                        <w14:solidFill>
                          <w14:schemeClr w14:val="tx1"/>
                        </w14:solidFill>
                      </w14:textFill>
                    </w:rPr>
                    <w:t>/</w:t>
                  </w:r>
                </w:p>
              </w:tc>
              <w:tc>
                <w:tcPr>
                  <w:tcW w:w="1587" w:type="dxa"/>
                  <w:vAlign w:val="center"/>
                </w:tcPr>
                <w:p w14:paraId="21897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w:t>
                  </w:r>
                </w:p>
              </w:tc>
              <w:tc>
                <w:tcPr>
                  <w:tcW w:w="1318" w:type="dxa"/>
                  <w:vAlign w:val="center"/>
                </w:tcPr>
                <w:p w14:paraId="3BEDE0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36" w:type="dxa"/>
                  <w:vAlign w:val="center"/>
                </w:tcPr>
                <w:p w14:paraId="54663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19DF8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台</w:t>
                  </w:r>
                </w:p>
              </w:tc>
            </w:tr>
            <w:tr w14:paraId="59AA10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3" w:type="dxa"/>
                  <w:vAlign w:val="center"/>
                </w:tcPr>
                <w:p w14:paraId="39306D83">
                  <w:pPr>
                    <w:keepNext w:val="0"/>
                    <w:keepLines w:val="0"/>
                    <w:suppressLineNumbers w:val="0"/>
                    <w:spacing w:before="0" w:beforeAutospacing="0" w:after="0" w:afterAutospacing="0"/>
                    <w:ind w:left="0" w:right="0"/>
                    <w:jc w:val="center"/>
                    <w:rPr>
                      <w:rFonts w:hint="default"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9</w:t>
                  </w:r>
                </w:p>
              </w:tc>
              <w:tc>
                <w:tcPr>
                  <w:tcW w:w="1269" w:type="dxa"/>
                  <w:vAlign w:val="center"/>
                </w:tcPr>
                <w:p w14:paraId="06892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粮温监测设备</w:t>
                  </w:r>
                </w:p>
              </w:tc>
              <w:tc>
                <w:tcPr>
                  <w:tcW w:w="1145" w:type="dxa"/>
                  <w:vAlign w:val="center"/>
                </w:tcPr>
                <w:p w14:paraId="024E9C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87" w:type="dxa"/>
                  <w:vAlign w:val="center"/>
                </w:tcPr>
                <w:p w14:paraId="01D5E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1</w:t>
                  </w:r>
                </w:p>
              </w:tc>
              <w:tc>
                <w:tcPr>
                  <w:tcW w:w="1318" w:type="dxa"/>
                  <w:vAlign w:val="center"/>
                </w:tcPr>
                <w:p w14:paraId="27E43940">
                  <w:pPr>
                    <w:keepNext w:val="0"/>
                    <w:keepLines w:val="0"/>
                    <w:suppressLineNumbers w:val="0"/>
                    <w:snapToGrid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w:t>
                  </w:r>
                </w:p>
              </w:tc>
              <w:tc>
                <w:tcPr>
                  <w:tcW w:w="1336" w:type="dxa"/>
                  <w:vAlign w:val="center"/>
                </w:tcPr>
                <w:p w14:paraId="35084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c>
                <w:tcPr>
                  <w:tcW w:w="789" w:type="dxa"/>
                  <w:vAlign w:val="center"/>
                </w:tcPr>
                <w:p w14:paraId="5A58F5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台</w:t>
                  </w:r>
                </w:p>
              </w:tc>
            </w:tr>
          </w:tbl>
          <w:p w14:paraId="7D4905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kern w:val="0"/>
                <w:sz w:val="21"/>
                <w:szCs w:val="21"/>
                <w:highlight w:val="none"/>
                <w14:textFill>
                  <w14:solidFill>
                    <w14:schemeClr w14:val="tx1"/>
                  </w14:solidFill>
                </w14:textFill>
              </w:rPr>
            </w:pPr>
            <w:r>
              <w:rPr>
                <w:rFonts w:hint="eastAsia" w:cs="Times New Roman"/>
                <w:b/>
                <w:bCs/>
                <w:color w:val="000000" w:themeColor="text1"/>
                <w:kern w:val="0"/>
                <w:sz w:val="2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kern w:val="0"/>
                <w:sz w:val="21"/>
                <w:szCs w:val="21"/>
                <w:highlight w:val="none"/>
                <w14:textFill>
                  <w14:solidFill>
                    <w14:schemeClr w14:val="tx1"/>
                  </w14:solidFill>
                </w14:textFill>
              </w:rPr>
              <w:t>、原辅材料</w:t>
            </w:r>
          </w:p>
          <w:p w14:paraId="465B747A">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表2-</w:t>
            </w:r>
            <w:r>
              <w:rPr>
                <w:rFonts w:hint="eastAsia" w:cs="Times New Roman"/>
                <w:b/>
                <w:bCs/>
                <w:snapToGrid w:val="0"/>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原辅材料消耗一览表</w:t>
            </w:r>
          </w:p>
          <w:tbl>
            <w:tblPr>
              <w:tblStyle w:val="34"/>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850"/>
              <w:gridCol w:w="1037"/>
              <w:gridCol w:w="1398"/>
              <w:gridCol w:w="1244"/>
              <w:gridCol w:w="930"/>
              <w:gridCol w:w="930"/>
            </w:tblGrid>
            <w:tr w14:paraId="39EFF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dxa"/>
                  <w:vAlign w:val="center"/>
                </w:tcPr>
                <w:p w14:paraId="7DCCCB37">
                  <w:pPr>
                    <w:keepNext w:val="0"/>
                    <w:keepLines w:val="0"/>
                    <w:suppressLineNumbers w:val="0"/>
                    <w:spacing w:before="0" w:beforeAutospacing="0" w:after="0" w:afterAutospacing="0"/>
                    <w:ind w:left="0" w:right="0"/>
                    <w:jc w:val="center"/>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序号</w:t>
                  </w:r>
                </w:p>
              </w:tc>
              <w:tc>
                <w:tcPr>
                  <w:tcW w:w="1850" w:type="dxa"/>
                  <w:vAlign w:val="center"/>
                </w:tcPr>
                <w:p w14:paraId="308B95F2">
                  <w:pPr>
                    <w:keepNext w:val="0"/>
                    <w:keepLines w:val="0"/>
                    <w:suppressLineNumbers w:val="0"/>
                    <w:spacing w:before="0" w:beforeAutospacing="0" w:after="0" w:afterAutospacing="0"/>
                    <w:ind w:left="0" w:right="0"/>
                    <w:jc w:val="center"/>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原辅材料名称</w:t>
                  </w:r>
                </w:p>
              </w:tc>
              <w:tc>
                <w:tcPr>
                  <w:tcW w:w="1037" w:type="dxa"/>
                  <w:vAlign w:val="center"/>
                </w:tcPr>
                <w:p w14:paraId="1A020B06">
                  <w:pPr>
                    <w:keepNext w:val="0"/>
                    <w:keepLines w:val="0"/>
                    <w:suppressLineNumbers w:val="0"/>
                    <w:spacing w:before="0" w:beforeAutospacing="0" w:after="0" w:afterAutospacing="0"/>
                    <w:ind w:left="0" w:right="0"/>
                    <w:jc w:val="center"/>
                    <w:rPr>
                      <w:rFonts w:hint="default"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现有用量</w:t>
                  </w:r>
                </w:p>
              </w:tc>
              <w:tc>
                <w:tcPr>
                  <w:tcW w:w="1398" w:type="dxa"/>
                  <w:vAlign w:val="center"/>
                </w:tcPr>
                <w:p w14:paraId="0A4C5953">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本次新增用量</w:t>
                  </w:r>
                </w:p>
              </w:tc>
              <w:tc>
                <w:tcPr>
                  <w:tcW w:w="1244" w:type="dxa"/>
                  <w:vAlign w:val="center"/>
                </w:tcPr>
                <w:p w14:paraId="6AA25EFF">
                  <w:pPr>
                    <w:keepNext w:val="0"/>
                    <w:keepLines w:val="0"/>
                    <w:suppressLineNumbers w:val="0"/>
                    <w:spacing w:before="0" w:beforeAutospacing="0" w:after="0" w:afterAutospacing="0"/>
                    <w:ind w:left="0" w:right="0"/>
                    <w:jc w:val="center"/>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全厂用量</w:t>
                  </w:r>
                </w:p>
              </w:tc>
              <w:tc>
                <w:tcPr>
                  <w:tcW w:w="930" w:type="dxa"/>
                  <w:vAlign w:val="center"/>
                </w:tcPr>
                <w:p w14:paraId="5B5C1DCF">
                  <w:pPr>
                    <w:keepNext w:val="0"/>
                    <w:keepLines w:val="0"/>
                    <w:suppressLineNumbers w:val="0"/>
                    <w:spacing w:before="0" w:beforeAutospacing="0" w:after="0" w:afterAutospacing="0"/>
                    <w:ind w:left="0" w:right="0"/>
                    <w:jc w:val="center"/>
                    <w:rPr>
                      <w:rFonts w:hint="default"/>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单位</w:t>
                  </w:r>
                </w:p>
              </w:tc>
              <w:tc>
                <w:tcPr>
                  <w:tcW w:w="930" w:type="dxa"/>
                  <w:vAlign w:val="center"/>
                </w:tcPr>
                <w:p w14:paraId="1E272587">
                  <w:pPr>
                    <w:keepNext w:val="0"/>
                    <w:keepLines w:val="0"/>
                    <w:suppressLineNumbers w:val="0"/>
                    <w:spacing w:before="0" w:beforeAutospacing="0" w:after="0" w:afterAutospacing="0"/>
                    <w:ind w:left="0" w:right="0"/>
                    <w:jc w:val="center"/>
                    <w:rPr>
                      <w:rFonts w:hint="eastAsia" w:eastAsiaTheme="minorEastAsia"/>
                      <w:color w:val="000000" w:themeColor="text1"/>
                      <w:sz w:val="18"/>
                      <w:szCs w:val="18"/>
                      <w:highlight w:val="none"/>
                      <w:vertAlign w:val="baseline"/>
                      <w:lang w:val="en-US" w:eastAsia="zh-CN"/>
                      <w14:textFill>
                        <w14:solidFill>
                          <w14:schemeClr w14:val="tx1"/>
                        </w14:solidFill>
                      </w14:textFill>
                    </w:rPr>
                  </w:pPr>
                  <w:r>
                    <w:rPr>
                      <w:rFonts w:hint="eastAsia"/>
                      <w:color w:val="000000" w:themeColor="text1"/>
                      <w:sz w:val="18"/>
                      <w:szCs w:val="18"/>
                      <w:highlight w:val="none"/>
                      <w:vertAlign w:val="baseline"/>
                      <w:lang w:val="en-US" w:eastAsia="zh-CN"/>
                      <w14:textFill>
                        <w14:solidFill>
                          <w14:schemeClr w14:val="tx1"/>
                        </w14:solidFill>
                      </w14:textFill>
                    </w:rPr>
                    <w:t>来源</w:t>
                  </w:r>
                </w:p>
              </w:tc>
            </w:tr>
            <w:tr w14:paraId="7146E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dxa"/>
                  <w:vAlign w:val="center"/>
                </w:tcPr>
                <w:p w14:paraId="67FDD51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t>1</w:t>
                  </w:r>
                </w:p>
              </w:tc>
              <w:tc>
                <w:tcPr>
                  <w:tcW w:w="1850" w:type="dxa"/>
                  <w:vAlign w:val="center"/>
                </w:tcPr>
                <w:p w14:paraId="3D3277B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玉米（含水率30%）</w:t>
                  </w:r>
                </w:p>
              </w:tc>
              <w:tc>
                <w:tcPr>
                  <w:tcW w:w="1037" w:type="dxa"/>
                  <w:vAlign w:val="center"/>
                </w:tcPr>
                <w:p w14:paraId="278DD1D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0</w:t>
                  </w:r>
                </w:p>
              </w:tc>
              <w:tc>
                <w:tcPr>
                  <w:tcW w:w="1398" w:type="dxa"/>
                  <w:vAlign w:val="center"/>
                </w:tcPr>
                <w:p w14:paraId="1D70C9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20000</w:t>
                  </w:r>
                </w:p>
              </w:tc>
              <w:tc>
                <w:tcPr>
                  <w:tcW w:w="1244" w:type="dxa"/>
                  <w:vAlign w:val="center"/>
                </w:tcPr>
                <w:p w14:paraId="5904BA0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20000</w:t>
                  </w:r>
                </w:p>
              </w:tc>
              <w:tc>
                <w:tcPr>
                  <w:tcW w:w="930" w:type="dxa"/>
                  <w:vAlign w:val="center"/>
                </w:tcPr>
                <w:p w14:paraId="6CC18FB1">
                  <w:pPr>
                    <w:keepNext w:val="0"/>
                    <w:keepLines w:val="0"/>
                    <w:widowControl/>
                    <w:suppressLineNumbers w:val="0"/>
                    <w:spacing w:before="0" w:beforeAutospacing="0" w:after="0" w:afterAutospacing="0"/>
                    <w:ind w:left="0" w:right="0"/>
                    <w:jc w:val="center"/>
                    <w:rPr>
                      <w:rFonts w:hint="eastAsia" w:cs="Times New Roman" w:eastAsiaTheme="minorEastAsia"/>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t/a</w:t>
                  </w:r>
                </w:p>
              </w:tc>
              <w:tc>
                <w:tcPr>
                  <w:tcW w:w="930" w:type="dxa"/>
                  <w:vAlign w:val="center"/>
                </w:tcPr>
                <w:p w14:paraId="4901DB4A">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当地</w:t>
                  </w:r>
                </w:p>
              </w:tc>
            </w:tr>
            <w:tr w14:paraId="7DF4DD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dxa"/>
                  <w:vAlign w:val="center"/>
                </w:tcPr>
                <w:p w14:paraId="01AA6BF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2</w:t>
                  </w:r>
                </w:p>
              </w:tc>
              <w:tc>
                <w:tcPr>
                  <w:tcW w:w="1850" w:type="dxa"/>
                  <w:vAlign w:val="center"/>
                </w:tcPr>
                <w:p w14:paraId="10423107">
                  <w:pPr>
                    <w:keepNext w:val="0"/>
                    <w:keepLines w:val="0"/>
                    <w:widowControl/>
                    <w:suppressLineNumbers w:val="0"/>
                    <w:spacing w:before="0" w:beforeAutospacing="0" w:after="0" w:afterAutospacing="0"/>
                    <w:ind w:left="0" w:right="0"/>
                    <w:jc w:val="center"/>
                    <w:rPr>
                      <w:rFonts w:hint="eastAsia"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水稻（含水率17%）</w:t>
                  </w:r>
                </w:p>
              </w:tc>
              <w:tc>
                <w:tcPr>
                  <w:tcW w:w="1037" w:type="dxa"/>
                  <w:vAlign w:val="center"/>
                </w:tcPr>
                <w:p w14:paraId="5A6B4C78">
                  <w:pPr>
                    <w:keepNext w:val="0"/>
                    <w:keepLines w:val="0"/>
                    <w:widowControl/>
                    <w:suppressLineNumbers w:val="0"/>
                    <w:spacing w:before="0" w:beforeAutospacing="0" w:after="0" w:afterAutospacing="0"/>
                    <w:ind w:left="0" w:right="0"/>
                    <w:jc w:val="center"/>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40000</w:t>
                  </w:r>
                </w:p>
              </w:tc>
              <w:tc>
                <w:tcPr>
                  <w:tcW w:w="1398" w:type="dxa"/>
                  <w:vAlign w:val="center"/>
                </w:tcPr>
                <w:p w14:paraId="74C6EE1D">
                  <w:pPr>
                    <w:keepNext w:val="0"/>
                    <w:keepLines w:val="0"/>
                    <w:widowControl/>
                    <w:suppressLineNumbers w:val="0"/>
                    <w:spacing w:before="0" w:beforeAutospacing="0" w:after="0" w:afterAutospacing="0"/>
                    <w:ind w:left="0" w:right="0"/>
                    <w:jc w:val="center"/>
                    <w:rPr>
                      <w:rFonts w:hint="default"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0</w:t>
                  </w:r>
                </w:p>
              </w:tc>
              <w:tc>
                <w:tcPr>
                  <w:tcW w:w="1244" w:type="dxa"/>
                  <w:vAlign w:val="center"/>
                </w:tcPr>
                <w:p w14:paraId="21079F12">
                  <w:pPr>
                    <w:keepNext w:val="0"/>
                    <w:keepLines w:val="0"/>
                    <w:widowControl/>
                    <w:suppressLineNumbers w:val="0"/>
                    <w:spacing w:before="0" w:beforeAutospacing="0" w:after="0" w:afterAutospacing="0"/>
                    <w:ind w:left="0" w:right="0"/>
                    <w:jc w:val="center"/>
                    <w:rPr>
                      <w:rFonts w:hint="default" w:cs="Times New Roman" w:eastAsiaTheme="minorEastAsia"/>
                      <w:bCs/>
                      <w:color w:val="000000" w:themeColor="text1"/>
                      <w:sz w:val="18"/>
                      <w:szCs w:val="18"/>
                      <w:highlight w:val="no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40000</w:t>
                  </w:r>
                </w:p>
              </w:tc>
              <w:tc>
                <w:tcPr>
                  <w:tcW w:w="930" w:type="dxa"/>
                  <w:vAlign w:val="center"/>
                </w:tcPr>
                <w:p w14:paraId="0B58DAAD">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t/a</w:t>
                  </w:r>
                </w:p>
              </w:tc>
              <w:tc>
                <w:tcPr>
                  <w:tcW w:w="930" w:type="dxa"/>
                  <w:vAlign w:val="center"/>
                </w:tcPr>
                <w:p w14:paraId="093A3A09">
                  <w:pPr>
                    <w:keepNext w:val="0"/>
                    <w:keepLines w:val="0"/>
                    <w:widowControl/>
                    <w:suppressLineNumbers w:val="0"/>
                    <w:spacing w:before="0" w:beforeAutospacing="0" w:after="0" w:afterAutospacing="0"/>
                    <w:ind w:left="0" w:right="0"/>
                    <w:jc w:val="center"/>
                    <w:rPr>
                      <w:rFonts w:hint="eastAsia" w:cs="Times New Roman" w:eastAsiaTheme="minorEastAsia"/>
                      <w:bCs/>
                      <w:color w:val="000000" w:themeColor="text1"/>
                      <w:sz w:val="18"/>
                      <w:szCs w:val="18"/>
                      <w:highlight w:val="no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当地</w:t>
                  </w:r>
                </w:p>
              </w:tc>
            </w:tr>
            <w:tr w14:paraId="7B9FB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5" w:type="dxa"/>
                  <w:vAlign w:val="center"/>
                </w:tcPr>
                <w:p w14:paraId="7FFEF07A">
                  <w:pPr>
                    <w:keepNext w:val="0"/>
                    <w:keepLines w:val="0"/>
                    <w:suppressLineNumbers w:val="0"/>
                    <w:spacing w:before="0" w:beforeAutospacing="0" w:after="0" w:afterAutospacing="0"/>
                    <w:ind w:left="0" w:right="0"/>
                    <w:jc w:val="center"/>
                    <w:rPr>
                      <w:rFonts w:hint="default" w:cs="Times New Roman"/>
                      <w:color w:val="000000" w:themeColor="text1"/>
                      <w:sz w:val="18"/>
                      <w:szCs w:val="18"/>
                      <w:highlight w:val="none"/>
                      <w:vertAlign w:val="baseline"/>
                      <w:lang w:val="en-US" w:eastAsia="zh-CN"/>
                      <w14:textFill>
                        <w14:solidFill>
                          <w14:schemeClr w14:val="tx1"/>
                        </w14:solidFill>
                      </w14:textFill>
                    </w:rPr>
                  </w:pPr>
                  <w:r>
                    <w:rPr>
                      <w:rFonts w:hint="eastAsia" w:cs="Times New Roman"/>
                      <w:color w:val="000000" w:themeColor="text1"/>
                      <w:sz w:val="18"/>
                      <w:szCs w:val="18"/>
                      <w:highlight w:val="none"/>
                      <w:vertAlign w:val="baseline"/>
                      <w:lang w:val="en-US" w:eastAsia="zh-CN"/>
                      <w14:textFill>
                        <w14:solidFill>
                          <w14:schemeClr w14:val="tx1"/>
                        </w14:solidFill>
                      </w14:textFill>
                    </w:rPr>
                    <w:t>3</w:t>
                  </w:r>
                </w:p>
              </w:tc>
              <w:tc>
                <w:tcPr>
                  <w:tcW w:w="1850" w:type="dxa"/>
                  <w:vAlign w:val="center"/>
                </w:tcPr>
                <w:p w14:paraId="53C0EABC">
                  <w:pPr>
                    <w:keepNext w:val="0"/>
                    <w:keepLines w:val="0"/>
                    <w:widowControl/>
                    <w:suppressLineNumbers w:val="0"/>
                    <w:spacing w:before="0" w:beforeAutospacing="0" w:after="0" w:afterAutospacing="0"/>
                    <w:ind w:left="0" w:right="0"/>
                    <w:jc w:val="center"/>
                    <w:rPr>
                      <w:rFonts w:hint="default"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生物质颗粒</w:t>
                  </w:r>
                </w:p>
              </w:tc>
              <w:tc>
                <w:tcPr>
                  <w:tcW w:w="1037" w:type="dxa"/>
                  <w:vAlign w:val="center"/>
                </w:tcPr>
                <w:p w14:paraId="48D8C69B">
                  <w:pPr>
                    <w:keepNext w:val="0"/>
                    <w:keepLines w:val="0"/>
                    <w:widowControl/>
                    <w:suppressLineNumbers w:val="0"/>
                    <w:spacing w:before="0" w:beforeAutospacing="0" w:after="0" w:afterAutospacing="0"/>
                    <w:ind w:left="0" w:right="0"/>
                    <w:jc w:val="center"/>
                    <w:rPr>
                      <w:rFonts w:hint="default" w:cs="Times New Roman" w:eastAsiaTheme="minorEastAsia"/>
                      <w:color w:val="000000" w:themeColor="text1"/>
                      <w:sz w:val="18"/>
                      <w:szCs w:val="18"/>
                      <w:highlight w:val="none"/>
                      <w:vertAlign w:val="baseline"/>
                      <w:lang w:val="en-US" w:eastAsia="zh-CN"/>
                      <w14:textFill>
                        <w14:solidFill>
                          <w14:schemeClr w14:val="tx1"/>
                        </w14:solidFill>
                      </w14:textFill>
                    </w:rPr>
                  </w:pPr>
                  <w:r>
                    <w:rPr>
                      <w:rFonts w:hint="eastAsia" w:cs="Times New Roman" w:eastAsiaTheme="minorEastAsia"/>
                      <w:color w:val="000000" w:themeColor="text1"/>
                      <w:sz w:val="18"/>
                      <w:szCs w:val="18"/>
                      <w:highlight w:val="none"/>
                      <w:vertAlign w:val="baseline"/>
                      <w:lang w:val="en-US" w:eastAsia="zh-CN"/>
                      <w14:textFill>
                        <w14:solidFill>
                          <w14:schemeClr w14:val="tx1"/>
                        </w14:solidFill>
                      </w14:textFill>
                    </w:rPr>
                    <w:t>452.99</w:t>
                  </w:r>
                </w:p>
              </w:tc>
              <w:tc>
                <w:tcPr>
                  <w:tcW w:w="1398" w:type="dxa"/>
                  <w:vAlign w:val="center"/>
                </w:tcPr>
                <w:p w14:paraId="361FC311">
                  <w:pPr>
                    <w:keepNext w:val="0"/>
                    <w:keepLines w:val="0"/>
                    <w:widowControl/>
                    <w:suppressLineNumbers w:val="0"/>
                    <w:spacing w:before="0" w:beforeAutospacing="0" w:after="0" w:afterAutospacing="0"/>
                    <w:ind w:left="0" w:right="0"/>
                    <w:jc w:val="center"/>
                    <w:rPr>
                      <w:rFonts w:hint="default"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1430.57</w:t>
                  </w:r>
                </w:p>
              </w:tc>
              <w:tc>
                <w:tcPr>
                  <w:tcW w:w="1244" w:type="dxa"/>
                  <w:vAlign w:val="center"/>
                </w:tcPr>
                <w:p w14:paraId="4D63987B">
                  <w:pPr>
                    <w:keepNext w:val="0"/>
                    <w:keepLines w:val="0"/>
                    <w:widowControl/>
                    <w:suppressLineNumbers w:val="0"/>
                    <w:spacing w:before="0" w:beforeAutospacing="0" w:after="0" w:afterAutospacing="0"/>
                    <w:ind w:left="0" w:right="0"/>
                    <w:jc w:val="center"/>
                    <w:rPr>
                      <w:rFonts w:hint="default" w:cs="Times New Roman" w:eastAsiaTheme="minorEastAsia"/>
                      <w:bCs/>
                      <w:color w:val="000000" w:themeColor="text1"/>
                      <w:sz w:val="18"/>
                      <w:szCs w:val="18"/>
                      <w:highlight w:val="no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1883.56</w:t>
                  </w:r>
                </w:p>
              </w:tc>
              <w:tc>
                <w:tcPr>
                  <w:tcW w:w="930" w:type="dxa"/>
                  <w:vAlign w:val="center"/>
                </w:tcPr>
                <w:p w14:paraId="5677DE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t/a</w:t>
                  </w:r>
                </w:p>
              </w:tc>
              <w:tc>
                <w:tcPr>
                  <w:tcW w:w="930" w:type="dxa"/>
                  <w:vAlign w:val="center"/>
                </w:tcPr>
                <w:p w14:paraId="2276768B">
                  <w:pPr>
                    <w:keepNext w:val="0"/>
                    <w:keepLines w:val="0"/>
                    <w:widowControl/>
                    <w:suppressLineNumbers w:val="0"/>
                    <w:spacing w:before="0" w:beforeAutospacing="0" w:after="0" w:afterAutospacing="0"/>
                    <w:ind w:left="0" w:right="0"/>
                    <w:jc w:val="center"/>
                    <w:rPr>
                      <w:rFonts w:hint="default" w:cs="Times New Roman" w:eastAsiaTheme="minorEastAsia"/>
                      <w:bCs/>
                      <w:color w:val="000000" w:themeColor="text1"/>
                      <w:sz w:val="18"/>
                      <w:szCs w:val="18"/>
                      <w:highlight w:val="none"/>
                      <w:lang w:val="en-US" w:eastAsia="zh-CN"/>
                      <w14:textFill>
                        <w14:solidFill>
                          <w14:schemeClr w14:val="tx1"/>
                        </w14:solidFill>
                      </w14:textFill>
                    </w:rPr>
                  </w:pPr>
                  <w:r>
                    <w:rPr>
                      <w:rFonts w:hint="eastAsia" w:cs="Times New Roman" w:eastAsiaTheme="minorEastAsia"/>
                      <w:bCs/>
                      <w:color w:val="000000" w:themeColor="text1"/>
                      <w:sz w:val="18"/>
                      <w:szCs w:val="18"/>
                      <w:highlight w:val="none"/>
                      <w:lang w:val="en-US" w:eastAsia="zh-CN"/>
                      <w14:textFill>
                        <w14:solidFill>
                          <w14:schemeClr w14:val="tx1"/>
                        </w14:solidFill>
                      </w14:textFill>
                    </w:rPr>
                    <w:t>外购</w:t>
                  </w:r>
                </w:p>
              </w:tc>
            </w:tr>
          </w:tbl>
          <w:p w14:paraId="5E6285AE">
            <w:pPr>
              <w:pStyle w:val="155"/>
              <w:keepNext w:val="0"/>
              <w:keepLines w:val="0"/>
              <w:suppressLineNumbers w:val="0"/>
              <w:spacing w:before="0" w:beforeAutospacing="0" w:after="0" w:afterAutospacing="0" w:line="240" w:lineRule="auto"/>
              <w:ind w:left="0" w:right="0"/>
              <w:rPr>
                <w:rFonts w:hint="eastAsia"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 xml:space="preserve">表2-5  </w:t>
            </w:r>
            <w:r>
              <w:rPr>
                <w:rFonts w:hint="eastAsia"/>
                <w:color w:val="000000" w:themeColor="text1"/>
                <w:highlight w:val="none"/>
                <w:lang w:val="en-US" w:eastAsia="zh-CN"/>
                <w14:textFill>
                  <w14:solidFill>
                    <w14:schemeClr w14:val="tx1"/>
                  </w14:solidFill>
                </w14:textFill>
              </w:rPr>
              <w:t>燃料成分分析</w:t>
            </w:r>
            <w:r>
              <w:rPr>
                <w:rFonts w:hint="eastAsia" w:eastAsia="宋体"/>
                <w:color w:val="000000" w:themeColor="text1"/>
                <w:highlight w:val="none"/>
                <w14:textFill>
                  <w14:solidFill>
                    <w14:schemeClr w14:val="tx1"/>
                  </w14:solidFill>
                </w14:textFill>
              </w:rPr>
              <w:t>表</w:t>
            </w:r>
          </w:p>
          <w:tbl>
            <w:tblPr>
              <w:tblStyle w:val="34"/>
              <w:tblW w:w="0" w:type="auto"/>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3"/>
              <w:gridCol w:w="1770"/>
              <w:gridCol w:w="1640"/>
              <w:gridCol w:w="2257"/>
            </w:tblGrid>
            <w:tr w14:paraId="65AA8EE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PrEx>
              <w:tc>
                <w:tcPr>
                  <w:tcW w:w="2353" w:type="dxa"/>
                  <w:tcBorders>
                    <w:tl2br w:val="nil"/>
                    <w:tr2bl w:val="nil"/>
                  </w:tcBorders>
                </w:tcPr>
                <w:p w14:paraId="0614D7E2">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名称</w:t>
                  </w:r>
                </w:p>
              </w:tc>
              <w:tc>
                <w:tcPr>
                  <w:tcW w:w="1770" w:type="dxa"/>
                  <w:tcBorders>
                    <w:tl2br w:val="nil"/>
                    <w:tr2bl w:val="nil"/>
                  </w:tcBorders>
                </w:tcPr>
                <w:p w14:paraId="19471A74">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符号</w:t>
                  </w:r>
                </w:p>
              </w:tc>
              <w:tc>
                <w:tcPr>
                  <w:tcW w:w="1640" w:type="dxa"/>
                  <w:tcBorders>
                    <w:tl2br w:val="nil"/>
                    <w:tr2bl w:val="nil"/>
                  </w:tcBorders>
                </w:tcPr>
                <w:p w14:paraId="429007A3">
                  <w:pPr>
                    <w:pStyle w:val="155"/>
                    <w:keepNext w:val="0"/>
                    <w:keepLines w:val="0"/>
                    <w:suppressLineNumbers w:val="0"/>
                    <w:spacing w:before="0" w:beforeAutospacing="0" w:after="0" w:afterAutospacing="0" w:line="240" w:lineRule="auto"/>
                    <w:ind w:left="0" w:right="0"/>
                    <w:rPr>
                      <w:rFonts w:hint="default"/>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单位</w:t>
                  </w:r>
                </w:p>
              </w:tc>
              <w:tc>
                <w:tcPr>
                  <w:tcW w:w="2257" w:type="dxa"/>
                  <w:tcBorders>
                    <w:tl2br w:val="nil"/>
                    <w:tr2bl w:val="nil"/>
                  </w:tcBorders>
                </w:tcPr>
                <w:p w14:paraId="1C70371E">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数值</w:t>
                  </w:r>
                </w:p>
              </w:tc>
            </w:tr>
            <w:tr w14:paraId="4B0D3CE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60FE7847">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空气于燥基水分</w:t>
                  </w:r>
                  <w:r>
                    <w:rPr>
                      <w:rFonts w:hint="eastAsia"/>
                      <w:b w:val="0"/>
                      <w:bCs/>
                      <w:color w:val="000000" w:themeColor="text1"/>
                      <w:highlight w:val="none"/>
                      <w:vertAlign w:val="baseline"/>
                      <w:lang w:val="en-US" w:eastAsia="zh-CN"/>
                      <w14:textFill>
                        <w14:solidFill>
                          <w14:schemeClr w14:val="tx1"/>
                        </w14:solidFill>
                      </w14:textFill>
                    </w:rPr>
                    <w:t xml:space="preserve"> </w:t>
                  </w:r>
                </w:p>
              </w:tc>
              <w:tc>
                <w:tcPr>
                  <w:tcW w:w="1770" w:type="dxa"/>
                  <w:tcBorders>
                    <w:tl2br w:val="nil"/>
                    <w:tr2bl w:val="nil"/>
                  </w:tcBorders>
                </w:tcPr>
                <w:p w14:paraId="7259D144">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Mad</w:t>
                  </w:r>
                </w:p>
              </w:tc>
              <w:tc>
                <w:tcPr>
                  <w:tcW w:w="1640" w:type="dxa"/>
                  <w:tcBorders>
                    <w:tl2br w:val="nil"/>
                    <w:tr2bl w:val="nil"/>
                  </w:tcBorders>
                </w:tcPr>
                <w:p w14:paraId="496C737C">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5580428B">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3.14</w:t>
                  </w:r>
                </w:p>
              </w:tc>
            </w:tr>
            <w:tr w14:paraId="3C3A2DB0">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75D96FFC">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全水分</w:t>
                  </w:r>
                </w:p>
              </w:tc>
              <w:tc>
                <w:tcPr>
                  <w:tcW w:w="1770" w:type="dxa"/>
                  <w:tcBorders>
                    <w:tl2br w:val="nil"/>
                    <w:tr2bl w:val="nil"/>
                  </w:tcBorders>
                </w:tcPr>
                <w:p w14:paraId="3158A898">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Mt</w:t>
                  </w:r>
                </w:p>
              </w:tc>
              <w:tc>
                <w:tcPr>
                  <w:tcW w:w="1640" w:type="dxa"/>
                  <w:tcBorders>
                    <w:tl2br w:val="nil"/>
                    <w:tr2bl w:val="nil"/>
                  </w:tcBorders>
                </w:tcPr>
                <w:p w14:paraId="3751F72C">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034F847E">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30.6</w:t>
                  </w:r>
                </w:p>
              </w:tc>
            </w:tr>
            <w:tr w14:paraId="3DB934D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211F25E1">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空气干燥基挥发分</w:t>
                  </w:r>
                </w:p>
              </w:tc>
              <w:tc>
                <w:tcPr>
                  <w:tcW w:w="1770" w:type="dxa"/>
                  <w:tcBorders>
                    <w:tl2br w:val="nil"/>
                    <w:tr2bl w:val="nil"/>
                  </w:tcBorders>
                </w:tcPr>
                <w:p w14:paraId="14A1D5F4">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 xml:space="preserve"> </w:t>
                  </w:r>
                  <w:r>
                    <w:rPr>
                      <w:rFonts w:hint="eastAsia" w:eastAsia="宋体"/>
                      <w:b w:val="0"/>
                      <w:bCs/>
                      <w:color w:val="000000" w:themeColor="text1"/>
                      <w:highlight w:val="none"/>
                      <w:vertAlign w:val="baseline"/>
                      <w14:textFill>
                        <w14:solidFill>
                          <w14:schemeClr w14:val="tx1"/>
                        </w14:solidFill>
                      </w14:textFill>
                    </w:rPr>
                    <w:t>Vad</w:t>
                  </w:r>
                </w:p>
              </w:tc>
              <w:tc>
                <w:tcPr>
                  <w:tcW w:w="1640" w:type="dxa"/>
                  <w:tcBorders>
                    <w:tl2br w:val="nil"/>
                    <w:tr2bl w:val="nil"/>
                  </w:tcBorders>
                </w:tcPr>
                <w:p w14:paraId="0A3875FC">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1798B3D8">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13.77</w:t>
                  </w:r>
                </w:p>
              </w:tc>
            </w:tr>
            <w:tr w14:paraId="751C31F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4601114C">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干燥无灰基挥发分</w:t>
                  </w:r>
                  <w:r>
                    <w:rPr>
                      <w:rFonts w:hint="eastAsia"/>
                      <w:b w:val="0"/>
                      <w:bCs/>
                      <w:color w:val="000000" w:themeColor="text1"/>
                      <w:highlight w:val="none"/>
                      <w:vertAlign w:val="baseline"/>
                      <w:lang w:val="en-US" w:eastAsia="zh-CN"/>
                      <w14:textFill>
                        <w14:solidFill>
                          <w14:schemeClr w14:val="tx1"/>
                        </w14:solidFill>
                      </w14:textFill>
                    </w:rPr>
                    <w:t xml:space="preserve"> </w:t>
                  </w:r>
                </w:p>
              </w:tc>
              <w:tc>
                <w:tcPr>
                  <w:tcW w:w="1770" w:type="dxa"/>
                  <w:tcBorders>
                    <w:tl2br w:val="nil"/>
                    <w:tr2bl w:val="nil"/>
                  </w:tcBorders>
                </w:tcPr>
                <w:p w14:paraId="0F031D61">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Vdaf</w:t>
                  </w:r>
                </w:p>
              </w:tc>
              <w:tc>
                <w:tcPr>
                  <w:tcW w:w="1640" w:type="dxa"/>
                  <w:tcBorders>
                    <w:tl2br w:val="nil"/>
                    <w:tr2bl w:val="nil"/>
                  </w:tcBorders>
                </w:tcPr>
                <w:p w14:paraId="0D673A49">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2CD7DF64">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80.46</w:t>
                  </w:r>
                </w:p>
              </w:tc>
            </w:tr>
            <w:tr w14:paraId="701C918D">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52CC2F71">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空气干燥基灰分</w:t>
                  </w:r>
                </w:p>
              </w:tc>
              <w:tc>
                <w:tcPr>
                  <w:tcW w:w="1770" w:type="dxa"/>
                  <w:tcBorders>
                    <w:tl2br w:val="nil"/>
                    <w:tr2bl w:val="nil"/>
                  </w:tcBorders>
                </w:tcPr>
                <w:p w14:paraId="16CFB96B">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Aad</w:t>
                  </w:r>
                </w:p>
              </w:tc>
              <w:tc>
                <w:tcPr>
                  <w:tcW w:w="1640" w:type="dxa"/>
                  <w:tcBorders>
                    <w:tl2br w:val="nil"/>
                    <w:tr2bl w:val="nil"/>
                  </w:tcBorders>
                </w:tcPr>
                <w:p w14:paraId="63208B2B">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32E37D96">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5.18</w:t>
                  </w:r>
                </w:p>
              </w:tc>
            </w:tr>
            <w:tr w14:paraId="373B5F8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2496C5E0">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收到基灰分</w:t>
                  </w:r>
                </w:p>
              </w:tc>
              <w:tc>
                <w:tcPr>
                  <w:tcW w:w="1770" w:type="dxa"/>
                  <w:tcBorders>
                    <w:tl2br w:val="nil"/>
                    <w:tr2bl w:val="nil"/>
                  </w:tcBorders>
                </w:tcPr>
                <w:p w14:paraId="0F0B6404">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Aar</w:t>
                  </w:r>
                </w:p>
              </w:tc>
              <w:tc>
                <w:tcPr>
                  <w:tcW w:w="1640" w:type="dxa"/>
                  <w:tcBorders>
                    <w:tl2br w:val="nil"/>
                    <w:tr2bl w:val="nil"/>
                  </w:tcBorders>
                </w:tcPr>
                <w:p w14:paraId="6F264AEE">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0A2C9C44">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3.71</w:t>
                  </w:r>
                </w:p>
              </w:tc>
            </w:tr>
            <w:tr w14:paraId="3CD6A9DE">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0B6941C7">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空气干燥基全硫</w:t>
                  </w:r>
                </w:p>
              </w:tc>
              <w:tc>
                <w:tcPr>
                  <w:tcW w:w="1770" w:type="dxa"/>
                  <w:tcBorders>
                    <w:tl2br w:val="nil"/>
                    <w:tr2bl w:val="nil"/>
                  </w:tcBorders>
                </w:tcPr>
                <w:p w14:paraId="3230C10A">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St</w:t>
                  </w:r>
                  <w:r>
                    <w:rPr>
                      <w:rFonts w:hint="eastAsia"/>
                      <w:b w:val="0"/>
                      <w:bCs/>
                      <w:color w:val="000000" w:themeColor="text1"/>
                      <w:highlight w:val="none"/>
                      <w:vertAlign w:val="baseline"/>
                      <w:lang w:val="en-US" w:eastAsia="zh-CN"/>
                      <w14:textFill>
                        <w14:solidFill>
                          <w14:schemeClr w14:val="tx1"/>
                        </w14:solidFill>
                      </w14:textFill>
                    </w:rPr>
                    <w:t>,</w:t>
                  </w:r>
                  <w:r>
                    <w:rPr>
                      <w:rFonts w:hint="eastAsia" w:eastAsia="宋体"/>
                      <w:b w:val="0"/>
                      <w:bCs/>
                      <w:color w:val="000000" w:themeColor="text1"/>
                      <w:highlight w:val="none"/>
                      <w:vertAlign w:val="baseline"/>
                      <w14:textFill>
                        <w14:solidFill>
                          <w14:schemeClr w14:val="tx1"/>
                        </w14:solidFill>
                      </w14:textFill>
                    </w:rPr>
                    <w:t>ad</w:t>
                  </w:r>
                </w:p>
              </w:tc>
              <w:tc>
                <w:tcPr>
                  <w:tcW w:w="1640" w:type="dxa"/>
                  <w:tcBorders>
                    <w:tl2br w:val="nil"/>
                    <w:tr2bl w:val="nil"/>
                  </w:tcBorders>
                </w:tcPr>
                <w:p w14:paraId="38F8611B">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7828F1D9">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0.04</w:t>
                  </w:r>
                </w:p>
              </w:tc>
            </w:tr>
            <w:tr w14:paraId="646A3AFF">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c>
                <w:tcPr>
                  <w:tcW w:w="2353" w:type="dxa"/>
                  <w:tcBorders>
                    <w:tl2br w:val="nil"/>
                    <w:tr2bl w:val="nil"/>
                  </w:tcBorders>
                </w:tcPr>
                <w:p w14:paraId="756740EB">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收到基全硫</w:t>
                  </w:r>
                </w:p>
              </w:tc>
              <w:tc>
                <w:tcPr>
                  <w:tcW w:w="1770" w:type="dxa"/>
                  <w:tcBorders>
                    <w:tl2br w:val="nil"/>
                    <w:tr2bl w:val="nil"/>
                  </w:tcBorders>
                </w:tcPr>
                <w:p w14:paraId="2CA4812E">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 xml:space="preserve"> </w:t>
                  </w:r>
                  <w:r>
                    <w:rPr>
                      <w:rFonts w:hint="eastAsia" w:eastAsia="宋体"/>
                      <w:b w:val="0"/>
                      <w:bCs/>
                      <w:color w:val="000000" w:themeColor="text1"/>
                      <w:highlight w:val="none"/>
                      <w:vertAlign w:val="baseline"/>
                      <w14:textFill>
                        <w14:solidFill>
                          <w14:schemeClr w14:val="tx1"/>
                        </w14:solidFill>
                      </w14:textFill>
                    </w:rPr>
                    <w:t>St,ar</w:t>
                  </w:r>
                </w:p>
              </w:tc>
              <w:tc>
                <w:tcPr>
                  <w:tcW w:w="1640" w:type="dxa"/>
                  <w:tcBorders>
                    <w:tl2br w:val="nil"/>
                    <w:tr2bl w:val="nil"/>
                  </w:tcBorders>
                </w:tcPr>
                <w:p w14:paraId="71F27F60">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w:t>
                  </w:r>
                </w:p>
              </w:tc>
              <w:tc>
                <w:tcPr>
                  <w:tcW w:w="2257" w:type="dxa"/>
                  <w:tcBorders>
                    <w:tl2br w:val="nil"/>
                    <w:tr2bl w:val="nil"/>
                  </w:tcBorders>
                </w:tcPr>
                <w:p w14:paraId="434841E2">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0.03</w:t>
                  </w:r>
                </w:p>
              </w:tc>
            </w:tr>
            <w:tr w14:paraId="19A8AFB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353" w:type="dxa"/>
                  <w:vMerge w:val="restart"/>
                  <w:tcBorders>
                    <w:tl2br w:val="nil"/>
                    <w:tr2bl w:val="nil"/>
                  </w:tcBorders>
                </w:tcPr>
                <w:p w14:paraId="4F528D97">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空气干燥基高位发热量</w:t>
                  </w:r>
                </w:p>
              </w:tc>
              <w:tc>
                <w:tcPr>
                  <w:tcW w:w="1770" w:type="dxa"/>
                  <w:vMerge w:val="restart"/>
                  <w:tcBorders>
                    <w:tl2br w:val="nil"/>
                    <w:tr2bl w:val="nil"/>
                  </w:tcBorders>
                </w:tcPr>
                <w:p w14:paraId="198F5EF5">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Qgr</w:t>
                  </w:r>
                  <w:r>
                    <w:rPr>
                      <w:rFonts w:hint="eastAsia"/>
                      <w:b w:val="0"/>
                      <w:bCs/>
                      <w:color w:val="000000" w:themeColor="text1"/>
                      <w:highlight w:val="none"/>
                      <w:vertAlign w:val="baseline"/>
                      <w:lang w:val="en-US" w:eastAsia="zh-CN"/>
                      <w14:textFill>
                        <w14:solidFill>
                          <w14:schemeClr w14:val="tx1"/>
                        </w14:solidFill>
                      </w14:textFill>
                    </w:rPr>
                    <w:t>,</w:t>
                  </w:r>
                  <w:r>
                    <w:rPr>
                      <w:rFonts w:hint="eastAsia" w:eastAsia="宋体"/>
                      <w:b w:val="0"/>
                      <w:bCs/>
                      <w:color w:val="000000" w:themeColor="text1"/>
                      <w:highlight w:val="none"/>
                      <w:vertAlign w:val="baseline"/>
                      <w14:textFill>
                        <w14:solidFill>
                          <w14:schemeClr w14:val="tx1"/>
                        </w14:solidFill>
                      </w14:textFill>
                    </w:rPr>
                    <w:t>ad</w:t>
                  </w:r>
                </w:p>
              </w:tc>
              <w:tc>
                <w:tcPr>
                  <w:tcW w:w="1640" w:type="dxa"/>
                  <w:tcBorders>
                    <w:tl2br w:val="nil"/>
                    <w:tr2bl w:val="nil"/>
                  </w:tcBorders>
                </w:tcPr>
                <w:p w14:paraId="64FC8CA6">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MJ/kg</w:t>
                  </w:r>
                </w:p>
              </w:tc>
              <w:tc>
                <w:tcPr>
                  <w:tcW w:w="2257" w:type="dxa"/>
                  <w:tcBorders>
                    <w:tl2br w:val="nil"/>
                    <w:tr2bl w:val="nil"/>
                  </w:tcBorders>
                </w:tcPr>
                <w:p w14:paraId="4D37BA3D">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19.75</w:t>
                  </w:r>
                </w:p>
              </w:tc>
            </w:tr>
            <w:tr w14:paraId="7725714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353" w:type="dxa"/>
                  <w:vMerge w:val="continue"/>
                  <w:tcBorders>
                    <w:tl2br w:val="nil"/>
                    <w:tr2bl w:val="nil"/>
                  </w:tcBorders>
                </w:tcPr>
                <w:p w14:paraId="05A4A9EA">
                  <w:pPr>
                    <w:pStyle w:val="155"/>
                    <w:keepNext w:val="0"/>
                    <w:keepLines w:val="0"/>
                    <w:suppressLineNumbers w:val="0"/>
                    <w:spacing w:before="0" w:beforeAutospacing="0" w:after="0" w:afterAutospacing="0" w:line="240" w:lineRule="auto"/>
                    <w:ind w:left="0" w:right="0"/>
                    <w:rPr>
                      <w:rFonts w:hint="default"/>
                      <w:b w:val="0"/>
                      <w:bCs/>
                      <w:highlight w:val="none"/>
                    </w:rPr>
                  </w:pPr>
                </w:p>
              </w:tc>
              <w:tc>
                <w:tcPr>
                  <w:tcW w:w="1770" w:type="dxa"/>
                  <w:vMerge w:val="continue"/>
                  <w:tcBorders>
                    <w:tl2br w:val="nil"/>
                    <w:tr2bl w:val="nil"/>
                  </w:tcBorders>
                </w:tcPr>
                <w:p w14:paraId="78F67528">
                  <w:pPr>
                    <w:pStyle w:val="155"/>
                    <w:keepNext w:val="0"/>
                    <w:keepLines w:val="0"/>
                    <w:suppressLineNumbers w:val="0"/>
                    <w:spacing w:before="0" w:beforeAutospacing="0" w:after="0" w:afterAutospacing="0" w:line="240" w:lineRule="auto"/>
                    <w:ind w:left="0" w:right="0"/>
                    <w:rPr>
                      <w:rFonts w:hint="default"/>
                      <w:b w:val="0"/>
                      <w:bCs/>
                      <w:highlight w:val="none"/>
                    </w:rPr>
                  </w:pPr>
                </w:p>
              </w:tc>
              <w:tc>
                <w:tcPr>
                  <w:tcW w:w="1640" w:type="dxa"/>
                  <w:tcBorders>
                    <w:tl2br w:val="nil"/>
                    <w:tr2bl w:val="nil"/>
                  </w:tcBorders>
                </w:tcPr>
                <w:p w14:paraId="276B2584">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kc/kg</w:t>
                  </w:r>
                </w:p>
              </w:tc>
              <w:tc>
                <w:tcPr>
                  <w:tcW w:w="2257" w:type="dxa"/>
                  <w:tcBorders>
                    <w:tl2br w:val="nil"/>
                    <w:tr2bl w:val="nil"/>
                  </w:tcBorders>
                </w:tcPr>
                <w:p w14:paraId="704B5D84">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4726</w:t>
                  </w:r>
                </w:p>
              </w:tc>
            </w:tr>
            <w:tr w14:paraId="02F0DBA3">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353" w:type="dxa"/>
                  <w:vMerge w:val="restart"/>
                  <w:tcBorders>
                    <w:tl2br w:val="nil"/>
                    <w:tr2bl w:val="nil"/>
                  </w:tcBorders>
                </w:tcPr>
                <w:p w14:paraId="2A362465">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lang w:val="en-US" w:eastAsia="zh-CN"/>
                      <w14:textFill>
                        <w14:solidFill>
                          <w14:schemeClr w14:val="tx1"/>
                        </w14:solidFill>
                      </w14:textFill>
                    </w:rPr>
                  </w:pPr>
                  <w:r>
                    <w:rPr>
                      <w:rFonts w:hint="eastAsia" w:eastAsia="宋体"/>
                      <w:b w:val="0"/>
                      <w:bCs/>
                      <w:color w:val="000000" w:themeColor="text1"/>
                      <w:highlight w:val="none"/>
                      <w:vertAlign w:val="baseline"/>
                      <w14:textFill>
                        <w14:solidFill>
                          <w14:schemeClr w14:val="tx1"/>
                        </w14:solidFill>
                      </w14:textFill>
                    </w:rPr>
                    <w:t>收到基低位发热量</w:t>
                  </w:r>
                  <w:r>
                    <w:rPr>
                      <w:rFonts w:hint="eastAsia"/>
                      <w:b w:val="0"/>
                      <w:bCs/>
                      <w:color w:val="000000" w:themeColor="text1"/>
                      <w:highlight w:val="none"/>
                      <w:vertAlign w:val="baseline"/>
                      <w:lang w:val="en-US" w:eastAsia="zh-CN"/>
                      <w14:textFill>
                        <w14:solidFill>
                          <w14:schemeClr w14:val="tx1"/>
                        </w14:solidFill>
                      </w14:textFill>
                    </w:rPr>
                    <w:t xml:space="preserve"> </w:t>
                  </w:r>
                </w:p>
              </w:tc>
              <w:tc>
                <w:tcPr>
                  <w:tcW w:w="1770" w:type="dxa"/>
                  <w:vMerge w:val="restart"/>
                  <w:tcBorders>
                    <w:tl2br w:val="nil"/>
                    <w:tr2bl w:val="nil"/>
                  </w:tcBorders>
                </w:tcPr>
                <w:p w14:paraId="6878E011">
                  <w:pPr>
                    <w:pStyle w:val="155"/>
                    <w:keepNext w:val="0"/>
                    <w:keepLines w:val="0"/>
                    <w:suppressLineNumbers w:val="0"/>
                    <w:spacing w:before="0" w:beforeAutospacing="0" w:after="0" w:afterAutospacing="0" w:line="240" w:lineRule="auto"/>
                    <w:ind w:left="0" w:right="0"/>
                    <w:rPr>
                      <w:rFonts w:hint="eastAsia" w:eastAsia="宋体"/>
                      <w:b w:val="0"/>
                      <w:bCs/>
                      <w:color w:val="000000" w:themeColor="text1"/>
                      <w:highlight w:val="none"/>
                      <w:vertAlign w:val="baseline"/>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Qnet,ar</w:t>
                  </w:r>
                </w:p>
              </w:tc>
              <w:tc>
                <w:tcPr>
                  <w:tcW w:w="1640" w:type="dxa"/>
                  <w:tcBorders>
                    <w:tl2br w:val="nil"/>
                    <w:tr2bl w:val="nil"/>
                  </w:tcBorders>
                  <w:vAlign w:val="top"/>
                </w:tcPr>
                <w:p w14:paraId="5D6E36F3">
                  <w:pPr>
                    <w:pStyle w:val="155"/>
                    <w:keepNext w:val="0"/>
                    <w:keepLines w:val="0"/>
                    <w:suppressLineNumbers w:val="0"/>
                    <w:spacing w:before="0" w:beforeAutospacing="0" w:after="0" w:afterAutospacing="0" w:line="240" w:lineRule="auto"/>
                    <w:ind w:left="0" w:right="0" w:rightChars="0"/>
                    <w:rPr>
                      <w:rFonts w:hint="eastAsia" w:eastAsia="宋体"/>
                      <w:b w:val="0"/>
                      <w:bCs/>
                      <w:color w:val="000000" w:themeColor="text1"/>
                      <w:highlight w:val="none"/>
                      <w:vertAlign w:val="baseline"/>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MJ/kg</w:t>
                  </w:r>
                </w:p>
              </w:tc>
              <w:tc>
                <w:tcPr>
                  <w:tcW w:w="2257" w:type="dxa"/>
                  <w:tcBorders>
                    <w:tl2br w:val="nil"/>
                    <w:tr2bl w:val="nil"/>
                  </w:tcBorders>
                </w:tcPr>
                <w:p w14:paraId="1A8C43F4">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17.25</w:t>
                  </w:r>
                </w:p>
              </w:tc>
            </w:tr>
            <w:tr w14:paraId="022F93C9">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353" w:type="dxa"/>
                  <w:vMerge w:val="continue"/>
                  <w:tcBorders>
                    <w:tl2br w:val="nil"/>
                    <w:tr2bl w:val="nil"/>
                  </w:tcBorders>
                </w:tcPr>
                <w:p w14:paraId="52A5C66A">
                  <w:pPr>
                    <w:pStyle w:val="155"/>
                    <w:keepNext w:val="0"/>
                    <w:keepLines w:val="0"/>
                    <w:suppressLineNumbers w:val="0"/>
                    <w:spacing w:before="0" w:beforeAutospacing="0" w:after="0" w:afterAutospacing="0" w:line="240" w:lineRule="auto"/>
                    <w:ind w:left="0" w:right="0"/>
                    <w:rPr>
                      <w:rFonts w:hint="default"/>
                      <w:b w:val="0"/>
                      <w:bCs/>
                      <w:highlight w:val="none"/>
                    </w:rPr>
                  </w:pPr>
                </w:p>
              </w:tc>
              <w:tc>
                <w:tcPr>
                  <w:tcW w:w="1770" w:type="dxa"/>
                  <w:vMerge w:val="continue"/>
                  <w:tcBorders>
                    <w:tl2br w:val="nil"/>
                    <w:tr2bl w:val="nil"/>
                  </w:tcBorders>
                </w:tcPr>
                <w:p w14:paraId="76328D05">
                  <w:pPr>
                    <w:pStyle w:val="155"/>
                    <w:keepNext w:val="0"/>
                    <w:keepLines w:val="0"/>
                    <w:suppressLineNumbers w:val="0"/>
                    <w:spacing w:before="0" w:beforeAutospacing="0" w:after="0" w:afterAutospacing="0" w:line="240" w:lineRule="auto"/>
                    <w:ind w:left="0" w:right="0"/>
                    <w:rPr>
                      <w:rFonts w:hint="default"/>
                      <w:b w:val="0"/>
                      <w:bCs/>
                      <w:highlight w:val="none"/>
                    </w:rPr>
                  </w:pPr>
                </w:p>
              </w:tc>
              <w:tc>
                <w:tcPr>
                  <w:tcW w:w="1640" w:type="dxa"/>
                  <w:tcBorders>
                    <w:tl2br w:val="nil"/>
                    <w:tr2bl w:val="nil"/>
                  </w:tcBorders>
                  <w:vAlign w:val="top"/>
                </w:tcPr>
                <w:p w14:paraId="2099C5C9">
                  <w:pPr>
                    <w:pStyle w:val="155"/>
                    <w:keepNext w:val="0"/>
                    <w:keepLines w:val="0"/>
                    <w:suppressLineNumbers w:val="0"/>
                    <w:spacing w:before="0" w:beforeAutospacing="0" w:after="0" w:afterAutospacing="0" w:line="240" w:lineRule="auto"/>
                    <w:ind w:left="0" w:right="0" w:rightChars="0"/>
                    <w:rPr>
                      <w:rFonts w:hint="eastAsia" w:eastAsia="宋体"/>
                      <w:b w:val="0"/>
                      <w:bCs/>
                      <w:color w:val="000000" w:themeColor="text1"/>
                      <w:highlight w:val="none"/>
                      <w:vertAlign w:val="baseline"/>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kc/kg</w:t>
                  </w:r>
                </w:p>
              </w:tc>
              <w:tc>
                <w:tcPr>
                  <w:tcW w:w="2257" w:type="dxa"/>
                  <w:tcBorders>
                    <w:tl2br w:val="nil"/>
                    <w:tr2bl w:val="nil"/>
                  </w:tcBorders>
                </w:tcPr>
                <w:p w14:paraId="1C10AF0E">
                  <w:pPr>
                    <w:pStyle w:val="155"/>
                    <w:keepNext w:val="0"/>
                    <w:keepLines w:val="0"/>
                    <w:suppressLineNumbers w:val="0"/>
                    <w:spacing w:before="0" w:beforeAutospacing="0" w:after="0" w:afterAutospacing="0" w:line="240" w:lineRule="auto"/>
                    <w:ind w:left="0" w:right="0"/>
                    <w:rPr>
                      <w:rFonts w:hint="default" w:eastAsia="宋体"/>
                      <w:b w:val="0"/>
                      <w:bCs/>
                      <w:color w:val="000000" w:themeColor="text1"/>
                      <w:highlight w:val="none"/>
                      <w:vertAlign w:val="baseline"/>
                      <w:lang w:val="en-US" w:eastAsia="zh-CN"/>
                      <w14:textFill>
                        <w14:solidFill>
                          <w14:schemeClr w14:val="tx1"/>
                        </w14:solidFill>
                      </w14:textFill>
                    </w:rPr>
                  </w:pPr>
                  <w:r>
                    <w:rPr>
                      <w:rFonts w:hint="eastAsia"/>
                      <w:b w:val="0"/>
                      <w:bCs/>
                      <w:color w:val="000000" w:themeColor="text1"/>
                      <w:highlight w:val="none"/>
                      <w:vertAlign w:val="baseline"/>
                      <w:lang w:val="en-US" w:eastAsia="zh-CN"/>
                      <w14:textFill>
                        <w14:solidFill>
                          <w14:schemeClr w14:val="tx1"/>
                        </w14:solidFill>
                      </w14:textFill>
                    </w:rPr>
                    <w:t>4193</w:t>
                  </w:r>
                </w:p>
              </w:tc>
            </w:tr>
          </w:tbl>
          <w:p w14:paraId="143AA565">
            <w:pPr>
              <w:pStyle w:val="155"/>
              <w:keepNext w:val="0"/>
              <w:keepLines w:val="0"/>
              <w:suppressLineNumbers w:val="0"/>
              <w:spacing w:before="0" w:beforeAutospacing="0" w:after="0" w:afterAutospacing="0" w:line="240" w:lineRule="auto"/>
              <w:ind w:left="0" w:right="0"/>
              <w:jc w:val="center"/>
              <w:rPr>
                <w:rFonts w:hint="default"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w:t>
            </w:r>
            <w:r>
              <w:rPr>
                <w:rFonts w:hint="eastAsia" w:eastAsia="宋体"/>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玉米烘干</w:t>
            </w:r>
            <w:r>
              <w:rPr>
                <w:rFonts w:hint="eastAsia" w:eastAsia="宋体"/>
                <w:color w:val="000000" w:themeColor="text1"/>
                <w:highlight w:val="none"/>
                <w14:textFill>
                  <w14:solidFill>
                    <w14:schemeClr w14:val="tx1"/>
                  </w14:solidFill>
                </w14:textFill>
              </w:rPr>
              <w:t>物料平衡表</w:t>
            </w:r>
          </w:p>
          <w:tbl>
            <w:tblPr>
              <w:tblStyle w:val="33"/>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1192"/>
              <w:gridCol w:w="2879"/>
              <w:gridCol w:w="1846"/>
            </w:tblGrid>
            <w:tr w14:paraId="2A2485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tcBorders>
                    <w:left w:val="nil"/>
                    <w:bottom w:val="single" w:color="auto" w:sz="4" w:space="0"/>
                    <w:right w:val="single" w:color="auto" w:sz="4" w:space="0"/>
                  </w:tcBorders>
                  <w:vAlign w:val="center"/>
                </w:tcPr>
                <w:p w14:paraId="3D4756BD">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原料</w:t>
                  </w:r>
                </w:p>
              </w:tc>
              <w:tc>
                <w:tcPr>
                  <w:tcW w:w="743" w:type="pct"/>
                  <w:tcBorders>
                    <w:left w:val="single" w:color="auto" w:sz="4" w:space="0"/>
                    <w:bottom w:val="single" w:color="auto" w:sz="4" w:space="0"/>
                    <w:right w:val="single" w:color="auto" w:sz="4" w:space="0"/>
                  </w:tcBorders>
                  <w:vAlign w:val="center"/>
                </w:tcPr>
                <w:p w14:paraId="05A06B88">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进料量（t/a）</w:t>
                  </w:r>
                </w:p>
              </w:tc>
              <w:tc>
                <w:tcPr>
                  <w:tcW w:w="1795" w:type="pct"/>
                  <w:tcBorders>
                    <w:left w:val="single" w:color="auto" w:sz="4" w:space="0"/>
                    <w:bottom w:val="single" w:color="auto" w:sz="4" w:space="0"/>
                    <w:right w:val="single" w:color="auto" w:sz="4" w:space="0"/>
                  </w:tcBorders>
                  <w:vAlign w:val="center"/>
                </w:tcPr>
                <w:p w14:paraId="3181B618">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产生</w:t>
                  </w:r>
                </w:p>
              </w:tc>
              <w:tc>
                <w:tcPr>
                  <w:tcW w:w="1151" w:type="pct"/>
                  <w:tcBorders>
                    <w:left w:val="single" w:color="auto" w:sz="4" w:space="0"/>
                    <w:bottom w:val="single" w:color="auto" w:sz="4" w:space="0"/>
                    <w:right w:val="nil"/>
                  </w:tcBorders>
                  <w:vAlign w:val="center"/>
                </w:tcPr>
                <w:p w14:paraId="375DC257">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产生量（t/a）</w:t>
                  </w:r>
                </w:p>
              </w:tc>
            </w:tr>
            <w:tr w14:paraId="64E618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restart"/>
                  <w:tcBorders>
                    <w:top w:val="single" w:color="auto" w:sz="4" w:space="0"/>
                    <w:left w:val="nil"/>
                    <w:right w:val="single" w:color="auto" w:sz="4" w:space="0"/>
                  </w:tcBorders>
                  <w:vAlign w:val="center"/>
                </w:tcPr>
                <w:p w14:paraId="6DD6D854">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新增玉米</w:t>
                  </w:r>
                  <w:r>
                    <w:rPr>
                      <w:rFonts w:hint="default" w:ascii="Times New Roman" w:hAnsi="Times New Roman" w:eastAsia="宋体" w:cs="Times New Roman"/>
                      <w:color w:val="000000" w:themeColor="text1"/>
                      <w:kern w:val="0"/>
                      <w:sz w:val="18"/>
                      <w:szCs w:val="18"/>
                      <w:highlight w:val="none"/>
                      <w:lang w:val="fr-FR" w:eastAsia="zh-CN" w:bidi="ar-SA"/>
                      <w14:textFill>
                        <w14:solidFill>
                          <w14:schemeClr w14:val="tx1"/>
                        </w14:solidFill>
                      </w14:textFill>
                    </w:rPr>
                    <w:t>（</w:t>
                  </w: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含水率</w:t>
                  </w:r>
                  <w:r>
                    <w:rPr>
                      <w:rFonts w:hint="eastAsia" w:cs="Times New Roman"/>
                      <w:color w:val="000000" w:themeColor="text1"/>
                      <w:kern w:val="0"/>
                      <w:sz w:val="18"/>
                      <w:szCs w:val="18"/>
                      <w:highlight w:val="none"/>
                      <w:lang w:val="en-US" w:eastAsia="zh-CN" w:bidi="ar-SA"/>
                      <w14:textFill>
                        <w14:solidFill>
                          <w14:schemeClr w14:val="tx1"/>
                        </w14:solidFill>
                      </w14:textFill>
                    </w:rPr>
                    <w:t>3</w:t>
                  </w:r>
                  <w:r>
                    <w:rPr>
                      <w:rFonts w:hint="eastAsia" w:ascii="Times New Roman" w:hAnsi="Times New Roman" w:cs="Times New Roman"/>
                      <w:color w:val="000000" w:themeColor="text1"/>
                      <w:kern w:val="0"/>
                      <w:sz w:val="18"/>
                      <w:szCs w:val="18"/>
                      <w:highlight w:val="none"/>
                      <w:lang w:val="en-US" w:eastAsia="zh-CN" w:bidi="ar-SA"/>
                      <w14:textFill>
                        <w14:solidFill>
                          <w14:schemeClr w14:val="tx1"/>
                        </w14:solidFill>
                      </w14:textFill>
                    </w:rPr>
                    <w:t>0</w:t>
                  </w: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18"/>
                      <w:szCs w:val="18"/>
                      <w:highlight w:val="none"/>
                      <w:lang w:val="fr-FR" w:eastAsia="zh-CN" w:bidi="ar-SA"/>
                      <w14:textFill>
                        <w14:solidFill>
                          <w14:schemeClr w14:val="tx1"/>
                        </w14:solidFill>
                      </w14:textFill>
                    </w:rPr>
                    <w:t>）</w:t>
                  </w:r>
                </w:p>
              </w:tc>
              <w:tc>
                <w:tcPr>
                  <w:tcW w:w="743" w:type="pct"/>
                  <w:vMerge w:val="restart"/>
                  <w:tcBorders>
                    <w:top w:val="single" w:color="auto" w:sz="4" w:space="0"/>
                    <w:left w:val="single" w:color="auto" w:sz="4" w:space="0"/>
                    <w:right w:val="single" w:color="auto" w:sz="4" w:space="0"/>
                  </w:tcBorders>
                  <w:vAlign w:val="center"/>
                </w:tcPr>
                <w:p w14:paraId="7DEFBF32">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20000</w:t>
                  </w:r>
                </w:p>
              </w:tc>
              <w:tc>
                <w:tcPr>
                  <w:tcW w:w="1795" w:type="pct"/>
                  <w:tcBorders>
                    <w:top w:val="single" w:color="auto" w:sz="4" w:space="0"/>
                    <w:left w:val="single" w:color="auto" w:sz="4" w:space="0"/>
                    <w:bottom w:val="single" w:color="auto" w:sz="4" w:space="0"/>
                    <w:right w:val="single" w:color="auto" w:sz="4" w:space="0"/>
                  </w:tcBorders>
                  <w:vAlign w:val="center"/>
                </w:tcPr>
                <w:p w14:paraId="7C91A2CB">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玉米</w:t>
                  </w: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（烘干后含水率为</w:t>
                  </w:r>
                  <w:r>
                    <w:rPr>
                      <w:rFonts w:hint="eastAsia" w:eastAsia="宋体" w:cs="Times New Roman"/>
                      <w:color w:val="000000" w:themeColor="text1"/>
                      <w:kern w:val="0"/>
                      <w:sz w:val="18"/>
                      <w:szCs w:val="18"/>
                      <w:highlight w:val="none"/>
                      <w:lang w:val="en-US" w:eastAsia="zh-CN" w:bidi="ar-SA"/>
                      <w14:textFill>
                        <w14:solidFill>
                          <w14:schemeClr w14:val="tx1"/>
                        </w14:solidFill>
                      </w14:textFill>
                    </w:rPr>
                    <w:t>1</w:t>
                  </w:r>
                  <w:r>
                    <w:rPr>
                      <w:rFonts w:hint="eastAsia" w:cs="Times New Roman"/>
                      <w:color w:val="000000" w:themeColor="text1"/>
                      <w:kern w:val="0"/>
                      <w:sz w:val="18"/>
                      <w:szCs w:val="18"/>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w:t>
                  </w:r>
                </w:p>
              </w:tc>
              <w:tc>
                <w:tcPr>
                  <w:tcW w:w="1151" w:type="pct"/>
                  <w:tcBorders>
                    <w:top w:val="single" w:color="auto" w:sz="4" w:space="0"/>
                    <w:left w:val="single" w:color="auto" w:sz="4" w:space="0"/>
                    <w:bottom w:val="single" w:color="auto" w:sz="4" w:space="0"/>
                    <w:right w:val="nil"/>
                  </w:tcBorders>
                  <w:vAlign w:val="center"/>
                </w:tcPr>
                <w:p w14:paraId="4220B4F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16245.073</w:t>
                  </w:r>
                </w:p>
              </w:tc>
            </w:tr>
            <w:tr w14:paraId="572B1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54C2BB9E">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58A6B87F">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060888C5">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蒸发水分</w:t>
                  </w:r>
                </w:p>
              </w:tc>
              <w:tc>
                <w:tcPr>
                  <w:tcW w:w="1151" w:type="pct"/>
                  <w:tcBorders>
                    <w:top w:val="single" w:color="auto" w:sz="4" w:space="0"/>
                    <w:left w:val="single" w:color="auto" w:sz="4" w:space="0"/>
                    <w:bottom w:val="single" w:color="auto" w:sz="4" w:space="0"/>
                    <w:right w:val="nil"/>
                  </w:tcBorders>
                  <w:vAlign w:val="center"/>
                </w:tcPr>
                <w:p w14:paraId="6A0F336A">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3720.93</w:t>
                  </w:r>
                </w:p>
              </w:tc>
            </w:tr>
            <w:tr w14:paraId="6F9FA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5C41C879">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33064CF1">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460A5143">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无组织粉尘</w:t>
                  </w:r>
                </w:p>
              </w:tc>
              <w:tc>
                <w:tcPr>
                  <w:tcW w:w="1151" w:type="pct"/>
                  <w:tcBorders>
                    <w:top w:val="single" w:color="auto" w:sz="4" w:space="0"/>
                    <w:left w:val="single" w:color="auto" w:sz="4" w:space="0"/>
                    <w:bottom w:val="single" w:color="auto" w:sz="4" w:space="0"/>
                    <w:right w:val="nil"/>
                  </w:tcBorders>
                  <w:vAlign w:val="center"/>
                </w:tcPr>
                <w:p w14:paraId="75A8B51E">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0.7</w:t>
                  </w:r>
                </w:p>
              </w:tc>
            </w:tr>
            <w:tr w14:paraId="345CF5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310" w:type="pct"/>
                  <w:vMerge w:val="continue"/>
                  <w:tcBorders>
                    <w:left w:val="nil"/>
                    <w:right w:val="single" w:color="auto" w:sz="4" w:space="0"/>
                  </w:tcBorders>
                  <w:vAlign w:val="center"/>
                </w:tcPr>
                <w:p w14:paraId="24A5463E">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743" w:type="pct"/>
                  <w:vMerge w:val="continue"/>
                  <w:tcBorders>
                    <w:left w:val="single" w:color="auto" w:sz="4" w:space="0"/>
                    <w:right w:val="single" w:color="auto" w:sz="4" w:space="0"/>
                  </w:tcBorders>
                  <w:vAlign w:val="center"/>
                </w:tcPr>
                <w:p w14:paraId="3B1F05D3">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795" w:type="pct"/>
                  <w:tcBorders>
                    <w:top w:val="single" w:color="auto" w:sz="4" w:space="0"/>
                    <w:left w:val="single" w:color="auto" w:sz="4" w:space="0"/>
                    <w:bottom w:val="single" w:color="auto" w:sz="4" w:space="0"/>
                    <w:right w:val="single" w:color="auto" w:sz="4" w:space="0"/>
                  </w:tcBorders>
                  <w:vAlign w:val="center"/>
                </w:tcPr>
                <w:p w14:paraId="49EBF2C6">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18"/>
                      <w:szCs w:val="18"/>
                      <w:highlight w:val="none"/>
                      <w14:textFill>
                        <w14:solidFill>
                          <w14:schemeClr w14:val="tx1"/>
                        </w14:solidFill>
                      </w14:textFill>
                    </w:rPr>
                    <w:t>粉尘</w:t>
                  </w:r>
                </w:p>
              </w:tc>
              <w:tc>
                <w:tcPr>
                  <w:tcW w:w="1151" w:type="pct"/>
                  <w:tcBorders>
                    <w:top w:val="single" w:color="auto" w:sz="4" w:space="0"/>
                    <w:left w:val="single" w:color="auto" w:sz="4" w:space="0"/>
                    <w:bottom w:val="single" w:color="auto" w:sz="4" w:space="0"/>
                    <w:right w:val="nil"/>
                  </w:tcBorders>
                  <w:vAlign w:val="center"/>
                </w:tcPr>
                <w:p w14:paraId="64154471">
                  <w:pPr>
                    <w:keepNext w:val="0"/>
                    <w:keepLines w:val="0"/>
                    <w:suppressLineNumbers w:val="0"/>
                    <w:spacing w:before="0" w:beforeAutospacing="0" w:after="0" w:afterAutospacing="0" w:line="240" w:lineRule="auto"/>
                    <w:ind w:left="0" w:right="0"/>
                    <w:contextualSpacing/>
                    <w:jc w:val="center"/>
                    <w:rPr>
                      <w:rFonts w:hint="default"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33.297</w:t>
                  </w:r>
                </w:p>
              </w:tc>
            </w:tr>
            <w:tr w14:paraId="21729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1310" w:type="pct"/>
                  <w:tcBorders>
                    <w:top w:val="single" w:color="auto" w:sz="4" w:space="0"/>
                    <w:left w:val="nil"/>
                    <w:right w:val="single" w:color="auto" w:sz="4" w:space="0"/>
                  </w:tcBorders>
                  <w:vAlign w:val="center"/>
                </w:tcPr>
                <w:p w14:paraId="26CF5A8C">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总计</w:t>
                  </w:r>
                </w:p>
              </w:tc>
              <w:tc>
                <w:tcPr>
                  <w:tcW w:w="743" w:type="pct"/>
                  <w:tcBorders>
                    <w:top w:val="single" w:color="auto" w:sz="4" w:space="0"/>
                    <w:left w:val="single" w:color="auto" w:sz="4" w:space="0"/>
                    <w:right w:val="single" w:color="auto" w:sz="4" w:space="0"/>
                  </w:tcBorders>
                  <w:vAlign w:val="center"/>
                </w:tcPr>
                <w:p w14:paraId="255600B5">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20000</w:t>
                  </w:r>
                </w:p>
              </w:tc>
              <w:tc>
                <w:tcPr>
                  <w:tcW w:w="1795" w:type="pct"/>
                  <w:tcBorders>
                    <w:top w:val="single" w:color="auto" w:sz="4" w:space="0"/>
                    <w:left w:val="single" w:color="auto" w:sz="4" w:space="0"/>
                    <w:right w:val="single" w:color="auto" w:sz="4" w:space="0"/>
                  </w:tcBorders>
                  <w:vAlign w:val="center"/>
                </w:tcPr>
                <w:p w14:paraId="22929BEB">
                  <w:pPr>
                    <w:pStyle w:val="146"/>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总计</w:t>
                  </w:r>
                </w:p>
              </w:tc>
              <w:tc>
                <w:tcPr>
                  <w:tcW w:w="1151" w:type="pct"/>
                  <w:tcBorders>
                    <w:top w:val="single" w:color="auto" w:sz="4" w:space="0"/>
                    <w:left w:val="single" w:color="auto" w:sz="4" w:space="0"/>
                    <w:right w:val="nil"/>
                  </w:tcBorders>
                  <w:vAlign w:val="center"/>
                </w:tcPr>
                <w:p w14:paraId="56BE6F97">
                  <w:pPr>
                    <w:keepNext w:val="0"/>
                    <w:keepLines w:val="0"/>
                    <w:suppressLineNumbers w:val="0"/>
                    <w:spacing w:before="0" w:beforeAutospacing="0" w:after="0" w:afterAutospacing="0" w:line="240" w:lineRule="auto"/>
                    <w:ind w:left="0" w:right="0"/>
                    <w:contextualSpacing/>
                    <w:jc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20000</w:t>
                  </w:r>
                </w:p>
              </w:tc>
            </w:tr>
          </w:tbl>
          <w:p w14:paraId="7279291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2" w:firstLineChars="200"/>
              <w:textAlignment w:val="auto"/>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5、劳动定员及工作制度</w:t>
            </w:r>
          </w:p>
          <w:p w14:paraId="31B6F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本项目</w:t>
            </w:r>
            <w:r>
              <w:rPr>
                <w:rFonts w:hint="eastAsia" w:cs="Times New Roman"/>
                <w:color w:val="000000" w:themeColor="text1"/>
                <w:kern w:val="21"/>
                <w:sz w:val="21"/>
                <w:szCs w:val="21"/>
                <w:highlight w:val="none"/>
                <w:lang w:val="en-US" w:eastAsia="zh-CN"/>
                <w14:textFill>
                  <w14:solidFill>
                    <w14:schemeClr w14:val="tx1"/>
                  </w14:solidFill>
                </w14:textFill>
              </w:rPr>
              <w:t>不新增</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劳动定员</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劳动定员由厂区内部</w:t>
            </w:r>
            <w:r>
              <w:rPr>
                <w:rFonts w:hint="eastAsia"/>
                <w:bCs/>
                <w:color w:val="000000" w:themeColor="text1"/>
                <w:szCs w:val="21"/>
                <w:highlight w:val="none"/>
                <w:lang w:val="en-US" w:eastAsia="zh-CN"/>
                <w14:textFill>
                  <w14:solidFill>
                    <w14:schemeClr w14:val="tx1"/>
                  </w14:solidFill>
                </w14:textFill>
              </w:rPr>
              <w:t>现有员工</w:t>
            </w:r>
            <w:r>
              <w:rPr>
                <w:rFonts w:hint="eastAsia"/>
                <w:bCs/>
                <w:color w:val="000000" w:themeColor="text1"/>
                <w:szCs w:val="21"/>
                <w:highlight w:val="none"/>
                <w14:textFill>
                  <w14:solidFill>
                    <w14:schemeClr w14:val="tx1"/>
                  </w14:solidFill>
                </w14:textFill>
              </w:rPr>
              <w:t>调配</w:t>
            </w:r>
            <w:r>
              <w:rPr>
                <w:rFonts w:hint="eastAsia"/>
                <w:bCs/>
                <w:color w:val="000000" w:themeColor="text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年工作时间保持不变为120</w:t>
            </w:r>
            <w:r>
              <w:rPr>
                <w:rFonts w:hint="default" w:ascii="Times New Roman" w:hAnsi="Times New Roman" w:cs="Times New Roman"/>
                <w:color w:val="000000" w:themeColor="text1"/>
                <w:sz w:val="21"/>
                <w:szCs w:val="21"/>
                <w:highlight w:val="none"/>
                <w14:textFill>
                  <w14:solidFill>
                    <w14:schemeClr w14:val="tx1"/>
                  </w14:solidFill>
                </w14:textFill>
              </w:rPr>
              <w:t>天</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12月—次年3月</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烘干塔年运行天数由原80天增至120天，每天工作24小时，2班制，年工作时间2880h</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kern w:val="21"/>
                <w:sz w:val="21"/>
                <w:szCs w:val="21"/>
                <w:highlight w:val="none"/>
                <w:lang w:val="en-US" w:eastAsia="zh-CN"/>
                <w14:textFill>
                  <w14:solidFill>
                    <w14:schemeClr w14:val="tx1"/>
                  </w14:solidFill>
                </w14:textFill>
              </w:rPr>
              <w:t>本项目不设食堂和宿舍。</w:t>
            </w:r>
          </w:p>
          <w:p w14:paraId="324D3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、公</w:t>
            </w:r>
            <w:r>
              <w:rPr>
                <w:rFonts w:hint="eastAsia" w:cs="Times New Roman"/>
                <w:b/>
                <w:bCs/>
                <w:color w:val="000000" w:themeColor="text1"/>
                <w:kern w:val="0"/>
                <w:sz w:val="21"/>
                <w:szCs w:val="21"/>
                <w:highlight w:val="none"/>
                <w:lang w:val="en-US" w:eastAsia="zh-CN"/>
                <w14:textFill>
                  <w14:solidFill>
                    <w14:schemeClr w14:val="tx1"/>
                  </w14:solidFill>
                </w14:textFill>
              </w:rPr>
              <w:t>用</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工程</w:t>
            </w:r>
          </w:p>
          <w:p w14:paraId="643B01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（1）给水</w:t>
            </w:r>
          </w:p>
          <w:p w14:paraId="0AF54B1D">
            <w:pPr>
              <w:keepNext w:val="0"/>
              <w:keepLines w:val="0"/>
              <w:widowControl/>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本项目不新增员工，因此无新增生活用水。</w:t>
            </w:r>
          </w:p>
          <w:p w14:paraId="5B03E605">
            <w:pPr>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（2）排水</w:t>
            </w:r>
          </w:p>
          <w:p w14:paraId="51FAF431">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宋体"/>
                <w:color w:val="000000" w:themeColor="text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本项目生产过程中无废水产生，项目不新增员工，因此无新增废水。</w:t>
            </w:r>
          </w:p>
          <w:p w14:paraId="5A25D5C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Cs w:val="21"/>
                <w:highlight w:val="none"/>
                <w14:textFill>
                  <w14:solidFill>
                    <w14:schemeClr w14:val="tx1"/>
                  </w14:solidFill>
                </w14:textFill>
              </w:rPr>
              <w:t>供热</w:t>
            </w:r>
            <w:r>
              <w:rPr>
                <w:rFonts w:hint="eastAsia" w:cs="Times New Roman"/>
                <w:color w:val="000000" w:themeColor="text1"/>
                <w:szCs w:val="21"/>
                <w:highlight w:val="none"/>
                <w:lang w:val="en-US" w:eastAsia="zh-CN"/>
                <w14:textFill>
                  <w14:solidFill>
                    <w14:schemeClr w14:val="tx1"/>
                  </w14:solidFill>
                </w14:textFill>
              </w:rPr>
              <w:t>供暖</w:t>
            </w:r>
            <w:r>
              <w:rPr>
                <w:rFonts w:hint="default" w:ascii="Times New Roman" w:hAnsi="Times New Roman" w:cs="Times New Roman"/>
                <w:color w:val="000000" w:themeColor="text1"/>
                <w:szCs w:val="21"/>
                <w:highlight w:val="none"/>
                <w14:textFill>
                  <w14:solidFill>
                    <w14:schemeClr w14:val="tx1"/>
                  </w14:solidFill>
                </w14:textFill>
              </w:rPr>
              <w:t>：</w:t>
            </w:r>
          </w:p>
          <w:p w14:paraId="5617D2FF">
            <w:pPr>
              <w:pStyle w:val="67"/>
              <w:keepLines w:val="0"/>
              <w:suppressLineNumbers w:val="0"/>
              <w:spacing w:before="0" w:beforeAutospacing="0" w:after="0" w:afterAutospacing="0" w:line="360" w:lineRule="auto"/>
              <w:ind w:left="0" w:firstLineChars="200"/>
              <w:jc w:val="both"/>
              <w:rPr>
                <w:rFonts w:hint="default"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t>本项目</w:t>
            </w:r>
            <w:r>
              <w:rPr>
                <w:rFonts w:hint="eastAsia" w:cs="Times New Roman"/>
                <w:b w:val="0"/>
                <w:bCs/>
                <w:color w:val="000000" w:themeColor="text1"/>
                <w:sz w:val="21"/>
                <w:szCs w:val="21"/>
                <w:highlight w:val="none"/>
                <w:lang w:val="en-US" w:eastAsia="zh-CN"/>
                <w14:textFill>
                  <w14:solidFill>
                    <w14:schemeClr w14:val="tx1"/>
                  </w14:solidFill>
                </w14:textFill>
              </w:rPr>
              <w:t>采用电取暖。本项目生产用热由1台600万Kcal/h生物质热风炉提供，年运行共计120天，每天运行24小时，一年共2880h。</w:t>
            </w:r>
          </w:p>
          <w:p w14:paraId="164604F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Cs w:val="21"/>
                <w:highlight w:val="none"/>
                <w14:textFill>
                  <w14:solidFill>
                    <w14:schemeClr w14:val="tx1"/>
                  </w14:solidFill>
                </w14:textFill>
              </w:rPr>
              <w:t>）供电：本项目供电由当地电网供给</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p w14:paraId="739D074B">
            <w:pPr>
              <w:pStyle w:val="2"/>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22" w:firstLineChars="200"/>
              <w:jc w:val="both"/>
              <w:textAlignment w:val="auto"/>
              <w:rPr>
                <w:rFonts w:hint="default" w:ascii="Times New Roman" w:hAnsi="Times New Roman" w:cs="Times New Roman"/>
                <w:b/>
                <w:bCs/>
                <w:color w:val="000000" w:themeColor="text1"/>
                <w:kern w:val="21"/>
                <w:sz w:val="21"/>
                <w:szCs w:val="21"/>
                <w:highlight w:val="none"/>
                <w14:textFill>
                  <w14:solidFill>
                    <w14:schemeClr w14:val="tx1"/>
                  </w14:solidFill>
                </w14:textFill>
              </w:rPr>
            </w:pPr>
            <w:r>
              <w:rPr>
                <w:rFonts w:hint="default" w:ascii="Times New Roman" w:hAnsi="Times New Roman" w:cs="Times New Roman"/>
                <w:b/>
                <w:bCs/>
                <w:color w:val="000000" w:themeColor="text1"/>
                <w:kern w:val="21"/>
                <w:sz w:val="2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kern w:val="21"/>
                <w:sz w:val="21"/>
                <w:szCs w:val="21"/>
                <w:highlight w:val="none"/>
                <w14:textFill>
                  <w14:solidFill>
                    <w14:schemeClr w14:val="tx1"/>
                  </w14:solidFill>
                </w14:textFill>
              </w:rPr>
              <w:t>、本项目平面布置</w:t>
            </w:r>
          </w:p>
          <w:p w14:paraId="7C1E30A1">
            <w:pPr>
              <w:keepNext w:val="0"/>
              <w:keepLines w:val="0"/>
              <w:widowControl/>
              <w:suppressLineNumbers w:val="0"/>
              <w:spacing w:before="0" w:beforeAutospacing="0" w:after="0" w:afterAutospacing="0" w:line="360" w:lineRule="auto"/>
              <w:ind w:left="0" w:right="0" w:firstLine="420" w:firstLineChars="200"/>
              <w:rPr>
                <w:rFonts w:hint="eastAsia" w:cs="Times New Roman"/>
                <w:b/>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21"/>
                <w:sz w:val="21"/>
                <w:szCs w:val="21"/>
                <w:highlight w:val="none"/>
                <w:lang w:val="en-US" w:eastAsia="zh-CN"/>
                <w14:textFill>
                  <w14:solidFill>
                    <w14:schemeClr w14:val="tx1"/>
                  </w14:solidFill>
                </w14:textFill>
              </w:rPr>
              <w:t>本项目办公区和生产区分开。办公区位于项目厂区南侧，热风炉房位于厂区中部，烘干塔紧邻热风炉房，粮食仓储设施位于厂区西北侧、东北侧及南侧。项目平面布置功能分区合理、布局紧凑，各个建筑物的布置均满足工艺需要。项目所在地道路系统完善，有利于原料及产品的运输。因此，本项目平面布置合</w:t>
            </w:r>
            <w:r>
              <w:rPr>
                <w:rFonts w:hint="eastAsia" w:cs="Times New Roman"/>
                <w:color w:val="000000" w:themeColor="text1"/>
                <w:kern w:val="21"/>
                <w:sz w:val="21"/>
                <w:szCs w:val="21"/>
                <w:highlight w:val="none"/>
                <w:lang w:eastAsia="zh-CN"/>
                <w14:textFill>
                  <w14:solidFill>
                    <w14:schemeClr w14:val="tx1"/>
                  </w14:solidFill>
                </w14:textFill>
              </w:rPr>
              <w:t>理。</w:t>
            </w:r>
          </w:p>
          <w:p w14:paraId="40451FA6">
            <w:pPr>
              <w:keepNext w:val="0"/>
              <w:keepLines w:val="0"/>
              <w:widowControl/>
              <w:suppressLineNumbers w:val="0"/>
              <w:spacing w:before="0" w:beforeAutospacing="0" w:after="0" w:afterAutospacing="0" w:line="360" w:lineRule="auto"/>
              <w:ind w:left="0" w:right="0" w:firstLine="422" w:firstLineChars="200"/>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b/>
                <w:color w:val="000000" w:themeColor="text1"/>
                <w:kern w:val="0"/>
                <w:sz w:val="21"/>
                <w:szCs w:val="21"/>
                <w:highlight w:val="none"/>
                <w:lang w:val="en-US" w:eastAsia="zh-CN" w:bidi="ar"/>
                <w14:textFill>
                  <w14:solidFill>
                    <w14:schemeClr w14:val="tx1"/>
                  </w14:solidFill>
                </w14:textFill>
              </w:rPr>
              <w:t>8</w:t>
            </w:r>
            <w:r>
              <w:rPr>
                <w:rFonts w:hint="default" w:ascii="Times New Roman" w:hAnsi="Times New Roman" w:cs="Times New Roman"/>
                <w:b/>
                <w:color w:val="000000" w:themeColor="text1"/>
                <w:kern w:val="0"/>
                <w:sz w:val="21"/>
                <w:szCs w:val="21"/>
                <w:highlight w:val="none"/>
                <w:lang w:bidi="ar"/>
                <w14:textFill>
                  <w14:solidFill>
                    <w14:schemeClr w14:val="tx1"/>
                  </w14:solidFill>
                </w14:textFill>
              </w:rPr>
              <w:t>、环保投资</w:t>
            </w:r>
          </w:p>
          <w:p w14:paraId="6C7AD449">
            <w:pPr>
              <w:keepNext w:val="0"/>
              <w:keepLines w:val="0"/>
              <w:suppressLineNumbers w:val="0"/>
              <w:spacing w:before="0" w:beforeAutospacing="0" w:after="0" w:afterAutospacing="0" w:line="360" w:lineRule="auto"/>
              <w:ind w:left="0" w:right="0" w:firstLine="420" w:firstLineChars="200"/>
              <w:rPr>
                <w:rFonts w:hint="default"/>
                <w:b/>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val="en-US" w:eastAsia="zh-CN"/>
                <w14:textFill>
                  <w14:solidFill>
                    <w14:schemeClr w14:val="tx1"/>
                  </w14:solidFill>
                </w14:textFill>
              </w:rPr>
              <w:t>环保投资</w:t>
            </w:r>
            <w:r>
              <w:rPr>
                <w:rFonts w:hint="default"/>
                <w:color w:val="000000" w:themeColor="text1"/>
                <w:sz w:val="21"/>
                <w:szCs w:val="21"/>
                <w:highlight w:val="none"/>
                <w14:textFill>
                  <w14:solidFill>
                    <w14:schemeClr w14:val="tx1"/>
                  </w14:solidFill>
                </w14:textFill>
              </w:rPr>
              <w:t>详见表2-</w:t>
            </w:r>
            <w:r>
              <w:rPr>
                <w:rFonts w:hint="eastAsia"/>
                <w:color w:val="000000" w:themeColor="text1"/>
                <w:sz w:val="21"/>
                <w:szCs w:val="21"/>
                <w:highlight w:val="none"/>
                <w:lang w:val="en-US" w:eastAsia="zh-CN"/>
                <w14:textFill>
                  <w14:solidFill>
                    <w14:schemeClr w14:val="tx1"/>
                  </w14:solidFill>
                </w14:textFill>
              </w:rPr>
              <w:t>8</w:t>
            </w:r>
            <w:r>
              <w:rPr>
                <w:rFonts w:hint="default"/>
                <w:color w:val="000000" w:themeColor="text1"/>
                <w:sz w:val="21"/>
                <w:szCs w:val="21"/>
                <w:highlight w:val="none"/>
                <w14:textFill>
                  <w14:solidFill>
                    <w14:schemeClr w14:val="tx1"/>
                  </w14:solidFill>
                </w14:textFill>
              </w:rPr>
              <w:t>。</w:t>
            </w:r>
          </w:p>
          <w:p w14:paraId="31DF68A7">
            <w:pPr>
              <w:keepNext w:val="0"/>
              <w:keepLines w:val="0"/>
              <w:suppressLineNumbers w:val="0"/>
              <w:spacing w:before="0" w:beforeAutospacing="0" w:after="0" w:afterAutospacing="0"/>
              <w:ind w:left="0" w:right="0" w:firstLine="422" w:firstLineChars="200"/>
              <w:jc w:val="center"/>
              <w:rPr>
                <w:rFonts w:hint="eastAsia" w:eastAsia="宋体"/>
                <w:b/>
                <w:color w:val="000000" w:themeColor="text1"/>
                <w:sz w:val="24"/>
                <w:szCs w:val="28"/>
                <w:highlight w:val="none"/>
                <w:lang w:eastAsia="zh-CN"/>
                <w14:textFill>
                  <w14:solidFill>
                    <w14:schemeClr w14:val="tx1"/>
                  </w14:solidFill>
                </w14:textFill>
              </w:rPr>
            </w:pPr>
            <w:r>
              <w:rPr>
                <w:rFonts w:hint="default"/>
                <w:b/>
                <w:color w:val="000000" w:themeColor="text1"/>
                <w:szCs w:val="21"/>
                <w:highlight w:val="none"/>
                <w14:textFill>
                  <w14:solidFill>
                    <w14:schemeClr w14:val="tx1"/>
                  </w14:solidFill>
                </w14:textFill>
              </w:rPr>
              <w:t>表2-</w:t>
            </w:r>
            <w:r>
              <w:rPr>
                <w:rFonts w:hint="eastAsia"/>
                <w:b/>
                <w:color w:val="000000" w:themeColor="text1"/>
                <w:szCs w:val="21"/>
                <w:highlight w:val="none"/>
                <w:lang w:val="en-US" w:eastAsia="zh-CN"/>
                <w14:textFill>
                  <w14:solidFill>
                    <w14:schemeClr w14:val="tx1"/>
                  </w14:solidFill>
                </w14:textFill>
              </w:rPr>
              <w:t xml:space="preserve">8 </w:t>
            </w:r>
            <w:r>
              <w:rPr>
                <w:rFonts w:hint="default"/>
                <w:b/>
                <w:color w:val="000000" w:themeColor="text1"/>
                <w:szCs w:val="21"/>
                <w:highlight w:val="none"/>
                <w14:textFill>
                  <w14:solidFill>
                    <w14:schemeClr w14:val="tx1"/>
                  </w14:solidFill>
                </w14:textFill>
              </w:rPr>
              <w:t>环保投资一览表</w:t>
            </w:r>
          </w:p>
          <w:tbl>
            <w:tblPr>
              <w:tblStyle w:val="33"/>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439"/>
              <w:gridCol w:w="3941"/>
              <w:gridCol w:w="1130"/>
            </w:tblGrid>
            <w:tr w14:paraId="1D3196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noWrap w:val="0"/>
                  <w:vAlign w:val="center"/>
                </w:tcPr>
                <w:p w14:paraId="0C480E7A">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阶段</w:t>
                  </w:r>
                </w:p>
              </w:tc>
              <w:tc>
                <w:tcPr>
                  <w:tcW w:w="1439" w:type="dxa"/>
                  <w:noWrap w:val="0"/>
                  <w:vAlign w:val="center"/>
                </w:tcPr>
                <w:p w14:paraId="7F303DDA">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处理项目</w:t>
                  </w:r>
                </w:p>
              </w:tc>
              <w:tc>
                <w:tcPr>
                  <w:tcW w:w="3941" w:type="dxa"/>
                  <w:noWrap w:val="0"/>
                  <w:vAlign w:val="center"/>
                </w:tcPr>
                <w:p w14:paraId="0D64855F">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处理措施</w:t>
                  </w:r>
                </w:p>
              </w:tc>
              <w:tc>
                <w:tcPr>
                  <w:tcW w:w="1130" w:type="dxa"/>
                  <w:noWrap w:val="0"/>
                  <w:vAlign w:val="center"/>
                </w:tcPr>
                <w:p w14:paraId="1562860E">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投资（万元）</w:t>
                  </w:r>
                </w:p>
              </w:tc>
            </w:tr>
            <w:tr w14:paraId="06A80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restart"/>
                  <w:noWrap w:val="0"/>
                  <w:vAlign w:val="center"/>
                </w:tcPr>
                <w:p w14:paraId="1FF70FAB">
                  <w:pPr>
                    <w:pStyle w:val="97"/>
                    <w:keepNext w:val="0"/>
                    <w:keepLines w:val="0"/>
                    <w:widowControl/>
                    <w:suppressLineNumbers w:val="0"/>
                    <w:spacing w:before="0" w:beforeAutospacing="0" w:after="0" w:afterAutospacing="0" w:line="240" w:lineRule="auto"/>
                    <w:ind w:left="0" w:leftChars="0" w:right="0" w:rightChars="0"/>
                    <w:jc w:val="center"/>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施工期</w:t>
                  </w:r>
                </w:p>
              </w:tc>
              <w:tc>
                <w:tcPr>
                  <w:tcW w:w="1439" w:type="dxa"/>
                  <w:noWrap w:val="0"/>
                  <w:vAlign w:val="center"/>
                </w:tcPr>
                <w:p w14:paraId="1C16B589">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废气治理</w:t>
                  </w:r>
                </w:p>
              </w:tc>
              <w:tc>
                <w:tcPr>
                  <w:tcW w:w="3941" w:type="dxa"/>
                  <w:noWrap w:val="0"/>
                  <w:vAlign w:val="center"/>
                </w:tcPr>
                <w:p w14:paraId="3F6201EC">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施工区域周围设置围挡</w:t>
                  </w:r>
                </w:p>
              </w:tc>
              <w:tc>
                <w:tcPr>
                  <w:tcW w:w="1130" w:type="dxa"/>
                  <w:noWrap w:val="0"/>
                  <w:vAlign w:val="center"/>
                </w:tcPr>
                <w:p w14:paraId="5C2EE92B">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w:t>
                  </w:r>
                </w:p>
              </w:tc>
            </w:tr>
            <w:tr w14:paraId="473AB2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continue"/>
                  <w:noWrap w:val="0"/>
                  <w:vAlign w:val="center"/>
                </w:tcPr>
                <w:p w14:paraId="75DC8C11">
                  <w:pPr>
                    <w:pStyle w:val="97"/>
                    <w:keepNext w:val="0"/>
                    <w:keepLines w:val="0"/>
                    <w:widowControl/>
                    <w:suppressLineNumbers w:val="0"/>
                    <w:spacing w:before="0" w:beforeAutospacing="0" w:after="0" w:afterAutospacing="0" w:line="240" w:lineRule="auto"/>
                    <w:ind w:left="0" w:leftChars="0" w:right="0" w:rightChars="0"/>
                    <w:jc w:val="center"/>
                    <w:rPr>
                      <w:rFonts w:hint="eastAsia" w:cs="Times New Roman"/>
                      <w:color w:val="000000" w:themeColor="text1"/>
                      <w:sz w:val="18"/>
                      <w:szCs w:val="18"/>
                      <w:highlight w:val="none"/>
                      <w:lang w:val="en-US" w:eastAsia="zh-CN"/>
                      <w14:textFill>
                        <w14:solidFill>
                          <w14:schemeClr w14:val="tx1"/>
                        </w14:solidFill>
                      </w14:textFill>
                    </w:rPr>
                  </w:pPr>
                </w:p>
              </w:tc>
              <w:tc>
                <w:tcPr>
                  <w:tcW w:w="1439" w:type="dxa"/>
                  <w:noWrap w:val="0"/>
                  <w:vAlign w:val="center"/>
                </w:tcPr>
                <w:p w14:paraId="0D578C14">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噪声治理</w:t>
                  </w:r>
                </w:p>
              </w:tc>
              <w:tc>
                <w:tcPr>
                  <w:tcW w:w="3941" w:type="dxa"/>
                  <w:noWrap w:val="0"/>
                  <w:vAlign w:val="center"/>
                </w:tcPr>
                <w:p w14:paraId="6A678CEF">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低噪声设备</w:t>
                  </w:r>
                </w:p>
              </w:tc>
              <w:tc>
                <w:tcPr>
                  <w:tcW w:w="1130" w:type="dxa"/>
                  <w:noWrap w:val="0"/>
                  <w:vAlign w:val="center"/>
                </w:tcPr>
                <w:p w14:paraId="37B60C9C">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w:t>
                  </w:r>
                </w:p>
              </w:tc>
            </w:tr>
            <w:tr w14:paraId="2221EE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continue"/>
                  <w:noWrap w:val="0"/>
                  <w:vAlign w:val="center"/>
                </w:tcPr>
                <w:p w14:paraId="3CD37018">
                  <w:pPr>
                    <w:pStyle w:val="97"/>
                    <w:keepNext w:val="0"/>
                    <w:keepLines w:val="0"/>
                    <w:widowControl/>
                    <w:suppressLineNumbers w:val="0"/>
                    <w:spacing w:before="0" w:beforeAutospacing="0" w:after="0" w:afterAutospacing="0" w:line="240" w:lineRule="auto"/>
                    <w:ind w:left="0" w:leftChars="0" w:right="0" w:rightChars="0"/>
                    <w:jc w:val="center"/>
                    <w:rPr>
                      <w:rFonts w:hint="eastAsia" w:cs="Times New Roman"/>
                      <w:color w:val="000000" w:themeColor="text1"/>
                      <w:sz w:val="18"/>
                      <w:szCs w:val="18"/>
                      <w:highlight w:val="none"/>
                      <w:lang w:val="en-US" w:eastAsia="zh-CN"/>
                      <w14:textFill>
                        <w14:solidFill>
                          <w14:schemeClr w14:val="tx1"/>
                        </w14:solidFill>
                      </w14:textFill>
                    </w:rPr>
                  </w:pPr>
                </w:p>
              </w:tc>
              <w:tc>
                <w:tcPr>
                  <w:tcW w:w="1439" w:type="dxa"/>
                  <w:noWrap w:val="0"/>
                  <w:vAlign w:val="center"/>
                </w:tcPr>
                <w:p w14:paraId="02F0FF24">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固废治理</w:t>
                  </w:r>
                </w:p>
              </w:tc>
              <w:tc>
                <w:tcPr>
                  <w:tcW w:w="3941" w:type="dxa"/>
                  <w:noWrap w:val="0"/>
                  <w:vAlign w:val="center"/>
                </w:tcPr>
                <w:p w14:paraId="5A9C295C">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生活垃圾收集箱</w:t>
                  </w:r>
                </w:p>
              </w:tc>
              <w:tc>
                <w:tcPr>
                  <w:tcW w:w="1130" w:type="dxa"/>
                  <w:noWrap w:val="0"/>
                  <w:vAlign w:val="center"/>
                </w:tcPr>
                <w:p w14:paraId="2D660872">
                  <w:pPr>
                    <w:pStyle w:val="97"/>
                    <w:keepNext w:val="0"/>
                    <w:keepLines w:val="0"/>
                    <w:widowControl/>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w:t>
                  </w:r>
                </w:p>
              </w:tc>
            </w:tr>
            <w:tr w14:paraId="4C26A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restart"/>
                  <w:noWrap w:val="0"/>
                  <w:vAlign w:val="center"/>
                </w:tcPr>
                <w:p w14:paraId="43A6C4F5">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运营期</w:t>
                  </w:r>
                </w:p>
              </w:tc>
              <w:tc>
                <w:tcPr>
                  <w:tcW w:w="1439" w:type="dxa"/>
                  <w:noWrap w:val="0"/>
                  <w:vAlign w:val="center"/>
                </w:tcPr>
                <w:p w14:paraId="283503A2">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固废处理</w:t>
                  </w:r>
                </w:p>
              </w:tc>
              <w:tc>
                <w:tcPr>
                  <w:tcW w:w="3941" w:type="dxa"/>
                  <w:noWrap w:val="0"/>
                  <w:vAlign w:val="center"/>
                </w:tcPr>
                <w:p w14:paraId="720214B3">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危险废物贮存点（包含防渗措施）</w:t>
                  </w:r>
                </w:p>
              </w:tc>
              <w:tc>
                <w:tcPr>
                  <w:tcW w:w="1130" w:type="dxa"/>
                  <w:noWrap w:val="0"/>
                  <w:vAlign w:val="center"/>
                </w:tcPr>
                <w:p w14:paraId="4447C73B">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0.5</w:t>
                  </w:r>
                </w:p>
              </w:tc>
            </w:tr>
            <w:tr w14:paraId="6D1CE3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continue"/>
                  <w:noWrap w:val="0"/>
                  <w:vAlign w:val="center"/>
                </w:tcPr>
                <w:p w14:paraId="2E921A73">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p>
              </w:tc>
              <w:tc>
                <w:tcPr>
                  <w:tcW w:w="1439" w:type="dxa"/>
                  <w:noWrap w:val="0"/>
                  <w:vAlign w:val="center"/>
                </w:tcPr>
                <w:p w14:paraId="58631AD8">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监测</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、运行维护</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费用</w:t>
                  </w:r>
                </w:p>
              </w:tc>
              <w:tc>
                <w:tcPr>
                  <w:tcW w:w="3941" w:type="dxa"/>
                  <w:noWrap w:val="0"/>
                  <w:vAlign w:val="center"/>
                </w:tcPr>
                <w:p w14:paraId="770671D2">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环境保护措施和设施的运行维护费用、竣工验收</w:t>
                  </w:r>
                </w:p>
              </w:tc>
              <w:tc>
                <w:tcPr>
                  <w:tcW w:w="1130" w:type="dxa"/>
                  <w:noWrap w:val="0"/>
                  <w:vAlign w:val="center"/>
                </w:tcPr>
                <w:p w14:paraId="2FB26CBA">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10</w:t>
                  </w:r>
                </w:p>
              </w:tc>
            </w:tr>
            <w:tr w14:paraId="381CED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512" w:type="dxa"/>
                  <w:vMerge w:val="continue"/>
                  <w:noWrap w:val="0"/>
                  <w:vAlign w:val="center"/>
                </w:tcPr>
                <w:p w14:paraId="706EA8EB">
                  <w:pPr>
                    <w:pStyle w:val="97"/>
                    <w:keepNext w:val="0"/>
                    <w:keepLines w:val="0"/>
                    <w:widowControl/>
                    <w:suppressLineNumbers w:val="0"/>
                    <w:spacing w:before="0" w:beforeAutospacing="0" w:after="0" w:afterAutospacing="0" w:line="240" w:lineRule="auto"/>
                    <w:ind w:left="0" w:right="0"/>
                    <w:jc w:val="center"/>
                    <w:rPr>
                      <w:rFonts w:hint="eastAsia" w:cs="Times New Roman"/>
                      <w:color w:val="000000" w:themeColor="text1"/>
                      <w:sz w:val="18"/>
                      <w:szCs w:val="18"/>
                      <w:highlight w:val="none"/>
                      <w:lang w:val="en-US" w:eastAsia="zh-CN"/>
                      <w14:textFill>
                        <w14:solidFill>
                          <w14:schemeClr w14:val="tx1"/>
                        </w14:solidFill>
                      </w14:textFill>
                    </w:rPr>
                  </w:pPr>
                </w:p>
              </w:tc>
              <w:tc>
                <w:tcPr>
                  <w:tcW w:w="5380" w:type="dxa"/>
                  <w:gridSpan w:val="2"/>
                  <w:noWrap w:val="0"/>
                  <w:vAlign w:val="center"/>
                </w:tcPr>
                <w:p w14:paraId="4D7D5223">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环保设施运营及维护</w:t>
                  </w:r>
                </w:p>
              </w:tc>
              <w:tc>
                <w:tcPr>
                  <w:tcW w:w="1130" w:type="dxa"/>
                  <w:noWrap w:val="0"/>
                  <w:vAlign w:val="center"/>
                </w:tcPr>
                <w:p w14:paraId="22232EE4">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2</w:t>
                  </w:r>
                </w:p>
              </w:tc>
            </w:tr>
            <w:tr w14:paraId="6DAA2D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892" w:type="dxa"/>
                  <w:gridSpan w:val="3"/>
                  <w:noWrap w:val="0"/>
                  <w:vAlign w:val="center"/>
                </w:tcPr>
                <w:p w14:paraId="49A10F82">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环保投资（万元）</w:t>
                  </w:r>
                </w:p>
              </w:tc>
              <w:tc>
                <w:tcPr>
                  <w:tcW w:w="1130" w:type="dxa"/>
                  <w:noWrap w:val="0"/>
                  <w:vAlign w:val="center"/>
                </w:tcPr>
                <w:p w14:paraId="3C97B98D">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33.5</w:t>
                  </w:r>
                </w:p>
              </w:tc>
            </w:tr>
            <w:tr w14:paraId="3874D4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892" w:type="dxa"/>
                  <w:gridSpan w:val="3"/>
                  <w:noWrap w:val="0"/>
                  <w:vAlign w:val="center"/>
                </w:tcPr>
                <w:p w14:paraId="22B0FD20">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总投资（万元）</w:t>
                  </w:r>
                </w:p>
              </w:tc>
              <w:tc>
                <w:tcPr>
                  <w:tcW w:w="1130" w:type="dxa"/>
                  <w:noWrap w:val="0"/>
                  <w:vAlign w:val="center"/>
                </w:tcPr>
                <w:p w14:paraId="483E1682">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850</w:t>
                  </w:r>
                </w:p>
              </w:tc>
            </w:tr>
            <w:tr w14:paraId="37E34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892" w:type="dxa"/>
                  <w:gridSpan w:val="3"/>
                  <w:noWrap w:val="0"/>
                  <w:vAlign w:val="center"/>
                </w:tcPr>
                <w:p w14:paraId="38F5F1EE">
                  <w:pPr>
                    <w:pStyle w:val="8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占总投资比例（%）</w:t>
                  </w:r>
                </w:p>
              </w:tc>
              <w:tc>
                <w:tcPr>
                  <w:tcW w:w="1130" w:type="dxa"/>
                  <w:noWrap w:val="0"/>
                  <w:vAlign w:val="center"/>
                </w:tcPr>
                <w:p w14:paraId="37836CA4">
                  <w:pPr>
                    <w:pStyle w:val="97"/>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3.9</w:t>
                  </w:r>
                </w:p>
              </w:tc>
            </w:tr>
          </w:tbl>
          <w:p w14:paraId="4980B9A2">
            <w:pPr>
              <w:pStyle w:val="2"/>
              <w:keepNext w:val="0"/>
              <w:keepLines w:val="0"/>
              <w:widowControl w:val="0"/>
              <w:suppressLineNumbers w:val="0"/>
              <w:snapToGrid/>
              <w:spacing w:before="0" w:beforeAutospacing="0" w:after="0" w:afterAutospacing="0" w:line="360" w:lineRule="auto"/>
              <w:ind w:left="0" w:right="0"/>
              <w:rPr>
                <w:rFonts w:hint="default" w:ascii="Times New Roman" w:hAnsi="Times New Roman" w:eastAsia="宋体" w:cs="Times New Roman"/>
                <w:color w:val="000000" w:themeColor="text1"/>
                <w:kern w:val="21"/>
                <w:sz w:val="24"/>
                <w:szCs w:val="21"/>
                <w:highlight w:val="none"/>
                <w:lang w:val="en-US" w:eastAsia="zh-CN"/>
                <w14:textFill>
                  <w14:solidFill>
                    <w14:schemeClr w14:val="tx1"/>
                  </w14:solidFill>
                </w14:textFill>
              </w:rPr>
            </w:pPr>
          </w:p>
        </w:tc>
      </w:tr>
      <w:tr w14:paraId="58277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22" w:type="dxa"/>
            <w:vAlign w:val="center"/>
          </w:tcPr>
          <w:p w14:paraId="182DBB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p>
          <w:p w14:paraId="12902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工艺流程和产排污环节</w:t>
            </w:r>
          </w:p>
        </w:tc>
        <w:tc>
          <w:tcPr>
            <w:tcW w:w="8220" w:type="dxa"/>
            <w:vAlign w:val="center"/>
          </w:tcPr>
          <w:p w14:paraId="092FD35E">
            <w:pPr>
              <w:keepNext w:val="0"/>
              <w:keepLines w:val="0"/>
              <w:numPr>
                <w:ilvl w:val="0"/>
                <w:numId w:val="4"/>
              </w:numPr>
              <w:suppressLineNumbers w:val="0"/>
              <w:spacing w:before="0" w:beforeAutospacing="0" w:after="0" w:afterAutospacing="0" w:line="360" w:lineRule="auto"/>
              <w:ind w:right="0"/>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施工期工艺流程分析</w:t>
            </w:r>
          </w:p>
          <w:p w14:paraId="09CC7AC7">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s="Times New Roman"/>
                <w:color w:val="000000" w:themeColor="text1"/>
                <w:kern w:val="21"/>
                <w:sz w:val="21"/>
                <w:szCs w:val="21"/>
                <w:highlight w:val="none"/>
                <w:vertAlign w:val="baseline"/>
                <w:lang w:val="en-US" w:eastAsia="zh-CN"/>
                <w14:textFill>
                  <w14:solidFill>
                    <w14:schemeClr w14:val="tx1"/>
                  </w14:solidFill>
                </w14:textFill>
              </w:rPr>
            </w:pPr>
            <w:r>
              <w:rPr>
                <w:rFonts w:hint="eastAsia" w:cs="Times New Roman"/>
                <w:color w:val="000000" w:themeColor="text1"/>
                <w:kern w:val="21"/>
                <w:sz w:val="21"/>
                <w:szCs w:val="21"/>
                <w:highlight w:val="none"/>
                <w:vertAlign w:val="baseline"/>
                <w:lang w:val="en-US" w:eastAsia="zh-CN"/>
                <w14:textFill>
                  <w14:solidFill>
                    <w14:schemeClr w14:val="tx1"/>
                  </w14:solidFill>
                </w14:textFill>
              </w:rPr>
              <w:t>本次工程在新增78695m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占地范围内新建4座钢结构保温平房仓，</w:t>
            </w:r>
            <w:r>
              <w:rPr>
                <w:rFonts w:hint="eastAsia" w:cs="Times New Roman"/>
                <w:bCs/>
                <w:color w:val="000000" w:themeColor="text1"/>
                <w:kern w:val="0"/>
                <w:sz w:val="21"/>
                <w:szCs w:val="21"/>
                <w:highlight w:val="none"/>
                <w:lang w:val="en-US" w:eastAsia="zh-CN"/>
                <w14:textFill>
                  <w14:solidFill>
                    <w14:schemeClr w14:val="tx1"/>
                  </w14:solidFill>
                </w14:textFill>
              </w:rPr>
              <w:t>1座建筑面积5832m</w:t>
            </w:r>
            <w:r>
              <w:rPr>
                <w:rFonts w:hint="eastAsia" w:cs="Times New Roman"/>
                <w:bCs/>
                <w:color w:val="000000" w:themeColor="text1"/>
                <w:kern w:val="0"/>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、1座建筑面积7776m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、1座建筑面积6480m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、1座建筑面积6480m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；1座消防泵房，建筑面积231.66</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（含地下面积57.86</w:t>
            </w:r>
            <w:r>
              <w:rPr>
                <w:rFonts w:hint="eastAsia" w:cs="Times New Roman"/>
                <w:color w:val="000000" w:themeColor="text1"/>
                <w:sz w:val="18"/>
                <w:szCs w:val="18"/>
                <w:highlight w:val="none"/>
                <w:lang w:val="en-US" w:eastAsia="zh-CN"/>
                <w14:textFill>
                  <w14:solidFill>
                    <w14:schemeClr w14:val="tx1"/>
                  </w14:solidFill>
                </w14:textFill>
              </w:rPr>
              <w:t>m</w:t>
            </w:r>
            <w:r>
              <w:rPr>
                <w:rFonts w:hint="eastAsia" w:cs="Times New Roman"/>
                <w:color w:val="000000" w:themeColor="text1"/>
                <w:sz w:val="18"/>
                <w:szCs w:val="18"/>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）；1座消防水池库房，建筑面积210.6m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w:t>
            </w:r>
          </w:p>
          <w:p w14:paraId="4980F04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color w:val="000000" w:themeColor="text1"/>
                <w:sz w:val="21"/>
                <w:szCs w:val="24"/>
                <w:highlight w:val="none"/>
                <w14:textFill>
                  <w14:solidFill>
                    <w14:schemeClr w14:val="tx1"/>
                  </w14:solidFill>
                </w14:textFill>
              </w:rPr>
            </w:pPr>
            <w:r>
              <w:rPr>
                <w:rFonts w:hint="default"/>
                <w:color w:val="000000" w:themeColor="text1"/>
                <w:sz w:val="21"/>
                <w:szCs w:val="24"/>
                <w:highlight w:val="none"/>
                <w14:textFill>
                  <w14:solidFill>
                    <w14:schemeClr w14:val="tx1"/>
                  </w14:solidFill>
                </w14:textFill>
              </w:rPr>
              <w:t>拟建项目施工期主要分为场地平整、基础工程、主体工程、装饰工程、安装工程等，其建设过程中产生的噪声、扬尘、施工废气、固体废物、施工废水等污染物，其污染物排放量随工序的施工强度变化而变化，施工期结束后环境影响也随之消除。</w:t>
            </w:r>
          </w:p>
          <w:p w14:paraId="151CA3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Cs w:val="24"/>
                <w:highlight w:val="none"/>
                <w14:textFill>
                  <w14:solidFill>
                    <w14:schemeClr w14:val="tx1"/>
                  </w14:solidFill>
                </w14:textFill>
              </w:rPr>
            </w:pPr>
            <w:r>
              <w:rPr>
                <w:rFonts w:hint="default"/>
                <w:color w:val="000000" w:themeColor="text1"/>
                <w:sz w:val="21"/>
                <w:szCs w:val="24"/>
                <w:highlight w:val="none"/>
                <w14:textFill>
                  <w14:solidFill>
                    <w14:schemeClr w14:val="tx1"/>
                  </w14:solidFill>
                </w14:textFill>
              </w:rPr>
              <w:t>施工期的具体工艺流程及产污环节见下图。</w:t>
            </w:r>
          </w:p>
          <w:p w14:paraId="10A5598F">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drawing>
                <wp:inline distT="0" distB="0" distL="114300" distR="114300">
                  <wp:extent cx="4500880" cy="1442085"/>
                  <wp:effectExtent l="0" t="0" r="13970" b="5715"/>
                  <wp:docPr id="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4"/>
                          <pic:cNvPicPr>
                            <a:picLocks noChangeAspect="1"/>
                          </pic:cNvPicPr>
                        </pic:nvPicPr>
                        <pic:blipFill>
                          <a:blip r:embed="rId10"/>
                          <a:stretch>
                            <a:fillRect/>
                          </a:stretch>
                        </pic:blipFill>
                        <pic:spPr>
                          <a:xfrm>
                            <a:off x="0" y="0"/>
                            <a:ext cx="4500880" cy="1442085"/>
                          </a:xfrm>
                          <a:prstGeom prst="rect">
                            <a:avLst/>
                          </a:prstGeom>
                          <a:noFill/>
                          <a:ln>
                            <a:noFill/>
                          </a:ln>
                        </pic:spPr>
                      </pic:pic>
                    </a:graphicData>
                  </a:graphic>
                </wp:inline>
              </w:drawing>
            </w:r>
          </w:p>
          <w:p w14:paraId="193F2078">
            <w:pPr>
              <w:pStyle w:val="1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2" w:firstLineChars="200"/>
              <w:jc w:val="center"/>
              <w:textAlignment w:val="auto"/>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图2</w:t>
            </w:r>
            <w:r>
              <w:rPr>
                <w:rFonts w:hint="eastAsia"/>
                <w:b/>
                <w:bCs/>
                <w:color w:val="000000" w:themeColor="text1"/>
                <w:szCs w:val="21"/>
                <w:highlight w:val="none"/>
                <w:lang w:val="en-US" w:eastAsia="zh-CN"/>
                <w14:textFill>
                  <w14:solidFill>
                    <w14:schemeClr w14:val="tx1"/>
                  </w14:solidFill>
                </w14:textFill>
              </w:rPr>
              <w:t xml:space="preserve">-1 </w:t>
            </w:r>
            <w:r>
              <w:rPr>
                <w:rFonts w:hint="default"/>
                <w:b/>
                <w:bCs/>
                <w:color w:val="000000" w:themeColor="text1"/>
                <w:szCs w:val="21"/>
                <w:highlight w:val="none"/>
                <w14:textFill>
                  <w14:solidFill>
                    <w14:schemeClr w14:val="tx1"/>
                  </w14:solidFill>
                </w14:textFill>
              </w:rPr>
              <w:t>项目施工期工艺流程及产污环节示意图</w:t>
            </w:r>
          </w:p>
          <w:p w14:paraId="0606B9D4">
            <w:pPr>
              <w:pStyle w:val="1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2" w:firstLineChars="200"/>
              <w:textAlignment w:val="auto"/>
              <w:rPr>
                <w:rFonts w:hint="default"/>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施工期主要污染工序：</w:t>
            </w:r>
          </w:p>
          <w:p w14:paraId="2D5F015E">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（1）废气</w:t>
            </w:r>
          </w:p>
          <w:p w14:paraId="780D15D1">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主要为场地平整、基础开挖、建筑材料运输及装卸、弃土堆存等过程产生的扬尘，施工机械和施工运输车辆产生的机动车尾气。</w:t>
            </w:r>
          </w:p>
          <w:p w14:paraId="5E8DAB5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（2）废水</w:t>
            </w:r>
          </w:p>
          <w:p w14:paraId="3D22AB68">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主要是在建设施工过程中产生的泥浆废水、混凝土养护废水、各种车辆冲洗废水，施工人员产生的生活污水。</w:t>
            </w:r>
          </w:p>
          <w:p w14:paraId="2AE5448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（3）噪声</w:t>
            </w:r>
          </w:p>
          <w:p w14:paraId="3F189053">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jc w:val="both"/>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主要是施工过程中装载机、推土机、挖掘机、轮式机、起重机、钻机、搅拌机、运输车辆等运行时产生的噪声。</w:t>
            </w:r>
          </w:p>
          <w:p w14:paraId="0A42DA44">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textAlignment w:val="auto"/>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（4）固体废物</w:t>
            </w:r>
          </w:p>
          <w:p w14:paraId="1D2E0F45">
            <w:pPr>
              <w:pStyle w:val="42"/>
              <w:keepNext w:val="0"/>
              <w:keepLines w:val="0"/>
              <w:suppressLineNumbers w:val="0"/>
              <w:spacing w:before="0" w:beforeAutospacing="0" w:after="0" w:afterAutospacing="0"/>
              <w:ind w:left="0" w:right="0" w:firstLine="420" w:firstLineChars="200"/>
              <w:rPr>
                <w:rFonts w:hint="default"/>
                <w:color w:val="000000" w:themeColor="text1"/>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主要为建筑废弃材料和施工人员生活垃圾。</w:t>
            </w:r>
          </w:p>
          <w:p w14:paraId="13C8DBD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eastAsia="zh-CN"/>
                <w14:textFill>
                  <w14:solidFill>
                    <w14:schemeClr w14:val="tx1"/>
                  </w14:solidFill>
                </w14:textFill>
              </w:rPr>
              <w:t>二、</w:t>
            </w:r>
            <w:r>
              <w:rPr>
                <w:rFonts w:hint="default" w:ascii="Times New Roman" w:hAnsi="Times New Roman" w:eastAsia="宋体" w:cs="Times New Roman"/>
                <w:b/>
                <w:color w:val="000000" w:themeColor="text1"/>
                <w:kern w:val="21"/>
                <w:sz w:val="21"/>
                <w:szCs w:val="21"/>
                <w:highlight w:val="none"/>
                <w14:textFill>
                  <w14:solidFill>
                    <w14:schemeClr w14:val="tx1"/>
                  </w14:solidFill>
                </w14:textFill>
              </w:rPr>
              <w:t>运营期工艺流程</w:t>
            </w:r>
            <w:r>
              <w:rPr>
                <w:rFonts w:hint="eastAsia" w:cs="Times New Roman"/>
                <w:b/>
                <w:color w:val="000000" w:themeColor="text1"/>
                <w:kern w:val="21"/>
                <w:sz w:val="21"/>
                <w:szCs w:val="21"/>
                <w:highlight w:val="none"/>
                <w:lang w:val="en-US" w:eastAsia="zh-CN"/>
                <w14:textFill>
                  <w14:solidFill>
                    <w14:schemeClr w14:val="tx1"/>
                  </w14:solidFill>
                </w14:textFill>
              </w:rPr>
              <w:t>分析</w:t>
            </w:r>
          </w:p>
          <w:p w14:paraId="5605639B">
            <w:pPr>
              <w:pStyle w:val="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113" w:rightChars="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运营期</w:t>
            </w:r>
            <w:r>
              <w:rPr>
                <w:rFonts w:hint="eastAsia" w:cs="Times New Roman"/>
                <w:color w:val="000000" w:themeColor="text1"/>
                <w:sz w:val="21"/>
                <w:szCs w:val="21"/>
                <w:highlight w:val="none"/>
                <w:lang w:val="en-US" w:eastAsia="zh-CN"/>
                <w14:textFill>
                  <w14:solidFill>
                    <w14:schemeClr w14:val="tx1"/>
                  </w14:solidFill>
                </w14:textFill>
              </w:rPr>
              <w:t>玉米及水稻烘干</w:t>
            </w:r>
            <w:r>
              <w:rPr>
                <w:rFonts w:hint="default" w:ascii="Times New Roman" w:hAnsi="Times New Roman" w:cs="Times New Roman"/>
                <w:color w:val="000000" w:themeColor="text1"/>
                <w:sz w:val="21"/>
                <w:szCs w:val="21"/>
                <w:highlight w:val="none"/>
                <w14:textFill>
                  <w14:solidFill>
                    <w14:schemeClr w14:val="tx1"/>
                  </w14:solidFill>
                </w14:textFill>
              </w:rPr>
              <w:t>工艺流程及产污节点</w:t>
            </w:r>
          </w:p>
          <w:p w14:paraId="40DE638F">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color w:val="000000" w:themeColor="text1"/>
                <w:highlight w:val="none"/>
                <w14:textFill>
                  <w14:solidFill>
                    <w14:schemeClr w14:val="tx1"/>
                  </w14:solidFill>
                </w14:textFill>
              </w:rPr>
              <mc:AlternateContent>
                <mc:Choice Requires="wpc">
                  <w:drawing>
                    <wp:inline distT="0" distB="0" distL="114300" distR="114300">
                      <wp:extent cx="4768215" cy="3094355"/>
                      <wp:effectExtent l="0" t="0" r="0" b="0"/>
                      <wp:docPr id="6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直接箭头连接符 11"/>
                              <wps:cNvCnPr>
                                <a:cxnSpLocks noChangeShapeType="1"/>
                              </wps:cNvCnPr>
                              <wps:spPr bwMode="auto">
                                <a:xfrm>
                                  <a:off x="2915221" y="779145"/>
                                  <a:ext cx="0" cy="292100"/>
                                </a:xfrm>
                                <a:prstGeom prst="straightConnector1">
                                  <a:avLst/>
                                </a:prstGeom>
                                <a:noFill/>
                                <a:ln w="9525">
                                  <a:solidFill>
                                    <a:srgbClr val="000000"/>
                                  </a:solidFill>
                                  <a:round/>
                                  <a:tailEnd type="triangle" w="med" len="med"/>
                                </a:ln>
                                <a:effectLst/>
                              </wps:spPr>
                              <wps:bodyPr/>
                            </wps:wsp>
                            <wps:wsp>
                              <wps:cNvPr id="40" name="矩形 40"/>
                              <wps:cNvSpPr/>
                              <wps:spPr>
                                <a:xfrm>
                                  <a:off x="1108075" y="2663826"/>
                                  <a:ext cx="781050" cy="280035"/>
                                </a:xfrm>
                                <a:prstGeom prst="rect">
                                  <a:avLst/>
                                </a:prstGeom>
                                <a:noFill/>
                                <a:ln>
                                  <a:noFill/>
                                </a:ln>
                              </wps:spPr>
                              <wps:txbx>
                                <w:txbxContent>
                                  <w:p w14:paraId="7EFED415">
                                    <w:pPr>
                                      <w:adjustRightInd w:val="0"/>
                                      <w:snapToGrid w:val="0"/>
                                      <w:jc w:val="center"/>
                                      <w:rPr>
                                        <w:rFonts w:ascii="仿宋" w:hAnsi="仿宋" w:eastAsia="仿宋"/>
                                        <w:szCs w:val="21"/>
                                      </w:rPr>
                                    </w:pPr>
                                    <w:r>
                                      <w:rPr>
                                        <w:rFonts w:ascii="仿宋" w:hAnsi="仿宋" w:eastAsia="仿宋"/>
                                        <w:szCs w:val="21"/>
                                      </w:rPr>
                                      <w:t>空气</w:t>
                                    </w:r>
                                  </w:p>
                                </w:txbxContent>
                              </wps:txbx>
                              <wps:bodyPr anchor="ctr" anchorCtr="0" upright="1"/>
                            </wps:wsp>
                            <wps:wsp>
                              <wps:cNvPr id="41" name="直接箭头连接符 41"/>
                              <wps:cNvCnPr>
                                <a:cxnSpLocks noChangeShapeType="1"/>
                              </wps:cNvCnPr>
                              <wps:spPr bwMode="auto">
                                <a:xfrm>
                                  <a:off x="2915221" y="1723391"/>
                                  <a:ext cx="0" cy="292100"/>
                                </a:xfrm>
                                <a:prstGeom prst="straightConnector1">
                                  <a:avLst/>
                                </a:prstGeom>
                                <a:noFill/>
                                <a:ln w="9525">
                                  <a:solidFill>
                                    <a:srgbClr val="000000"/>
                                  </a:solidFill>
                                  <a:round/>
                                  <a:tailEnd type="triangle" w="med" len="med"/>
                                </a:ln>
                                <a:effectLst/>
                              </wps:spPr>
                              <wps:bodyPr/>
                            </wps:wsp>
                            <wps:wsp>
                              <wps:cNvPr id="42" name="直接箭头连接符 42"/>
                              <wps:cNvCnPr>
                                <a:cxnSpLocks noChangeShapeType="1"/>
                              </wps:cNvCnPr>
                              <wps:spPr bwMode="auto">
                                <a:xfrm>
                                  <a:off x="2915221" y="1268730"/>
                                  <a:ext cx="0" cy="292100"/>
                                </a:xfrm>
                                <a:prstGeom prst="straightConnector1">
                                  <a:avLst/>
                                </a:prstGeom>
                                <a:noFill/>
                                <a:ln w="9525">
                                  <a:solidFill>
                                    <a:srgbClr val="000000"/>
                                  </a:solidFill>
                                  <a:round/>
                                  <a:tailEnd type="triangle" w="med" len="med"/>
                                </a:ln>
                                <a:effectLst/>
                              </wps:spPr>
                              <wps:bodyPr/>
                            </wps:wsp>
                            <wps:wsp>
                              <wps:cNvPr id="43" name="矩形 43"/>
                              <wps:cNvSpPr/>
                              <wps:spPr>
                                <a:xfrm>
                                  <a:off x="2320925" y="995045"/>
                                  <a:ext cx="1149350" cy="283845"/>
                                </a:xfrm>
                                <a:prstGeom prst="rect">
                                  <a:avLst/>
                                </a:prstGeom>
                                <a:noFill/>
                                <a:ln w="25400" cap="flat" cmpd="sng">
                                  <a:solidFill>
                                    <a:srgbClr val="000000"/>
                                  </a:solidFill>
                                  <a:prstDash val="solid"/>
                                  <a:round/>
                                  <a:headEnd type="none" w="med" len="med"/>
                                  <a:tailEnd type="none" w="med" len="med"/>
                                </a:ln>
                              </wps:spPr>
                              <wps:txbx>
                                <w:txbxContent>
                                  <w:p w14:paraId="6843083A">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w:t>
                                    </w:r>
                                    <w:r>
                                      <w:rPr>
                                        <w:rFonts w:ascii="仿宋" w:hAnsi="仿宋" w:eastAsia="仿宋"/>
                                        <w:szCs w:val="21"/>
                                      </w:rPr>
                                      <w:t>前</w:t>
                                    </w:r>
                                    <w:r>
                                      <w:rPr>
                                        <w:rFonts w:hint="eastAsia" w:ascii="仿宋" w:hAnsi="仿宋" w:eastAsia="仿宋"/>
                                        <w:szCs w:val="21"/>
                                      </w:rPr>
                                      <w:t>）</w:t>
                                    </w:r>
                                  </w:p>
                                </w:txbxContent>
                              </wps:txbx>
                              <wps:bodyPr anchor="ctr" anchorCtr="0" upright="1"/>
                            </wps:wsp>
                            <wps:wsp>
                              <wps:cNvPr id="45" name="矩形 45"/>
                              <wps:cNvSpPr/>
                              <wps:spPr>
                                <a:xfrm>
                                  <a:off x="2320925" y="2131696"/>
                                  <a:ext cx="1149350" cy="293370"/>
                                </a:xfrm>
                                <a:prstGeom prst="rect">
                                  <a:avLst/>
                                </a:prstGeom>
                                <a:noFill/>
                                <a:ln w="25400" cap="flat" cmpd="sng">
                                  <a:solidFill>
                                    <a:srgbClr val="000000"/>
                                  </a:solidFill>
                                  <a:prstDash val="solid"/>
                                  <a:round/>
                                  <a:headEnd type="none" w="med" len="med"/>
                                  <a:tailEnd type="none" w="med" len="med"/>
                                </a:ln>
                              </wps:spPr>
                              <wps:txbx>
                                <w:txbxContent>
                                  <w:p w14:paraId="1902AE33">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段（烘后）</w:t>
                                    </w:r>
                                  </w:p>
                                </w:txbxContent>
                              </wps:txbx>
                              <wps:bodyPr anchor="ctr" anchorCtr="0" upright="1"/>
                            </wps:wsp>
                            <wps:wsp>
                              <wps:cNvPr id="46" name="矩形 46"/>
                              <wps:cNvSpPr/>
                              <wps:spPr>
                                <a:xfrm>
                                  <a:off x="2320834" y="1560830"/>
                                  <a:ext cx="1148766" cy="296545"/>
                                </a:xfrm>
                                <a:prstGeom prst="rect">
                                  <a:avLst/>
                                </a:prstGeom>
                                <a:noFill/>
                                <a:ln w="25400" cap="flat" cmpd="sng">
                                  <a:solidFill>
                                    <a:srgbClr val="000000"/>
                                  </a:solidFill>
                                  <a:prstDash val="solid"/>
                                  <a:round/>
                                  <a:headEnd type="none" w="med" len="med"/>
                                  <a:tailEnd type="none" w="med" len="med"/>
                                </a:ln>
                              </wps:spPr>
                              <wps:txbx>
                                <w:txbxContent>
                                  <w:p w14:paraId="56E965E8">
                                    <w:pPr>
                                      <w:adjustRightInd w:val="0"/>
                                      <w:snapToGrid w:val="0"/>
                                      <w:jc w:val="center"/>
                                      <w:rPr>
                                        <w:rFonts w:ascii="仿宋" w:hAnsi="仿宋" w:eastAsia="仿宋"/>
                                        <w:szCs w:val="21"/>
                                      </w:rPr>
                                    </w:pPr>
                                    <w:r>
                                      <w:rPr>
                                        <w:rFonts w:hint="eastAsia" w:ascii="仿宋" w:hAnsi="仿宋" w:eastAsia="仿宋"/>
                                        <w:szCs w:val="21"/>
                                      </w:rPr>
                                      <w:t>烘干</w:t>
                                    </w:r>
                                  </w:p>
                                </w:txbxContent>
                              </wps:txbx>
                              <wps:bodyPr anchor="ctr" anchorCtr="0" upright="1"/>
                            </wps:wsp>
                            <wps:wsp>
                              <wps:cNvPr id="47" name="矩形 47"/>
                              <wps:cNvSpPr/>
                              <wps:spPr>
                                <a:xfrm>
                                  <a:off x="2604771" y="2648586"/>
                                  <a:ext cx="617855" cy="276225"/>
                                </a:xfrm>
                                <a:prstGeom prst="rect">
                                  <a:avLst/>
                                </a:prstGeom>
                                <a:noFill/>
                                <a:ln>
                                  <a:noFill/>
                                </a:ln>
                              </wps:spPr>
                              <wps:txbx>
                                <w:txbxContent>
                                  <w:p w14:paraId="4725B0BA">
                                    <w:pPr>
                                      <w:jc w:val="center"/>
                                      <w:rPr>
                                        <w:rFonts w:ascii="仿宋" w:hAnsi="仿宋" w:eastAsia="仿宋"/>
                                        <w:szCs w:val="21"/>
                                      </w:rPr>
                                    </w:pPr>
                                    <w:r>
                                      <w:rPr>
                                        <w:rFonts w:hint="eastAsia" w:ascii="仿宋" w:hAnsi="仿宋" w:eastAsia="仿宋"/>
                                        <w:szCs w:val="21"/>
                                      </w:rPr>
                                      <w:t>产品</w:t>
                                    </w:r>
                                  </w:p>
                                </w:txbxContent>
                              </wps:txbx>
                              <wps:bodyPr anchor="ctr" anchorCtr="0" upright="1"/>
                            </wps:wsp>
                            <wps:wsp>
                              <wps:cNvPr id="51" name="矩形 51"/>
                              <wps:cNvSpPr/>
                              <wps:spPr>
                                <a:xfrm>
                                  <a:off x="2320925" y="426085"/>
                                  <a:ext cx="1148715" cy="296545"/>
                                </a:xfrm>
                                <a:prstGeom prst="rect">
                                  <a:avLst/>
                                </a:prstGeom>
                                <a:noFill/>
                                <a:ln w="28575" cap="flat" cmpd="sng">
                                  <a:solidFill>
                                    <a:srgbClr val="000000"/>
                                  </a:solidFill>
                                  <a:prstDash val="solid"/>
                                  <a:round/>
                                  <a:headEnd type="none" w="med" len="med"/>
                                  <a:tailEnd type="none" w="med" len="med"/>
                                </a:ln>
                              </wps:spPr>
                              <wps:txbx>
                                <w:txbxContent>
                                  <w:p w14:paraId="0CB44E5B">
                                    <w:pPr>
                                      <w:adjustRightInd w:val="0"/>
                                      <w:snapToGrid w:val="0"/>
                                      <w:jc w:val="center"/>
                                      <w:rPr>
                                        <w:rFonts w:eastAsia="仿宋"/>
                                        <w:szCs w:val="21"/>
                                      </w:rPr>
                                    </w:pPr>
                                    <w:r>
                                      <w:rPr>
                                        <w:rFonts w:eastAsia="仿宋"/>
                                        <w:szCs w:val="21"/>
                                      </w:rPr>
                                      <w:t>筛选</w:t>
                                    </w:r>
                                  </w:p>
                                </w:txbxContent>
                              </wps:txbx>
                              <wps:bodyPr anchor="ctr" anchorCtr="0" upright="1"/>
                            </wps:wsp>
                            <wps:wsp>
                              <wps:cNvPr id="52" name="直接箭头连接符 52"/>
                              <wps:cNvCnPr>
                                <a:cxnSpLocks noChangeShapeType="1"/>
                              </wps:cNvCnPr>
                              <wps:spPr bwMode="auto">
                                <a:xfrm>
                                  <a:off x="2915221" y="2329816"/>
                                  <a:ext cx="0" cy="292100"/>
                                </a:xfrm>
                                <a:prstGeom prst="straightConnector1">
                                  <a:avLst/>
                                </a:prstGeom>
                                <a:noFill/>
                                <a:ln w="9525">
                                  <a:solidFill>
                                    <a:srgbClr val="000000"/>
                                  </a:solidFill>
                                  <a:round/>
                                  <a:tailEnd type="triangle" w="med" len="med"/>
                                </a:ln>
                                <a:effectLst/>
                              </wps:spPr>
                              <wps:bodyPr/>
                            </wps:wsp>
                            <wps:wsp>
                              <wps:cNvPr id="53" name="矩形 53"/>
                              <wps:cNvSpPr/>
                              <wps:spPr>
                                <a:xfrm>
                                  <a:off x="1013460" y="2127251"/>
                                  <a:ext cx="958215" cy="290830"/>
                                </a:xfrm>
                                <a:prstGeom prst="rect">
                                  <a:avLst/>
                                </a:prstGeom>
                                <a:noFill/>
                                <a:ln w="25400" cap="flat" cmpd="sng">
                                  <a:solidFill>
                                    <a:srgbClr val="000000"/>
                                  </a:solidFill>
                                  <a:prstDash val="solid"/>
                                  <a:round/>
                                  <a:headEnd type="none" w="med" len="med"/>
                                  <a:tailEnd type="none" w="med" len="med"/>
                                </a:ln>
                              </wps:spPr>
                              <wps:txbx>
                                <w:txbxContent>
                                  <w:p w14:paraId="1D88D863">
                                    <w:pPr>
                                      <w:adjustRightInd w:val="0"/>
                                      <w:snapToGrid w:val="0"/>
                                      <w:jc w:val="center"/>
                                      <w:rPr>
                                        <w:sz w:val="15"/>
                                        <w:szCs w:val="15"/>
                                      </w:rPr>
                                    </w:pPr>
                                    <w:r>
                                      <w:rPr>
                                        <w:rFonts w:ascii="仿宋" w:hAnsi="仿宋" w:eastAsia="仿宋"/>
                                        <w:szCs w:val="21"/>
                                      </w:rPr>
                                      <w:t>热风炉</w:t>
                                    </w:r>
                                    <w:r>
                                      <w:rPr>
                                        <w:rFonts w:hint="eastAsia" w:ascii="仿宋" w:hAnsi="仿宋" w:eastAsia="仿宋" w:cs="仿宋"/>
                                        <w:sz w:val="21"/>
                                        <w:szCs w:val="21"/>
                                      </w:rPr>
                                      <w:t>供热</w:t>
                                    </w:r>
                                  </w:p>
                                </w:txbxContent>
                              </wps:txbx>
                              <wps:bodyPr anchor="ctr" anchorCtr="0" upright="1"/>
                            </wps:wsp>
                            <wps:wsp>
                              <wps:cNvPr id="225" name="直接箭头连接符 225"/>
                              <wps:cNvCnPr>
                                <a:cxnSpLocks noChangeShapeType="1"/>
                              </wps:cNvCnPr>
                              <wps:spPr bwMode="auto">
                                <a:xfrm>
                                  <a:off x="1971675" y="1711326"/>
                                  <a:ext cx="325770" cy="0"/>
                                </a:xfrm>
                                <a:prstGeom prst="straightConnector1">
                                  <a:avLst/>
                                </a:prstGeom>
                                <a:noFill/>
                                <a:ln w="9525">
                                  <a:solidFill>
                                    <a:srgbClr val="000000"/>
                                  </a:solidFill>
                                  <a:round/>
                                  <a:tailEnd type="triangle" w="med" len="med"/>
                                </a:ln>
                                <a:effectLst/>
                              </wps:spPr>
                              <wps:bodyPr/>
                            </wps:wsp>
                            <wps:wsp>
                              <wps:cNvPr id="226" name="矩形 226"/>
                              <wps:cNvSpPr>
                                <a:spLocks noChangeArrowheads="1"/>
                              </wps:cNvSpPr>
                              <wps:spPr bwMode="auto">
                                <a:xfrm>
                                  <a:off x="3064510" y="2698750"/>
                                  <a:ext cx="1703705" cy="254635"/>
                                </a:xfrm>
                                <a:prstGeom prst="rect">
                                  <a:avLst/>
                                </a:prstGeom>
                                <a:noFill/>
                                <a:ln>
                                  <a:noFill/>
                                </a:ln>
                                <a:effectLst/>
                              </wps:spPr>
                              <wps:txbx>
                                <w:txbxContent>
                                  <w:p w14:paraId="1CE781C2">
                                    <w:pPr>
                                      <w:jc w:val="center"/>
                                      <w:rPr>
                                        <w:szCs w:val="21"/>
                                      </w:rPr>
                                    </w:pPr>
                                    <w:r>
                                      <w:rPr>
                                        <w:szCs w:val="21"/>
                                      </w:rPr>
                                      <w:t>注：G废气 S固废 N噪声</w:t>
                                    </w:r>
                                  </w:p>
                                </w:txbxContent>
                              </wps:txbx>
                              <wps:bodyPr rot="0" vert="horz" wrap="square" lIns="91440" tIns="45720" rIns="91440" bIns="45720" anchor="ctr" anchorCtr="0" upright="1">
                                <a:noAutofit/>
                              </wps:bodyPr>
                            </wps:wsp>
                            <wps:wsp>
                              <wps:cNvPr id="230" name="直接箭头连接符 230"/>
                              <wps:cNvCnPr>
                                <a:cxnSpLocks noChangeShapeType="1"/>
                              </wps:cNvCnPr>
                              <wps:spPr bwMode="auto">
                                <a:xfrm flipV="1">
                                  <a:off x="1480185" y="2418081"/>
                                  <a:ext cx="1" cy="292100"/>
                                </a:xfrm>
                                <a:prstGeom prst="straightConnector1">
                                  <a:avLst/>
                                </a:prstGeom>
                                <a:noFill/>
                                <a:ln w="9525">
                                  <a:solidFill>
                                    <a:srgbClr val="000000"/>
                                  </a:solidFill>
                                  <a:round/>
                                  <a:tailEnd type="triangle" w="med" len="med"/>
                                </a:ln>
                                <a:effectLst/>
                              </wps:spPr>
                              <wps:bodyPr/>
                            </wps:wsp>
                            <wps:wsp>
                              <wps:cNvPr id="231" name="矩形 231"/>
                              <wps:cNvSpPr>
                                <a:spLocks noChangeArrowheads="1"/>
                              </wps:cNvSpPr>
                              <wps:spPr bwMode="auto">
                                <a:xfrm>
                                  <a:off x="1013460" y="907415"/>
                                  <a:ext cx="958215" cy="332105"/>
                                </a:xfrm>
                                <a:prstGeom prst="rect">
                                  <a:avLst/>
                                </a:prstGeom>
                                <a:noFill/>
                                <a:ln w="25400">
                                  <a:solidFill>
                                    <a:srgbClr val="000000"/>
                                  </a:solidFill>
                                  <a:round/>
                                </a:ln>
                                <a:effectLst/>
                              </wps:spPr>
                              <wps:txbx>
                                <w:txbxContent>
                                  <w:p w14:paraId="2D450D4A">
                                    <w:pPr>
                                      <w:adjustRightInd w:val="0"/>
                                      <w:snapToGrid w:val="0"/>
                                      <w:jc w:val="center"/>
                                      <w:rPr>
                                        <w:rFonts w:eastAsia="仿宋"/>
                                        <w:szCs w:val="21"/>
                                      </w:rPr>
                                    </w:pPr>
                                    <w:r>
                                      <w:rPr>
                                        <w:rFonts w:eastAsia="仿宋"/>
                                        <w:szCs w:val="21"/>
                                      </w:rPr>
                                      <w:t>布袋除尘器</w:t>
                                    </w:r>
                                  </w:p>
                                </w:txbxContent>
                              </wps:txbx>
                              <wps:bodyPr rot="0" vert="horz" wrap="square" lIns="91440" tIns="45720" rIns="91440" bIns="45720" anchor="ctr" anchorCtr="0" upright="1">
                                <a:noAutofit/>
                              </wps:bodyPr>
                            </wps:wsp>
                            <wps:wsp>
                              <wps:cNvPr id="237" name="直接箭头连接符 237"/>
                              <wps:cNvCnPr>
                                <a:cxnSpLocks noChangeShapeType="1"/>
                              </wps:cNvCnPr>
                              <wps:spPr bwMode="auto">
                                <a:xfrm>
                                  <a:off x="3479165" y="1171575"/>
                                  <a:ext cx="187325" cy="6985"/>
                                </a:xfrm>
                                <a:prstGeom prst="straightConnector1">
                                  <a:avLst/>
                                </a:prstGeom>
                                <a:noFill/>
                                <a:ln w="9525">
                                  <a:solidFill>
                                    <a:srgbClr val="000000"/>
                                  </a:solidFill>
                                  <a:round/>
                                  <a:tailEnd type="triangle" w="med" len="med"/>
                                </a:ln>
                                <a:effectLst/>
                              </wps:spPr>
                              <wps:bodyPr/>
                            </wps:wsp>
                            <wps:wsp>
                              <wps:cNvPr id="240" name="直接箭头连接符 240"/>
                              <wps:cNvCnPr>
                                <a:cxnSpLocks noChangeShapeType="1"/>
                              </wps:cNvCnPr>
                              <wps:spPr bwMode="auto">
                                <a:xfrm>
                                  <a:off x="3470871" y="1701801"/>
                                  <a:ext cx="187333" cy="6350"/>
                                </a:xfrm>
                                <a:prstGeom prst="straightConnector1">
                                  <a:avLst/>
                                </a:prstGeom>
                                <a:noFill/>
                                <a:ln w="9525">
                                  <a:solidFill>
                                    <a:srgbClr val="000000"/>
                                  </a:solidFill>
                                  <a:round/>
                                  <a:tailEnd type="triangle" w="med" len="med"/>
                                </a:ln>
                                <a:effectLst/>
                              </wps:spPr>
                              <wps:bodyPr/>
                            </wps:wsp>
                            <wps:wsp>
                              <wps:cNvPr id="244" name="矩形 244"/>
                              <wps:cNvSpPr>
                                <a:spLocks noChangeArrowheads="1"/>
                              </wps:cNvSpPr>
                              <wps:spPr bwMode="auto">
                                <a:xfrm>
                                  <a:off x="3593465" y="1031875"/>
                                  <a:ext cx="708025" cy="283845"/>
                                </a:xfrm>
                                <a:prstGeom prst="rect">
                                  <a:avLst/>
                                </a:prstGeom>
                                <a:noFill/>
                                <a:ln>
                                  <a:noFill/>
                                </a:ln>
                                <a:effectLst/>
                              </wps:spPr>
                              <wps:txbx>
                                <w:txbxContent>
                                  <w:p w14:paraId="1FE4E304">
                                    <w:pPr>
                                      <w:adjustRightInd w:val="0"/>
                                      <w:snapToGrid w:val="0"/>
                                      <w:jc w:val="center"/>
                                      <w:rPr>
                                        <w:szCs w:val="21"/>
                                      </w:rPr>
                                    </w:pPr>
                                    <w:r>
                                      <w:rPr>
                                        <w:szCs w:val="21"/>
                                      </w:rPr>
                                      <w:t>N、</w:t>
                                    </w:r>
                                    <w:r>
                                      <w:rPr>
                                        <w:rFonts w:eastAsia="Arial Unicode MS"/>
                                        <w:sz w:val="18"/>
                                        <w:szCs w:val="18"/>
                                      </w:rPr>
                                      <w:t>G</w:t>
                                    </w:r>
                                  </w:p>
                                  <w:p w14:paraId="47466349">
                                    <w:pPr>
                                      <w:adjustRightInd w:val="0"/>
                                      <w:snapToGrid w:val="0"/>
                                      <w:jc w:val="center"/>
                                      <w:rPr>
                                        <w:szCs w:val="21"/>
                                      </w:rPr>
                                    </w:pPr>
                                  </w:p>
                                </w:txbxContent>
                              </wps:txbx>
                              <wps:bodyPr rot="0" vert="horz" wrap="square" lIns="91440" tIns="45720" rIns="91440" bIns="45720" anchor="ctr" anchorCtr="0" upright="1">
                                <a:noAutofit/>
                              </wps:bodyPr>
                            </wps:wsp>
                            <wps:wsp>
                              <wps:cNvPr id="252" name="矩形 252"/>
                              <wps:cNvSpPr>
                                <a:spLocks noChangeArrowheads="1"/>
                              </wps:cNvSpPr>
                              <wps:spPr bwMode="auto">
                                <a:xfrm>
                                  <a:off x="0" y="919480"/>
                                  <a:ext cx="848995" cy="288290"/>
                                </a:xfrm>
                                <a:prstGeom prst="rect">
                                  <a:avLst/>
                                </a:prstGeom>
                                <a:noFill/>
                                <a:ln>
                                  <a:noFill/>
                                </a:ln>
                                <a:effectLst/>
                              </wps:spPr>
                              <wps:txbx>
                                <w:txbxContent>
                                  <w:p w14:paraId="7509DEC9">
                                    <w:pPr>
                                      <w:adjustRightInd w:val="0"/>
                                      <w:snapToGrid w:val="0"/>
                                      <w:jc w:val="center"/>
                                      <w:rPr>
                                        <w:szCs w:val="21"/>
                                      </w:rPr>
                                    </w:pPr>
                                    <w:r>
                                      <w:rPr>
                                        <w:szCs w:val="21"/>
                                      </w:rPr>
                                      <w:t>G、S、N</w:t>
                                    </w:r>
                                  </w:p>
                                </w:txbxContent>
                              </wps:txbx>
                              <wps:bodyPr rot="0" vert="horz" wrap="square" lIns="91440" tIns="45720" rIns="91440" bIns="45720" anchor="ctr" anchorCtr="0" upright="1">
                                <a:noAutofit/>
                              </wps:bodyPr>
                            </wps:wsp>
                            <wps:wsp>
                              <wps:cNvPr id="3167" name="矩形 3167"/>
                              <wps:cNvSpPr>
                                <a:spLocks noChangeArrowheads="1"/>
                              </wps:cNvSpPr>
                              <wps:spPr bwMode="auto">
                                <a:xfrm>
                                  <a:off x="3658870" y="2124075"/>
                                  <a:ext cx="587375" cy="295910"/>
                                </a:xfrm>
                                <a:prstGeom prst="rect">
                                  <a:avLst/>
                                </a:prstGeom>
                                <a:noFill/>
                                <a:ln>
                                  <a:noFill/>
                                </a:ln>
                                <a:effectLst/>
                              </wps:spPr>
                              <wps:txbx>
                                <w:txbxContent>
                                  <w:p w14:paraId="4E413A1F">
                                    <w:pPr>
                                      <w:adjustRightInd w:val="0"/>
                                      <w:snapToGrid w:val="0"/>
                                      <w:rPr>
                                        <w:szCs w:val="21"/>
                                      </w:rPr>
                                    </w:pPr>
                                    <w:r>
                                      <w:rPr>
                                        <w:szCs w:val="21"/>
                                      </w:rPr>
                                      <w:t>N</w:t>
                                    </w:r>
                                    <w:r>
                                      <w:rPr>
                                        <w:rFonts w:hint="eastAsia"/>
                                        <w:szCs w:val="21"/>
                                      </w:rPr>
                                      <w:t>、G</w:t>
                                    </w:r>
                                  </w:p>
                                </w:txbxContent>
                              </wps:txbx>
                              <wps:bodyPr rot="0" vert="horz" wrap="square" lIns="91440" tIns="45720" rIns="91440" bIns="45720" anchor="ctr" anchorCtr="0" upright="1">
                                <a:noAutofit/>
                              </wps:bodyPr>
                            </wps:wsp>
                            <wps:wsp>
                              <wps:cNvPr id="54" name="矩形 54"/>
                              <wps:cNvSpPr>
                                <a:spLocks noChangeArrowheads="1"/>
                              </wps:cNvSpPr>
                              <wps:spPr bwMode="auto">
                                <a:xfrm>
                                  <a:off x="220980" y="2127885"/>
                                  <a:ext cx="593090" cy="314325"/>
                                </a:xfrm>
                                <a:prstGeom prst="rect">
                                  <a:avLst/>
                                </a:prstGeom>
                                <a:noFill/>
                                <a:ln>
                                  <a:noFill/>
                                </a:ln>
                                <a:effectLst/>
                              </wps:spPr>
                              <wps:txbx>
                                <w:txbxContent>
                                  <w:p w14:paraId="6BA07300">
                                    <w:pPr>
                                      <w:jc w:val="center"/>
                                      <w:rPr>
                                        <w:szCs w:val="21"/>
                                      </w:rPr>
                                    </w:pPr>
                                    <w:r>
                                      <w:rPr>
                                        <w:szCs w:val="21"/>
                                      </w:rPr>
                                      <w:t>S、N</w:t>
                                    </w:r>
                                  </w:p>
                                </w:txbxContent>
                              </wps:txbx>
                              <wps:bodyPr rot="0" vert="horz" wrap="square" lIns="91440" tIns="45720" rIns="91440" bIns="45720" anchor="ctr" anchorCtr="0" upright="1">
                                <a:noAutofit/>
                              </wps:bodyPr>
                            </wps:wsp>
                            <wps:wsp>
                              <wps:cNvPr id="55" name="矩形 55"/>
                              <wps:cNvSpPr>
                                <a:spLocks noChangeArrowheads="1"/>
                              </wps:cNvSpPr>
                              <wps:spPr bwMode="auto">
                                <a:xfrm>
                                  <a:off x="3658204" y="1538605"/>
                                  <a:ext cx="708057" cy="290830"/>
                                </a:xfrm>
                                <a:prstGeom prst="rect">
                                  <a:avLst/>
                                </a:prstGeom>
                                <a:noFill/>
                                <a:ln>
                                  <a:noFill/>
                                </a:ln>
                                <a:effectLst/>
                              </wps:spPr>
                              <wps:txbx>
                                <w:txbxContent>
                                  <w:p w14:paraId="6680BFD1">
                                    <w:pPr>
                                      <w:adjustRightInd w:val="0"/>
                                      <w:snapToGrid w:val="0"/>
                                      <w:rPr>
                                        <w:szCs w:val="21"/>
                                      </w:rPr>
                                    </w:pPr>
                                    <w:r>
                                      <w:rPr>
                                        <w:szCs w:val="21"/>
                                      </w:rPr>
                                      <w:t>N、G</w:t>
                                    </w:r>
                                  </w:p>
                                </w:txbxContent>
                              </wps:txbx>
                              <wps:bodyPr rot="0" vert="horz" wrap="square" lIns="91440" tIns="45720" rIns="91440" bIns="45720" anchor="ctr" anchorCtr="0" upright="1">
                                <a:noAutofit/>
                              </wps:bodyPr>
                            </wps:wsp>
                            <wps:wsp>
                              <wps:cNvPr id="56" name="直接箭头连接符 56"/>
                              <wps:cNvCnPr>
                                <a:cxnSpLocks noChangeShapeType="1"/>
                              </wps:cNvCnPr>
                              <wps:spPr bwMode="auto">
                                <a:xfrm>
                                  <a:off x="3471545" y="2272665"/>
                                  <a:ext cx="186690" cy="6350"/>
                                </a:xfrm>
                                <a:prstGeom prst="straightConnector1">
                                  <a:avLst/>
                                </a:prstGeom>
                                <a:noFill/>
                                <a:ln w="9525">
                                  <a:solidFill>
                                    <a:srgbClr val="000000"/>
                                  </a:solidFill>
                                  <a:round/>
                                  <a:tailEnd type="triangle" w="med" len="med"/>
                                </a:ln>
                                <a:effectLst/>
                              </wps:spPr>
                              <wps:bodyPr/>
                            </wps:wsp>
                            <wps:wsp>
                              <wps:cNvPr id="57" name="直接箭头连接符 57"/>
                              <wps:cNvCnPr>
                                <a:cxnSpLocks noChangeShapeType="1"/>
                              </wps:cNvCnPr>
                              <wps:spPr bwMode="auto">
                                <a:xfrm flipH="1">
                                  <a:off x="814070" y="2294891"/>
                                  <a:ext cx="160019" cy="1"/>
                                </a:xfrm>
                                <a:prstGeom prst="straightConnector1">
                                  <a:avLst/>
                                </a:prstGeom>
                                <a:noFill/>
                                <a:ln w="9525">
                                  <a:solidFill>
                                    <a:srgbClr val="000000"/>
                                  </a:solidFill>
                                  <a:round/>
                                  <a:tailEnd type="triangle" w="med" len="med"/>
                                </a:ln>
                                <a:effectLst/>
                              </wps:spPr>
                              <wps:bodyPr/>
                            </wps:wsp>
                            <wps:wsp>
                              <wps:cNvPr id="38" name="直接箭头连接符 38"/>
                              <wps:cNvCnPr>
                                <a:cxnSpLocks noChangeShapeType="1"/>
                              </wps:cNvCnPr>
                              <wps:spPr bwMode="auto">
                                <a:xfrm flipH="1">
                                  <a:off x="838200" y="1071245"/>
                                  <a:ext cx="159384" cy="1"/>
                                </a:xfrm>
                                <a:prstGeom prst="straightConnector1">
                                  <a:avLst/>
                                </a:prstGeom>
                                <a:noFill/>
                                <a:ln w="9525">
                                  <a:solidFill>
                                    <a:srgbClr val="000000"/>
                                  </a:solidFill>
                                  <a:round/>
                                  <a:tailEnd type="triangle" w="med" len="med"/>
                                </a:ln>
                                <a:effectLst/>
                              </wps:spPr>
                              <wps:bodyPr/>
                            </wps:wsp>
                            <wps:wsp>
                              <wps:cNvPr id="58" name="矩形 58"/>
                              <wps:cNvSpPr/>
                              <wps:spPr>
                                <a:xfrm>
                                  <a:off x="2487296" y="0"/>
                                  <a:ext cx="845185" cy="276225"/>
                                </a:xfrm>
                                <a:prstGeom prst="rect">
                                  <a:avLst/>
                                </a:prstGeom>
                                <a:noFill/>
                                <a:ln>
                                  <a:noFill/>
                                </a:ln>
                              </wps:spPr>
                              <wps:txbx>
                                <w:txbxContent>
                                  <w:p w14:paraId="267B840D">
                                    <w:pPr>
                                      <w:pStyle w:val="28"/>
                                      <w:adjustRightInd w:val="0"/>
                                      <w:snapToGrid w:val="0"/>
                                      <w:spacing w:before="0" w:beforeAutospacing="0" w:after="0" w:afterAutospacing="0"/>
                                      <w:jc w:val="center"/>
                                      <w:rPr>
                                        <w:rFonts w:ascii="仿宋" w:hAnsi="仿宋" w:eastAsia="仿宋"/>
                                        <w:sz w:val="21"/>
                                        <w:szCs w:val="21"/>
                                      </w:rPr>
                                    </w:pPr>
                                    <w:r>
                                      <w:rPr>
                                        <w:rFonts w:hint="eastAsia" w:ascii="仿宋" w:hAnsi="仿宋" w:eastAsia="仿宋"/>
                                        <w:color w:val="000000"/>
                                        <w:sz w:val="21"/>
                                        <w:szCs w:val="21"/>
                                      </w:rPr>
                                      <w:t>原料</w:t>
                                    </w:r>
                                  </w:p>
                                </w:txbxContent>
                              </wps:txbx>
                              <wps:bodyPr anchor="ctr" anchorCtr="0" upright="1"/>
                            </wps:wsp>
                            <wps:wsp>
                              <wps:cNvPr id="59" name="直接箭头连接符 59"/>
                              <wps:cNvCnPr/>
                              <wps:spPr>
                                <a:xfrm>
                                  <a:off x="2905761" y="233680"/>
                                  <a:ext cx="0" cy="183515"/>
                                </a:xfrm>
                                <a:prstGeom prst="straightConnector1">
                                  <a:avLst/>
                                </a:prstGeom>
                                <a:ln w="9525" cap="flat" cmpd="sng">
                                  <a:solidFill>
                                    <a:srgbClr val="000000"/>
                                  </a:solidFill>
                                  <a:prstDash val="solid"/>
                                  <a:round/>
                                  <a:headEnd type="none" w="med" len="med"/>
                                  <a:tailEnd type="triangle" w="med" len="med"/>
                                </a:ln>
                              </wps:spPr>
                              <wps:bodyPr/>
                            </wps:wsp>
                            <wps:wsp>
                              <wps:cNvPr id="60" name="矩形 60"/>
                              <wps:cNvSpPr>
                                <a:spLocks noChangeArrowheads="1"/>
                              </wps:cNvSpPr>
                              <wps:spPr bwMode="auto">
                                <a:xfrm>
                                  <a:off x="3635375" y="384810"/>
                                  <a:ext cx="746760" cy="379095"/>
                                </a:xfrm>
                                <a:prstGeom prst="rect">
                                  <a:avLst/>
                                </a:prstGeom>
                                <a:noFill/>
                                <a:ln>
                                  <a:noFill/>
                                </a:ln>
                                <a:effectLst/>
                              </wps:spPr>
                              <wps:txbx>
                                <w:txbxContent>
                                  <w:p w14:paraId="174D641D">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wps:txbx>
                              <wps:bodyPr rot="0" vert="horz" wrap="square" lIns="91440" tIns="45720" rIns="91440" bIns="45720" anchor="ctr" anchorCtr="0" upright="1">
                                <a:noAutofit/>
                              </wps:bodyPr>
                            </wps:wsp>
                            <wps:wsp>
                              <wps:cNvPr id="61" name="直接箭头连接符 61"/>
                              <wps:cNvCnPr>
                                <a:cxnSpLocks noChangeShapeType="1"/>
                              </wps:cNvCnPr>
                              <wps:spPr bwMode="auto">
                                <a:xfrm>
                                  <a:off x="3467735" y="586740"/>
                                  <a:ext cx="187325" cy="6350"/>
                                </a:xfrm>
                                <a:prstGeom prst="straightConnector1">
                                  <a:avLst/>
                                </a:prstGeom>
                                <a:noFill/>
                                <a:ln w="9525">
                                  <a:solidFill>
                                    <a:srgbClr val="000000"/>
                                  </a:solidFill>
                                  <a:round/>
                                  <a:tailEnd type="triangle" w="med" len="med"/>
                                </a:ln>
                                <a:effectLst/>
                              </wps:spPr>
                              <wps:bodyPr/>
                            </wps:wsp>
                            <wps:wsp>
                              <wps:cNvPr id="62" name="矩形 62"/>
                              <wps:cNvSpPr>
                                <a:spLocks noChangeArrowheads="1"/>
                              </wps:cNvSpPr>
                              <wps:spPr bwMode="auto">
                                <a:xfrm>
                                  <a:off x="1013460" y="1543050"/>
                                  <a:ext cx="958215" cy="303530"/>
                                </a:xfrm>
                                <a:prstGeom prst="rect">
                                  <a:avLst/>
                                </a:prstGeom>
                                <a:noFill/>
                                <a:ln w="25400">
                                  <a:solidFill>
                                    <a:srgbClr val="000000"/>
                                  </a:solidFill>
                                  <a:round/>
                                </a:ln>
                                <a:effectLst/>
                              </wps:spPr>
                              <wps:txbx>
                                <w:txbxContent>
                                  <w:p w14:paraId="01959748">
                                    <w:pPr>
                                      <w:adjustRightInd w:val="0"/>
                                      <w:snapToGrid w:val="0"/>
                                      <w:jc w:val="center"/>
                                      <w:rPr>
                                        <w:rFonts w:eastAsia="仿宋"/>
                                        <w:szCs w:val="21"/>
                                      </w:rPr>
                                    </w:pPr>
                                    <w:r>
                                      <w:rPr>
                                        <w:rFonts w:hint="eastAsia" w:eastAsia="仿宋"/>
                                        <w:szCs w:val="21"/>
                                      </w:rPr>
                                      <w:t>换热器</w:t>
                                    </w:r>
                                  </w:p>
                                </w:txbxContent>
                              </wps:txbx>
                              <wps:bodyPr rot="0" vert="horz" wrap="square" lIns="91440" tIns="45720" rIns="91440" bIns="45720" anchor="ctr" anchorCtr="0" upright="1">
                                <a:noAutofit/>
                              </wps:bodyPr>
                            </wps:wsp>
                            <wps:wsp>
                              <wps:cNvPr id="63" name="直接箭头连接符 63"/>
                              <wps:cNvCnPr>
                                <a:cxnSpLocks noChangeShapeType="1"/>
                              </wps:cNvCnPr>
                              <wps:spPr bwMode="auto">
                                <a:xfrm flipV="1">
                                  <a:off x="1505585" y="1245870"/>
                                  <a:ext cx="1" cy="292100"/>
                                </a:xfrm>
                                <a:prstGeom prst="straightConnector1">
                                  <a:avLst/>
                                </a:prstGeom>
                                <a:noFill/>
                                <a:ln w="9525">
                                  <a:solidFill>
                                    <a:srgbClr val="000000"/>
                                  </a:solidFill>
                                  <a:round/>
                                  <a:tailEnd type="triangle" w="med" len="med"/>
                                </a:ln>
                                <a:effectLst/>
                              </wps:spPr>
                              <wps:bodyPr/>
                            </wps:wsp>
                            <wps:wsp>
                              <wps:cNvPr id="64" name="直接箭头连接符 64"/>
                              <wps:cNvCnPr>
                                <a:cxnSpLocks noChangeShapeType="1"/>
                              </wps:cNvCnPr>
                              <wps:spPr bwMode="auto">
                                <a:xfrm flipV="1">
                                  <a:off x="1487170" y="1835151"/>
                                  <a:ext cx="0" cy="292100"/>
                                </a:xfrm>
                                <a:prstGeom prst="straightConnector1">
                                  <a:avLst/>
                                </a:prstGeom>
                                <a:noFill/>
                                <a:ln w="9525">
                                  <a:solidFill>
                                    <a:srgbClr val="000000"/>
                                  </a:solidFill>
                                  <a:round/>
                                  <a:tailEnd type="triangle" w="med" len="med"/>
                                </a:ln>
                                <a:effectLst/>
                              </wps:spPr>
                              <wps:bodyPr/>
                            </wps:wsp>
                            <wps:wsp>
                              <wps:cNvPr id="65" name="直接箭头连接符 65"/>
                              <wps:cNvCnPr>
                                <a:cxnSpLocks noChangeShapeType="1"/>
                              </wps:cNvCnPr>
                              <wps:spPr bwMode="auto">
                                <a:xfrm flipH="1">
                                  <a:off x="838200" y="1691006"/>
                                  <a:ext cx="160019" cy="0"/>
                                </a:xfrm>
                                <a:prstGeom prst="straightConnector1">
                                  <a:avLst/>
                                </a:prstGeom>
                                <a:noFill/>
                                <a:ln w="9525">
                                  <a:solidFill>
                                    <a:srgbClr val="000000"/>
                                  </a:solidFill>
                                  <a:round/>
                                  <a:tailEnd type="triangle" w="med" len="med"/>
                                </a:ln>
                                <a:effectLst/>
                              </wps:spPr>
                              <wps:bodyPr/>
                            </wps:wsp>
                            <wps:wsp>
                              <wps:cNvPr id="66" name="矩形 66"/>
                              <wps:cNvSpPr>
                                <a:spLocks noChangeArrowheads="1"/>
                              </wps:cNvSpPr>
                              <wps:spPr bwMode="auto">
                                <a:xfrm>
                                  <a:off x="351155" y="1537970"/>
                                  <a:ext cx="593090" cy="314325"/>
                                </a:xfrm>
                                <a:prstGeom prst="rect">
                                  <a:avLst/>
                                </a:prstGeom>
                                <a:noFill/>
                                <a:ln>
                                  <a:noFill/>
                                </a:ln>
                                <a:effectLst/>
                              </wps:spPr>
                              <wps:txbx>
                                <w:txbxContent>
                                  <w:p w14:paraId="5B7E2570">
                                    <w:pPr>
                                      <w:jc w:val="center"/>
                                      <w:rPr>
                                        <w:szCs w:val="21"/>
                                      </w:rPr>
                                    </w:pPr>
                                    <w:r>
                                      <w:rPr>
                                        <w:szCs w:val="21"/>
                                      </w:rPr>
                                      <w:t>N</w:t>
                                    </w:r>
                                  </w:p>
                                </w:txbxContent>
                              </wps:txbx>
                              <wps:bodyPr rot="0" vert="horz" wrap="square" lIns="91440" tIns="45720" rIns="91440" bIns="45720" anchor="ctr" anchorCtr="0" upright="1">
                                <a:noAutofit/>
                              </wps:bodyPr>
                            </wps:wsp>
                          </wpc:wpc>
                        </a:graphicData>
                      </a:graphic>
                    </wp:inline>
                  </w:drawing>
                </mc:Choice>
                <mc:Fallback>
                  <w:pict>
                    <v:group id="_x0000_s1026" o:spid="_x0000_s1026" o:spt="203" style="height:243.65pt;width:375.45pt;" coordsize="4768215,3094355" editas="canvas" o:gfxdata="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O4Dcy9gA&#10;AAAFAQAADwAAAAAAAAABACAAAAAiAAAAZHJzL2Rvd25yZXYueG1sUEsBAhQAFAAAAAgAh07iQCt5&#10;zE0GCQAAQU0AAA4AAAAAAAAAAQAgAAAAJwEAAGRycy9lMm9Eb2MueG1sUEsFBgAAAAAGAAYAWQEA&#10;AJ8MAAAAAA==&#10;">
                      <o:lock v:ext="edit" aspectratio="f"/>
                      <v:shape id="_x0000_s1026" o:spid="_x0000_s1026" style="position:absolute;left:0;top:0;height:3094355;width:4768215;" filled="f" stroked="f" coordsize="21600,21600" o:gfxdata="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O4Dcy9gAAAAFAQAADwAAAAAAAAABACAA&#10;AAAiAAAAZHJzL2Rvd25yZXYueG1sUEsBAhQAFAAAAAgAh07iQIx5B++7CAAAvEwAAA4AAAAAAAAA&#10;AQAgAAAAJwEAAGRycy9lMm9Eb2MueG1sUEsFBgAAAAAGAAYAWQEAAFQMAAAAAA==&#10;">
                        <v:fill on="f" focussize="0,0"/>
                        <v:stroke on="f"/>
                        <v:imagedata o:title=""/>
                        <o:lock v:ext="edit" aspectratio="t"/>
                      </v:shape>
                      <v:shape id="_x0000_s1026" o:spid="_x0000_s1026" o:spt="32" type="#_x0000_t32" style="position:absolute;left:2915221;top:779145;height:292100;width: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nDuu&#10;2AAAAAUBAAAPAAAAAAAAAAEAIAAAACIAAABkcnMvZG93bnJldi54bWxQSwECFAAUAAAACACHTuJA&#10;x6U6eCECAAAGBAAADgAAAAAAAAABACAAAAAnAQAAZHJzL2Uyb0RvYy54bWxQSwUGAAAAAAYABgBZ&#10;AQAAugUAAAAA&#10;">
                        <v:fill on="f" focussize="0,0"/>
                        <v:stroke color="#000000" joinstyle="round" endarrow="block"/>
                        <v:imagedata o:title=""/>
                        <o:lock v:ext="edit" aspectratio="f"/>
                      </v:shape>
                      <v:rect id="_x0000_s1026" o:spid="_x0000_s1026" o:spt="1" style="position:absolute;left:1108075;top:2663826;height:280035;width:781050;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w+loNMAAAAFAQAADwAAAAAAAAABACAAAAAiAAAAZHJzL2Rvd25yZXYueG1sUEsBAhQA&#10;FAAAAAgAh07iQGO+3kC+AQAAaQMAAA4AAAAAAAAAAQAgAAAAIgEAAGRycy9lMm9Eb2MueG1sUEsF&#10;BgAAAAAGAAYAWQEAAFIFAAAAAA==&#10;">
                        <v:fill on="f" focussize="0,0"/>
                        <v:stroke on="f"/>
                        <v:imagedata o:title=""/>
                        <o:lock v:ext="edit" aspectratio="f"/>
                        <v:textbox>
                          <w:txbxContent>
                            <w:p w14:paraId="7EFED415">
                              <w:pPr>
                                <w:adjustRightInd w:val="0"/>
                                <w:snapToGrid w:val="0"/>
                                <w:jc w:val="center"/>
                                <w:rPr>
                                  <w:rFonts w:ascii="仿宋" w:hAnsi="仿宋" w:eastAsia="仿宋"/>
                                  <w:szCs w:val="21"/>
                                </w:rPr>
                              </w:pPr>
                              <w:r>
                                <w:rPr>
                                  <w:rFonts w:ascii="仿宋" w:hAnsi="仿宋" w:eastAsia="仿宋"/>
                                  <w:szCs w:val="21"/>
                                </w:rPr>
                                <w:t>空气</w:t>
                              </w:r>
                            </w:p>
                          </w:txbxContent>
                        </v:textbox>
                      </v:rect>
                      <v:shape id="_x0000_s1026" o:spid="_x0000_s1026" o:spt="32" type="#_x0000_t32" style="position:absolute;left:2915221;top:1723391;height:292100;width: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Jw7&#10;rtgAAAAFAQAADwAAAAAAAAABACAAAAAiAAAAZHJzL2Rvd25yZXYueG1sUEsBAhQAFAAAAAgAh07i&#10;QNk9YGciAgAABwQAAA4AAAAAAAAAAQAgAAAAJwEAAGRycy9lMm9Eb2MueG1sUEsFBgAAAAAGAAYA&#10;WQEAALsFAAAAAA==&#10;">
                        <v:fill on="f" focussize="0,0"/>
                        <v:stroke color="#000000" joinstyle="round" endarrow="block"/>
                        <v:imagedata o:title=""/>
                        <o:lock v:ext="edit" aspectratio="f"/>
                      </v:shape>
                      <v:shape id="_x0000_s1026" o:spid="_x0000_s1026" o:spt="32" type="#_x0000_t32" style="position:absolute;left:2915221;top:1268730;height:292100;width: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Jw7&#10;rtgAAAAFAQAADwAAAAAAAAABACAAAAAiAAAAZHJzL2Rvd25yZXYueG1sUEsBAhQAFAAAAAgAh07i&#10;QEsJc3siAgAABwQAAA4AAAAAAAAAAQAgAAAAJwEAAGRycy9lMm9Eb2MueG1sUEsFBgAAAAAGAAYA&#10;WQEAALsFAAAAAA==&#10;">
                        <v:fill on="f" focussize="0,0"/>
                        <v:stroke color="#000000" joinstyle="round" endarrow="block"/>
                        <v:imagedata o:title=""/>
                        <o:lock v:ext="edit" aspectratio="f"/>
                      </v:shape>
                      <v:rect id="_x0000_s1026" o:spid="_x0000_s1026" o:spt="1" style="position:absolute;left:2320925;top:995045;height:283845;width:1149350;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0sm9cAAAAFAQAADwAA&#10;AAAAAAABACAAAAAiAAAAZHJzL2Rvd25yZXYueG1sUEsBAhQAFAAAAAgAh07iQL8aM4sXAgAAKQQA&#10;AA4AAAAAAAAAAQAgAAAAJgEAAGRycy9lMm9Eb2MueG1sUEsFBgAAAAAGAAYAWQEAAK8FAAAAAA==&#10;">
                        <v:fill on="f" focussize="0,0"/>
                        <v:stroke weight="2pt" color="#000000" joinstyle="round"/>
                        <v:imagedata o:title=""/>
                        <o:lock v:ext="edit" aspectratio="f"/>
                        <v:textbox>
                          <w:txbxContent>
                            <w:p w14:paraId="6843083A">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w:t>
                              </w:r>
                              <w:r>
                                <w:rPr>
                                  <w:rFonts w:ascii="仿宋" w:hAnsi="仿宋" w:eastAsia="仿宋"/>
                                  <w:szCs w:val="21"/>
                                </w:rPr>
                                <w:t>前</w:t>
                              </w:r>
                              <w:r>
                                <w:rPr>
                                  <w:rFonts w:hint="eastAsia" w:ascii="仿宋" w:hAnsi="仿宋" w:eastAsia="仿宋"/>
                                  <w:szCs w:val="21"/>
                                </w:rPr>
                                <w:t>）</w:t>
                              </w:r>
                            </w:p>
                          </w:txbxContent>
                        </v:textbox>
                      </v:rect>
                      <v:rect id="_x0000_s1026" o:spid="_x0000_s1026" o:spt="1" style="position:absolute;left:2320925;top:2131696;height:293370;width:1149350;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3Syb1wAAAAUBAAAPAAAA&#10;AAAAAAEAIAAAACIAAABkcnMvZG93bnJldi54bWxQSwECFAAUAAAACACHTuJAK0H1SRYCAAAqBAAA&#10;DgAAAAAAAAABACAAAAAmAQAAZHJzL2Uyb0RvYy54bWxQSwUGAAAAAAYABgBZAQAArgUAAAAA&#10;">
                        <v:fill on="f" focussize="0,0"/>
                        <v:stroke weight="2pt" color="#000000" joinstyle="round"/>
                        <v:imagedata o:title=""/>
                        <o:lock v:ext="edit" aspectratio="f"/>
                        <v:textbox>
                          <w:txbxContent>
                            <w:p w14:paraId="1902AE33">
                              <w:pPr>
                                <w:adjustRightInd w:val="0"/>
                                <w:snapToGrid w:val="0"/>
                                <w:rPr>
                                  <w:rFonts w:ascii="仿宋" w:hAnsi="仿宋" w:eastAsia="仿宋"/>
                                  <w:szCs w:val="21"/>
                                </w:rPr>
                              </w:pPr>
                              <w:r>
                                <w:rPr>
                                  <w:rFonts w:hint="eastAsia" w:ascii="仿宋" w:hAnsi="仿宋" w:eastAsia="仿宋"/>
                                  <w:szCs w:val="21"/>
                                </w:rPr>
                                <w:t>输送</w:t>
                              </w:r>
                              <w:r>
                                <w:rPr>
                                  <w:rFonts w:ascii="仿宋" w:hAnsi="仿宋" w:eastAsia="仿宋"/>
                                  <w:szCs w:val="21"/>
                                </w:rPr>
                                <w:t>工</w:t>
                              </w:r>
                              <w:r>
                                <w:rPr>
                                  <w:rFonts w:hint="eastAsia" w:ascii="仿宋" w:hAnsi="仿宋" w:eastAsia="仿宋"/>
                                  <w:szCs w:val="21"/>
                                </w:rPr>
                                <w:t>段（烘后）</w:t>
                              </w:r>
                            </w:p>
                          </w:txbxContent>
                        </v:textbox>
                      </v:rect>
                      <v:rect id="_x0000_s1026" o:spid="_x0000_s1026" o:spt="1" style="position:absolute;left:2320834;top:1560830;height:296545;width:1148766;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3Syb1wAAAAUBAAAPAAAA&#10;AAAAAAEAIAAAACIAAABkcnMvZG93bnJldi54bWxQSwECFAAUAAAACACHTuJAkpc1aBYCAAAqBAAA&#10;DgAAAAAAAAABACAAAAAmAQAAZHJzL2Uyb0RvYy54bWxQSwUGAAAAAAYABgBZAQAArgUAAAAA&#10;">
                        <v:fill on="f" focussize="0,0"/>
                        <v:stroke weight="2pt" color="#000000" joinstyle="round"/>
                        <v:imagedata o:title=""/>
                        <o:lock v:ext="edit" aspectratio="f"/>
                        <v:textbox>
                          <w:txbxContent>
                            <w:p w14:paraId="56E965E8">
                              <w:pPr>
                                <w:adjustRightInd w:val="0"/>
                                <w:snapToGrid w:val="0"/>
                                <w:jc w:val="center"/>
                                <w:rPr>
                                  <w:rFonts w:ascii="仿宋" w:hAnsi="仿宋" w:eastAsia="仿宋"/>
                                  <w:szCs w:val="21"/>
                                </w:rPr>
                              </w:pPr>
                              <w:r>
                                <w:rPr>
                                  <w:rFonts w:hint="eastAsia" w:ascii="仿宋" w:hAnsi="仿宋" w:eastAsia="仿宋"/>
                                  <w:szCs w:val="21"/>
                                </w:rPr>
                                <w:t>烘干</w:t>
                              </w:r>
                            </w:p>
                          </w:txbxContent>
                        </v:textbox>
                      </v:rect>
                      <v:rect id="_x0000_s1026" o:spid="_x0000_s1026" o:spt="1" style="position:absolute;left:2604771;top:2648586;height:276225;width:61785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w+loNMAAAAFAQAADwAAAAAAAAABACAAAAAiAAAAZHJzL2Rvd25yZXYueG1sUEsBAhQA&#10;FAAAAAgAh07iQMIYnPa+AQAAaQMAAA4AAAAAAAAAAQAgAAAAIgEAAGRycy9lMm9Eb2MueG1sUEsF&#10;BgAAAAAGAAYAWQEAAFIFAAAAAA==&#10;">
                        <v:fill on="f" focussize="0,0"/>
                        <v:stroke on="f"/>
                        <v:imagedata o:title=""/>
                        <o:lock v:ext="edit" aspectratio="f"/>
                        <v:textbox>
                          <w:txbxContent>
                            <w:p w14:paraId="4725B0BA">
                              <w:pPr>
                                <w:jc w:val="center"/>
                                <w:rPr>
                                  <w:rFonts w:ascii="仿宋" w:hAnsi="仿宋" w:eastAsia="仿宋"/>
                                  <w:szCs w:val="21"/>
                                </w:rPr>
                              </w:pPr>
                              <w:r>
                                <w:rPr>
                                  <w:rFonts w:hint="eastAsia" w:ascii="仿宋" w:hAnsi="仿宋" w:eastAsia="仿宋"/>
                                  <w:szCs w:val="21"/>
                                </w:rPr>
                                <w:t>产品</w:t>
                              </w:r>
                            </w:p>
                          </w:txbxContent>
                        </v:textbox>
                      </v:rect>
                      <v:rect id="_x0000_s1026" o:spid="_x0000_s1026" o:spt="1" style="position:absolute;left:2320925;top:426085;height:296545;width:1148715;v-text-anchor:middle;" filled="f" stroked="t" coordsize="21600,21600" o:gfxdata="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Xea1gAAAAUBAAAPAAAA&#10;AAAAAAEAIAAAACIAAABkcnMvZG93bnJldi54bWxQSwECFAAUAAAACACHTuJA/l1HIxcCAAApBAAA&#10;DgAAAAAAAAABACAAAAAlAQAAZHJzL2Uyb0RvYy54bWxQSwUGAAAAAAYABgBZAQAArgUAAAAA&#10;">
                        <v:fill on="f" focussize="0,0"/>
                        <v:stroke weight="2.25pt" color="#000000" joinstyle="round"/>
                        <v:imagedata o:title=""/>
                        <o:lock v:ext="edit" aspectratio="f"/>
                        <v:textbox>
                          <w:txbxContent>
                            <w:p w14:paraId="0CB44E5B">
                              <w:pPr>
                                <w:adjustRightInd w:val="0"/>
                                <w:snapToGrid w:val="0"/>
                                <w:jc w:val="center"/>
                                <w:rPr>
                                  <w:rFonts w:eastAsia="仿宋"/>
                                  <w:szCs w:val="21"/>
                                </w:rPr>
                              </w:pPr>
                              <w:r>
                                <w:rPr>
                                  <w:rFonts w:eastAsia="仿宋"/>
                                  <w:szCs w:val="21"/>
                                </w:rPr>
                                <w:t>筛选</w:t>
                              </w:r>
                            </w:p>
                          </w:txbxContent>
                        </v:textbox>
                      </v:rect>
                      <v:shape id="_x0000_s1026" o:spid="_x0000_s1026" o:spt="32" type="#_x0000_t32" style="position:absolute;left:2915221;top:2329816;height:292100;width: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Jw7&#10;rtgAAAAFAQAADwAAAAAAAAABACAAAAAiAAAAZHJzL2Rvd25yZXYueG1sUEsBAhQAFAAAAAgAh07i&#10;QGkpdhYiAgAABwQAAA4AAAAAAAAAAQAgAAAAJwEAAGRycy9lMm9Eb2MueG1sUEsFBgAAAAAGAAYA&#10;WQEAALsFAAAAAA==&#10;">
                        <v:fill on="f" focussize="0,0"/>
                        <v:stroke color="#000000" joinstyle="round" endarrow="block"/>
                        <v:imagedata o:title=""/>
                        <o:lock v:ext="edit" aspectratio="f"/>
                      </v:shape>
                      <v:rect id="_x0000_s1026" o:spid="_x0000_s1026" o:spt="1" style="position:absolute;left:1013460;top:2127251;height:290830;width:958215;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0sm9cAAAAFAQAADwAA&#10;AAAAAAABACAAAAAiAAAAZHJzL2Rvd25yZXYueG1sUEsBAhQAFAAAAAgAh07iQMOVsIIXAgAAKQQA&#10;AA4AAAAAAAAAAQAgAAAAJgEAAGRycy9lMm9Eb2MueG1sUEsFBgAAAAAGAAYAWQEAAK8FAAAAAA==&#10;">
                        <v:fill on="f" focussize="0,0"/>
                        <v:stroke weight="2pt" color="#000000" joinstyle="round"/>
                        <v:imagedata o:title=""/>
                        <o:lock v:ext="edit" aspectratio="f"/>
                        <v:textbox>
                          <w:txbxContent>
                            <w:p w14:paraId="1D88D863">
                              <w:pPr>
                                <w:adjustRightInd w:val="0"/>
                                <w:snapToGrid w:val="0"/>
                                <w:jc w:val="center"/>
                                <w:rPr>
                                  <w:sz w:val="15"/>
                                  <w:szCs w:val="15"/>
                                </w:rPr>
                              </w:pPr>
                              <w:r>
                                <w:rPr>
                                  <w:rFonts w:ascii="仿宋" w:hAnsi="仿宋" w:eastAsia="仿宋"/>
                                  <w:szCs w:val="21"/>
                                </w:rPr>
                                <w:t>热风炉</w:t>
                              </w:r>
                              <w:r>
                                <w:rPr>
                                  <w:rFonts w:hint="eastAsia" w:ascii="仿宋" w:hAnsi="仿宋" w:eastAsia="仿宋" w:cs="仿宋"/>
                                  <w:sz w:val="21"/>
                                  <w:szCs w:val="21"/>
                                </w:rPr>
                                <w:t>供热</w:t>
                              </w:r>
                            </w:p>
                          </w:txbxContent>
                        </v:textbox>
                      </v:rect>
                      <v:shape id="_x0000_s1026" o:spid="_x0000_s1026" o:spt="32" type="#_x0000_t32" style="position:absolute;left:1971675;top:1711326;height:0;width:32577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nDuu&#10;2AAAAAUBAAAPAAAAAAAAAAEAIAAAACIAAABkcnMvZG93bnJldi54bWxQSwECFAAUAAAACACHTuJA&#10;zPwEhiECAAAJBAAADgAAAAAAAAABACAAAAAnAQAAZHJzL2Uyb0RvYy54bWxQSwUGAAAAAAYABgBZ&#10;AQAAugUAAAAA&#10;">
                        <v:fill on="f" focussize="0,0"/>
                        <v:stroke color="#000000" joinstyle="round" endarrow="block"/>
                        <v:imagedata o:title=""/>
                        <o:lock v:ext="edit" aspectratio="f"/>
                      </v:shape>
                      <v:rect id="_x0000_s1026" o:spid="_x0000_s1026" o:spt="1" style="position:absolute;left:3064510;top:2698750;height:254635;width:170370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loNMAAAAF&#10;AQAADwAAAAAAAAABACAAAAAiAAAAZHJzL2Rvd25yZXYueG1sUEsBAhQAFAAAAAgAh07iQHA8/3Yh&#10;AgAAKAQAAA4AAAAAAAAAAQAgAAAAIgEAAGRycy9lMm9Eb2MueG1sUEsFBgAAAAAGAAYAWQEAALUF&#10;AAAAAA==&#10;">
                        <v:fill on="f" focussize="0,0"/>
                        <v:stroke on="f"/>
                        <v:imagedata o:title=""/>
                        <o:lock v:ext="edit" aspectratio="f"/>
                        <v:textbox>
                          <w:txbxContent>
                            <w:p w14:paraId="1CE781C2">
                              <w:pPr>
                                <w:jc w:val="center"/>
                                <w:rPr>
                                  <w:szCs w:val="21"/>
                                </w:rPr>
                              </w:pPr>
                              <w:r>
                                <w:rPr>
                                  <w:szCs w:val="21"/>
                                </w:rPr>
                                <w:t>注：G废气 S固废 N噪声</w:t>
                              </w:r>
                            </w:p>
                          </w:txbxContent>
                        </v:textbox>
                      </v:rect>
                      <v:shape id="_x0000_s1026" o:spid="_x0000_s1026" o:spt="32" type="#_x0000_t32" style="position:absolute;left:1480185;top:2418081;flip:y;height:292100;width:1;"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AE9DXAAAABQEAAA8AAAAAAAAAAQAgAAAAIgAAAGRycy9kb3ducmV2LnhtbFBLAQIUABQAAAAI&#10;AIdO4kA5D3INJwIAABMEAAAOAAAAAAAAAAEAIAAAACYBAABkcnMvZTJvRG9jLnhtbFBLBQYAAAAA&#10;BgAGAFkBAAC/BQAAAAA=&#10;">
                        <v:fill on="f" focussize="0,0"/>
                        <v:stroke color="#000000" joinstyle="round" endarrow="block"/>
                        <v:imagedata o:title=""/>
                        <o:lock v:ext="edit" aspectratio="f"/>
                      </v:shape>
                      <v:rect id="_x0000_s1026" o:spid="_x0000_s1026" o:spt="1" style="position:absolute;left:1013460;top:907415;height:332105;width:958215;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t0sm9cAAAAFAQAADwAAAAAAAAABACAAAAAiAAAA&#10;ZHJzL2Rvd25yZXYueG1sUEsBAhQAFAAAAAgAh07iQGPpVjBBAgAAYwQAAA4AAAAAAAAAAQAgAAAA&#10;JgEAAGRycy9lMm9Eb2MueG1sUEsFBgAAAAAGAAYAWQEAANkFAAAAAA==&#10;">
                        <v:fill on="f" focussize="0,0"/>
                        <v:stroke weight="2pt" color="#000000" joinstyle="round"/>
                        <v:imagedata o:title=""/>
                        <o:lock v:ext="edit" aspectratio="f"/>
                        <v:textbox>
                          <w:txbxContent>
                            <w:p w14:paraId="2D450D4A">
                              <w:pPr>
                                <w:adjustRightInd w:val="0"/>
                                <w:snapToGrid w:val="0"/>
                                <w:jc w:val="center"/>
                                <w:rPr>
                                  <w:rFonts w:eastAsia="仿宋"/>
                                  <w:szCs w:val="21"/>
                                </w:rPr>
                              </w:pPr>
                              <w:r>
                                <w:rPr>
                                  <w:rFonts w:eastAsia="仿宋"/>
                                  <w:szCs w:val="21"/>
                                </w:rPr>
                                <w:t>布袋除尘器</w:t>
                              </w:r>
                            </w:p>
                          </w:txbxContent>
                        </v:textbox>
                      </v:rect>
                      <v:shape id="_x0000_s1026" o:spid="_x0000_s1026" o:spt="32" type="#_x0000_t32" style="position:absolute;left:3479165;top:1171575;height:6985;width:187325;"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Jw7rtgAAAAFAQAADwAAAAAAAAABACAAAAAiAAAAZHJzL2Rvd25yZXYueG1sUEsBAhQAFAAAAAgA&#10;h07iQMNXzpMlAgAADAQAAA4AAAAAAAAAAQAgAAAAJwEAAGRycy9lMm9Eb2MueG1sUEsFBgAAAAAG&#10;AAYAWQEAAL4FAAAAAA==&#10;">
                        <v:fill on="f" focussize="0,0"/>
                        <v:stroke color="#000000" joinstyle="round" endarrow="block"/>
                        <v:imagedata o:title=""/>
                        <o:lock v:ext="edit" aspectratio="f"/>
                      </v:shape>
                      <v:shape id="_x0000_s1026" o:spid="_x0000_s1026" o:spt="32" type="#_x0000_t32" style="position:absolute;left:3470871;top:1701801;height:6350;width:187333;"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Jw7rtgAAAAFAQAADwAAAAAAAAABACAAAAAiAAAAZHJzL2Rvd25yZXYueG1sUEsBAhQAFAAA&#10;AAgAh07iQHScvAkoAgAADAQAAA4AAAAAAAAAAQAgAAAAJwEAAGRycy9lMm9Eb2MueG1sUEsFBgAA&#10;AAAGAAYAWQEAAMEFAAAAAA==&#10;">
                        <v:fill on="f" focussize="0,0"/>
                        <v:stroke color="#000000" joinstyle="round" endarrow="block"/>
                        <v:imagedata o:title=""/>
                        <o:lock v:ext="edit" aspectratio="f"/>
                      </v:shape>
                      <v:rect id="_x0000_s1026" o:spid="_x0000_s1026" o:spt="1" style="position:absolute;left:3593465;top:1031875;height:283845;width:70802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loNMAAAAF&#10;AQAADwAAAAAAAAABACAAAAAiAAAAZHJzL2Rvd25yZXYueG1sUEsBAhQAFAAAAAgAh07iQLQDLHAh&#10;AgAAJwQAAA4AAAAAAAAAAQAgAAAAIgEAAGRycy9lMm9Eb2MueG1sUEsFBgAAAAAGAAYAWQEAALUF&#10;AAAAAA==&#10;">
                        <v:fill on="f" focussize="0,0"/>
                        <v:stroke on="f"/>
                        <v:imagedata o:title=""/>
                        <o:lock v:ext="edit" aspectratio="f"/>
                        <v:textbox>
                          <w:txbxContent>
                            <w:p w14:paraId="1FE4E304">
                              <w:pPr>
                                <w:adjustRightInd w:val="0"/>
                                <w:snapToGrid w:val="0"/>
                                <w:jc w:val="center"/>
                                <w:rPr>
                                  <w:szCs w:val="21"/>
                                </w:rPr>
                              </w:pPr>
                              <w:r>
                                <w:rPr>
                                  <w:szCs w:val="21"/>
                                </w:rPr>
                                <w:t>N、</w:t>
                              </w:r>
                              <w:r>
                                <w:rPr>
                                  <w:rFonts w:eastAsia="Arial Unicode MS"/>
                                  <w:sz w:val="18"/>
                                  <w:szCs w:val="18"/>
                                </w:rPr>
                                <w:t>G</w:t>
                              </w:r>
                            </w:p>
                            <w:p w14:paraId="47466349">
                              <w:pPr>
                                <w:adjustRightInd w:val="0"/>
                                <w:snapToGrid w:val="0"/>
                                <w:jc w:val="center"/>
                                <w:rPr>
                                  <w:szCs w:val="21"/>
                                </w:rPr>
                              </w:pPr>
                            </w:p>
                          </w:txbxContent>
                        </v:textbox>
                      </v:rect>
                      <v:rect id="_x0000_s1026" o:spid="_x0000_s1026" o:spt="1" style="position:absolute;left:0;top:919480;height:288290;width:84899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w+loNMAAAAFAQAADwAAAAAA&#10;AAABACAAAAAiAAAAZHJzL2Rvd25yZXYueG1sUEsBAhQAFAAAAAgAh07iQGFGN04YAgAAIAQAAA4A&#10;AAAAAAAAAQAgAAAAIgEAAGRycy9lMm9Eb2MueG1sUEsFBgAAAAAGAAYAWQEAAKwFAAAAAA==&#10;">
                        <v:fill on="f" focussize="0,0"/>
                        <v:stroke on="f"/>
                        <v:imagedata o:title=""/>
                        <o:lock v:ext="edit" aspectratio="f"/>
                        <v:textbox>
                          <w:txbxContent>
                            <w:p w14:paraId="7509DEC9">
                              <w:pPr>
                                <w:adjustRightInd w:val="0"/>
                                <w:snapToGrid w:val="0"/>
                                <w:jc w:val="center"/>
                                <w:rPr>
                                  <w:szCs w:val="21"/>
                                </w:rPr>
                              </w:pPr>
                              <w:r>
                                <w:rPr>
                                  <w:szCs w:val="21"/>
                                </w:rPr>
                                <w:t>G、S、N</w:t>
                              </w:r>
                            </w:p>
                          </w:txbxContent>
                        </v:textbox>
                      </v:rect>
                      <v:rect id="_x0000_s1026" o:spid="_x0000_s1026" o:spt="1" style="position:absolute;left:3658870;top:2124075;height:295910;width:58737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loNMAAAAF&#10;AQAADwAAAAAAAAABACAAAAAiAAAAZHJzL2Rvd25yZXYueG1sUEsBAhQAFAAAAAgAh07iQGaNP/Ah&#10;AgAAKQQAAA4AAAAAAAAAAQAgAAAAIgEAAGRycy9lMm9Eb2MueG1sUEsFBgAAAAAGAAYAWQEAALUF&#10;AAAAAA==&#10;">
                        <v:fill on="f" focussize="0,0"/>
                        <v:stroke on="f"/>
                        <v:imagedata o:title=""/>
                        <o:lock v:ext="edit" aspectratio="f"/>
                        <v:textbox>
                          <w:txbxContent>
                            <w:p w14:paraId="4E413A1F">
                              <w:pPr>
                                <w:adjustRightInd w:val="0"/>
                                <w:snapToGrid w:val="0"/>
                                <w:rPr>
                                  <w:szCs w:val="21"/>
                                </w:rPr>
                              </w:pPr>
                              <w:r>
                                <w:rPr>
                                  <w:szCs w:val="21"/>
                                </w:rPr>
                                <w:t>N</w:t>
                              </w:r>
                              <w:r>
                                <w:rPr>
                                  <w:rFonts w:hint="eastAsia"/>
                                  <w:szCs w:val="21"/>
                                </w:rPr>
                                <w:t>、G</w:t>
                              </w:r>
                            </w:p>
                          </w:txbxContent>
                        </v:textbox>
                      </v:rect>
                      <v:rect id="_x0000_s1026" o:spid="_x0000_s1026" o:spt="1" style="position:absolute;left:220980;top:2127885;height:314325;width:593090;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w+loNMAAAAFAQAA&#10;DwAAAAAAAAABACAAAAAiAAAAZHJzL2Rvd25yZXYueG1sUEsBAhQAFAAAAAgAh07iQAvIZ3ceAgAA&#10;JAQAAA4AAAAAAAAAAQAgAAAAIgEAAGRycy9lMm9Eb2MueG1sUEsFBgAAAAAGAAYAWQEAALIFAAAA&#10;AA==&#10;">
                        <v:fill on="f" focussize="0,0"/>
                        <v:stroke on="f"/>
                        <v:imagedata o:title=""/>
                        <o:lock v:ext="edit" aspectratio="f"/>
                        <v:textbox>
                          <w:txbxContent>
                            <w:p w14:paraId="6BA07300">
                              <w:pPr>
                                <w:jc w:val="center"/>
                                <w:rPr>
                                  <w:szCs w:val="21"/>
                                </w:rPr>
                              </w:pPr>
                              <w:r>
                                <w:rPr>
                                  <w:szCs w:val="21"/>
                                </w:rPr>
                                <w:t>S、N</w:t>
                              </w:r>
                            </w:p>
                          </w:txbxContent>
                        </v:textbox>
                      </v:rect>
                      <v:rect id="_x0000_s1026" o:spid="_x0000_s1026" o:spt="1" style="position:absolute;left:3658204;top:1538605;height:290830;width:708057;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w+loNMAAAAF&#10;AQAADwAAAAAAAAABACAAAAAiAAAAZHJzL2Rvd25yZXYueG1sUEsBAhQAFAAAAAgAh07iQHcUtlgh&#10;AgAAJQQAAA4AAAAAAAAAAQAgAAAAIgEAAGRycy9lMm9Eb2MueG1sUEsFBgAAAAAGAAYAWQEAALUF&#10;AAAAAA==&#10;">
                        <v:fill on="f" focussize="0,0"/>
                        <v:stroke on="f"/>
                        <v:imagedata o:title=""/>
                        <o:lock v:ext="edit" aspectratio="f"/>
                        <v:textbox>
                          <w:txbxContent>
                            <w:p w14:paraId="6680BFD1">
                              <w:pPr>
                                <w:adjustRightInd w:val="0"/>
                                <w:snapToGrid w:val="0"/>
                                <w:rPr>
                                  <w:szCs w:val="21"/>
                                </w:rPr>
                              </w:pPr>
                              <w:r>
                                <w:rPr>
                                  <w:szCs w:val="21"/>
                                </w:rPr>
                                <w:t>N、G</w:t>
                              </w:r>
                            </w:p>
                          </w:txbxContent>
                        </v:textbox>
                      </v:rect>
                      <v:shape id="_x0000_s1026" o:spid="_x0000_s1026" o:spt="32" type="#_x0000_t32" style="position:absolute;left:3471545;top:2272665;height:6350;width:18669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Jw7rtgAAAAFAQAADwAAAAAAAAABACAAAAAiAAAAZHJzL2Rvd25yZXYueG1sUEsBAhQAFAAA&#10;AAgAh07iQFVtI1goAgAACgQAAA4AAAAAAAAAAQAgAAAAJwEAAGRycy9lMm9Eb2MueG1sUEsFBgAA&#10;AAAGAAYAWQEAAMEFAAAAAA==&#10;">
                        <v:fill on="f" focussize="0,0"/>
                        <v:stroke color="#000000" joinstyle="round" endarrow="block"/>
                        <v:imagedata o:title=""/>
                        <o:lock v:ext="edit" aspectratio="f"/>
                      </v:shape>
                      <v:shape id="_x0000_s1026" o:spid="_x0000_s1026" o:spt="32" type="#_x0000_t32" style="position:absolute;left:814070;top:2294891;flip:x;height:1;width:160019;"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AAT0NcAAAAFAQAADwAAAAAAAAABACAAAAAiAAAAZHJzL2Rvd25yZXYueG1sUEsBAhQAFAAA&#10;AAgAh07iQNwoRjMpAgAAEAQAAA4AAAAAAAAAAQAgAAAAJgEAAGRycy9lMm9Eb2MueG1sUEsFBgAA&#10;AAAGAAYAWQEAAMEFAAAAAA==&#10;">
                        <v:fill on="f" focussize="0,0"/>
                        <v:stroke color="#000000" joinstyle="round" endarrow="block"/>
                        <v:imagedata o:title=""/>
                        <o:lock v:ext="edit" aspectratio="f"/>
                      </v:shape>
                      <v:shape id="_x0000_s1026" o:spid="_x0000_s1026" o:spt="32" type="#_x0000_t32" style="position:absolute;left:838200;top:1071245;flip:x;height:1;width:159384;"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AE9DXAAAABQEAAA8AAAAAAAAAAQAgAAAAIgAAAGRycy9kb3ducmV2LnhtbFBLAQIUABQAAAAI&#10;AIdO4kB7ybYUJwIAABAEAAAOAAAAAAAAAAEAIAAAACYBAABkcnMvZTJvRG9jLnhtbFBLBQYAAAAA&#10;BgAGAFkBAAC/BQAAAAA=&#10;">
                        <v:fill on="f" focussize="0,0"/>
                        <v:stroke color="#000000" joinstyle="round" endarrow="block"/>
                        <v:imagedata o:title=""/>
                        <o:lock v:ext="edit" aspectratio="f"/>
                      </v:shape>
                      <v:rect id="_x0000_s1026" o:spid="_x0000_s1026" o:spt="1" style="position:absolute;left:2487296;top:0;height:276225;width:845185;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w+loNMAAAAFAQAADwAAAAAAAAABACAAAAAiAAAAZHJzL2Rvd25yZXYueG1sUEsBAhQAFAAAAAgA&#10;h07iQCqKzvm4AQAAYwMAAA4AAAAAAAAAAQAgAAAAIgEAAGRycy9lMm9Eb2MueG1sUEsFBgAAAAAG&#10;AAYAWQEAAEwFAAAAAA==&#10;">
                        <v:fill on="f" focussize="0,0"/>
                        <v:stroke on="f"/>
                        <v:imagedata o:title=""/>
                        <o:lock v:ext="edit" aspectratio="f"/>
                        <v:textbox>
                          <w:txbxContent>
                            <w:p w14:paraId="267B840D">
                              <w:pPr>
                                <w:pStyle w:val="28"/>
                                <w:adjustRightInd w:val="0"/>
                                <w:snapToGrid w:val="0"/>
                                <w:spacing w:before="0" w:beforeAutospacing="0" w:after="0" w:afterAutospacing="0"/>
                                <w:jc w:val="center"/>
                                <w:rPr>
                                  <w:rFonts w:ascii="仿宋" w:hAnsi="仿宋" w:eastAsia="仿宋"/>
                                  <w:sz w:val="21"/>
                                  <w:szCs w:val="21"/>
                                </w:rPr>
                              </w:pPr>
                              <w:r>
                                <w:rPr>
                                  <w:rFonts w:hint="eastAsia" w:ascii="仿宋" w:hAnsi="仿宋" w:eastAsia="仿宋"/>
                                  <w:color w:val="000000"/>
                                  <w:sz w:val="21"/>
                                  <w:szCs w:val="21"/>
                                </w:rPr>
                                <w:t>原料</w:t>
                              </w:r>
                            </w:p>
                          </w:txbxContent>
                        </v:textbox>
                      </v:rect>
                      <v:shape id="_x0000_s1026" o:spid="_x0000_s1026" o:spt="32" type="#_x0000_t32" style="position:absolute;left:2905761;top:233680;height:183515;width:0;"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nDuu2AAAAAUBAAAPAAAA&#10;AAAAAAEAIAAAACIAAABkcnMvZG93bnJldi54bWxQSwECFAAUAAAACACHTuJA4k1c1xUCAAAGBAAA&#10;DgAAAAAAAAABACAAAAAnAQAAZHJzL2Uyb0RvYy54bWxQSwUGAAAAAAYABgBZAQAArgUAAAAA&#10;">
                        <v:fill on="f" focussize="0,0"/>
                        <v:stroke color="#000000" joinstyle="round" endarrow="block"/>
                        <v:imagedata o:title=""/>
                        <o:lock v:ext="edit" aspectratio="f"/>
                      </v:shape>
                      <v:rect id="_x0000_s1026" o:spid="_x0000_s1026" o:spt="1" style="position:absolute;left:3635375;top:384810;height:379095;width:746760;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sPpaDTAAAABQEAAA8A&#10;AAAAAAAAAQAgAAAAIgAAAGRycy9kb3ducmV2LnhtbFBLAQIUABQAAAAIAIdO4kC7ofEkHAIAACQE&#10;AAAOAAAAAAAAAAEAIAAAACIBAABkcnMvZTJvRG9jLnhtbFBLBQYAAAAABgAGAFkBAACwBQAAAAA=&#10;">
                        <v:fill on="f" focussize="0,0"/>
                        <v:stroke on="f"/>
                        <v:imagedata o:title=""/>
                        <o:lock v:ext="edit" aspectratio="f"/>
                        <v:textbox>
                          <w:txbxContent>
                            <w:p w14:paraId="174D641D">
                              <w:pPr>
                                <w:pStyle w:val="28"/>
                                <w:adjustRightInd w:val="0"/>
                                <w:snapToGrid w:val="0"/>
                                <w:spacing w:before="0" w:beforeAutospacing="0" w:after="0" w:afterAutospacing="0"/>
                                <w:rPr>
                                  <w:rFonts w:ascii="Times New Roman" w:hAnsi="Times New Roman" w:eastAsia="Arial Unicode MS"/>
                                  <w:color w:val="FF0000"/>
                                  <w:sz w:val="21"/>
                                  <w:szCs w:val="21"/>
                                </w:rPr>
                              </w:pPr>
                              <w:r>
                                <w:rPr>
                                  <w:rFonts w:ascii="Times New Roman" w:hAnsi="Times New Roman" w:eastAsia="Arial Unicode MS"/>
                                  <w:color w:val="000000"/>
                                  <w:sz w:val="21"/>
                                  <w:szCs w:val="21"/>
                                </w:rPr>
                                <w:t>N</w:t>
                              </w:r>
                              <w:r>
                                <w:rPr>
                                  <w:rFonts w:ascii="Times New Roman" w:hAnsi="Times New Roman" w:eastAsia="Arial Unicode MS"/>
                                  <w:sz w:val="21"/>
                                  <w:szCs w:val="21"/>
                                </w:rPr>
                                <w:t>、S、G</w:t>
                              </w:r>
                            </w:p>
                          </w:txbxContent>
                        </v:textbox>
                      </v:rect>
                      <v:shape id="_x0000_s1026" o:spid="_x0000_s1026" o:spt="32" type="#_x0000_t32" style="position:absolute;left:3467735;top:586740;height:6350;width:187325;" filled="f" stroked="t" coordsize="21600,21600" o:gfxdata="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yc&#10;O67YAAAABQEAAA8AAAAAAAAAAQAgAAAAIgAAAGRycy9kb3ducmV2LnhtbFBLAQIUABQAAAAIAIdO&#10;4kCTdS2oIwIAAAkEAAAOAAAAAAAAAAEAIAAAACcBAABkcnMvZTJvRG9jLnhtbFBLBQYAAAAABgAG&#10;AFkBAAC8BQAAAAA=&#10;">
                        <v:fill on="f" focussize="0,0"/>
                        <v:stroke color="#000000" joinstyle="round" endarrow="block"/>
                        <v:imagedata o:title=""/>
                        <o:lock v:ext="edit" aspectratio="f"/>
                      </v:shape>
                      <v:rect id="_x0000_s1026" o:spid="_x0000_s1026" o:spt="1" style="position:absolute;left:1013460;top:1543050;height:303530;width:958215;v-text-anchor:middle;" filled="f" stroked="t" coordsize="21600,21600" o:gfxdata="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&#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t0sm9cAAAAFAQAADwAAAAAAAAABACAAAAAiAAAA&#10;ZHJzL2Rvd25yZXYueG1sUEsBAhQAFAAAAAgAh07iQOmzltVBAgAAYgQAAA4AAAAAAAAAAQAgAAAA&#10;JgEAAGRycy9lMm9Eb2MueG1sUEsFBgAAAAAGAAYAWQEAANkFAAAAAA==&#10;">
                        <v:fill on="f" focussize="0,0"/>
                        <v:stroke weight="2pt" color="#000000" joinstyle="round"/>
                        <v:imagedata o:title=""/>
                        <o:lock v:ext="edit" aspectratio="f"/>
                        <v:textbox>
                          <w:txbxContent>
                            <w:p w14:paraId="01959748">
                              <w:pPr>
                                <w:adjustRightInd w:val="0"/>
                                <w:snapToGrid w:val="0"/>
                                <w:jc w:val="center"/>
                                <w:rPr>
                                  <w:rFonts w:eastAsia="仿宋"/>
                                  <w:szCs w:val="21"/>
                                </w:rPr>
                              </w:pPr>
                              <w:r>
                                <w:rPr>
                                  <w:rFonts w:hint="eastAsia" w:eastAsia="仿宋"/>
                                  <w:szCs w:val="21"/>
                                </w:rPr>
                                <w:t>换热器</w:t>
                              </w:r>
                            </w:p>
                          </w:txbxContent>
                        </v:textbox>
                      </v:rect>
                      <v:shape id="_x0000_s1026" o:spid="_x0000_s1026" o:spt="32" type="#_x0000_t32" style="position:absolute;left:1505585;top:1245870;flip:y;height:292100;width:1;"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AAT0NcAAAAFAQAADwAAAAAAAAABACAAAAAiAAAAZHJzL2Rvd25yZXYueG1sUEsBAhQAFAAAAAgA&#10;h07iQEKp1gQmAgAAEQQAAA4AAAAAAAAAAQAgAAAAJgEAAGRycy9lMm9Eb2MueG1sUEsFBgAAAAAG&#10;AAYAWQEAAL4FAAAAAA==&#10;">
                        <v:fill on="f" focussize="0,0"/>
                        <v:stroke color="#000000" joinstyle="round" endarrow="block"/>
                        <v:imagedata o:title=""/>
                        <o:lock v:ext="edit" aspectratio="f"/>
                      </v:shape>
                      <v:shape id="_x0000_s1026" o:spid="_x0000_s1026" o:spt="32" type="#_x0000_t32" style="position:absolute;left:1487170;top:1835151;flip:y;height:292100;width:0;"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AE9DXAAAABQEAAA8AAAAAAAAAAQAgAAAAIgAAAGRycy9kb3ducmV2LnhtbFBLAQIUABQAAAAI&#10;AIdO4kAwFyesJwIAABEEAAAOAAAAAAAAAAEAIAAAACYBAABkcnMvZTJvRG9jLnhtbFBLBQYAAAAA&#10;BgAGAFkBAAC/BQAAAAA=&#10;">
                        <v:fill on="f" focussize="0,0"/>
                        <v:stroke color="#000000" joinstyle="round" endarrow="block"/>
                        <v:imagedata o:title=""/>
                        <o:lock v:ext="edit" aspectratio="f"/>
                      </v:shape>
                      <v:shape id="_x0000_s1026" o:spid="_x0000_s1026" o:spt="32" type="#_x0000_t32" style="position:absolute;left:838200;top:1691006;flip:x;height:0;width:160019;" filled="f" stroked="t" coordsize="21600,21600" o:gfxdata="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wAE9DXAAAABQEAAA8AAAAAAAAAAQAgAAAAIgAAAGRycy9kb3ducmV2LnhtbFBLAQIUABQAAAAI&#10;AIdO4kC7NdjPJwIAABAEAAAOAAAAAAAAAAEAIAAAACYBAABkcnMvZTJvRG9jLnhtbFBLBQYAAAAA&#10;BgAGAFkBAAC/BQAAAAA=&#10;">
                        <v:fill on="f" focussize="0,0"/>
                        <v:stroke color="#000000" joinstyle="round" endarrow="block"/>
                        <v:imagedata o:title=""/>
                        <o:lock v:ext="edit" aspectratio="f"/>
                      </v:shape>
                      <v:rect id="_x0000_s1026" o:spid="_x0000_s1026" o:spt="1" style="position:absolute;left:351155;top:1537970;height:314325;width:593090;v-text-anchor:middle;" filled="f" stroked="f" coordsize="21600,21600" o:gfxdata="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PpaDTAAAABQEA&#10;AA8AAAAAAAAAAQAgAAAAIgAAAGRycy9kb3ducmV2LnhtbFBLAQIUABQAAAAIAIdO4kA89bbcHwIA&#10;ACQEAAAOAAAAAAAAAAEAIAAAACIBAABkcnMvZTJvRG9jLnhtbFBLBQYAAAAABgAGAFkBAACzBQAA&#10;AAA=&#10;">
                        <v:fill on="f" focussize="0,0"/>
                        <v:stroke on="f"/>
                        <v:imagedata o:title=""/>
                        <o:lock v:ext="edit" aspectratio="f"/>
                        <v:textbox>
                          <w:txbxContent>
                            <w:p w14:paraId="5B7E2570">
                              <w:pPr>
                                <w:jc w:val="center"/>
                                <w:rPr>
                                  <w:szCs w:val="21"/>
                                </w:rPr>
                              </w:pPr>
                              <w:r>
                                <w:rPr>
                                  <w:szCs w:val="21"/>
                                </w:rPr>
                                <w:t>N</w:t>
                              </w:r>
                            </w:p>
                          </w:txbxContent>
                        </v:textbox>
                      </v:rect>
                      <w10:wrap type="none"/>
                      <w10:anchorlock/>
                    </v:group>
                  </w:pict>
                </mc:Fallback>
              </mc:AlternateContent>
            </w:r>
          </w:p>
          <w:p w14:paraId="3FAC3F9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图2-</w:t>
            </w:r>
            <w:r>
              <w:rPr>
                <w:rFonts w:hint="eastAsia" w:cs="Times New Roman"/>
                <w:b/>
                <w:bCs/>
                <w:snapToGrid w:val="0"/>
                <w:color w:val="000000" w:themeColor="text1"/>
                <w:szCs w:val="21"/>
                <w:highlight w:val="none"/>
                <w:lang w:val="en-US" w:eastAsia="zh-CN"/>
                <w14:textFill>
                  <w14:solidFill>
                    <w14:schemeClr w14:val="tx1"/>
                  </w14:solidFill>
                </w14:textFill>
              </w:rPr>
              <w:t>2 玉米及水稻烘干工艺</w:t>
            </w:r>
            <w:r>
              <w:rPr>
                <w:rFonts w:hint="default" w:ascii="Times New Roman" w:hAnsi="Times New Roman" w:eastAsia="宋体" w:cs="Times New Roman"/>
                <w:b/>
                <w:bCs/>
                <w:snapToGrid w:val="0"/>
                <w:color w:val="000000" w:themeColor="text1"/>
                <w:szCs w:val="21"/>
                <w:highlight w:val="none"/>
                <w14:textFill>
                  <w14:solidFill>
                    <w14:schemeClr w14:val="tx1"/>
                  </w14:solidFill>
                </w14:textFill>
              </w:rPr>
              <w:t>流程及产污环节图</w:t>
            </w:r>
          </w:p>
          <w:p w14:paraId="2BD41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eastAsia" w:ascii="宋体" w:hAnsi="宋体" w:eastAsia="宋体" w:cs="宋体"/>
                <w:b/>
                <w:bCs/>
                <w:color w:val="000000" w:themeColor="text1"/>
                <w:kern w:val="21"/>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21"/>
                <w:sz w:val="21"/>
                <w:szCs w:val="21"/>
                <w:highlight w:val="none"/>
                <w:lang w:eastAsia="zh-CN"/>
                <w14:textFill>
                  <w14:solidFill>
                    <w14:schemeClr w14:val="tx1"/>
                  </w14:solidFill>
                </w14:textFill>
              </w:rPr>
              <w:t>工艺流程简述：</w:t>
            </w:r>
          </w:p>
          <w:p w14:paraId="65CF350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（1）进出仓工艺流程</w:t>
            </w:r>
          </w:p>
          <w:p w14:paraId="6510A3F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湿粮经汽车运输至厂区内，称量后经输送</w:t>
            </w:r>
            <w:r>
              <w:rPr>
                <w:rFonts w:hint="eastAsia" w:cs="Times New Roman"/>
                <w:color w:val="000000" w:themeColor="text1"/>
                <w:spacing w:val="0"/>
                <w:sz w:val="21"/>
                <w:szCs w:val="21"/>
                <w:highlight w:val="none"/>
                <w:lang w:val="en-US" w:eastAsia="zh-CN"/>
                <w14:textFill>
                  <w14:solidFill>
                    <w14:schemeClr w14:val="tx1"/>
                  </w14:solidFill>
                </w14:textFill>
              </w:rPr>
              <w:t>带</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送至</w:t>
            </w:r>
            <w:r>
              <w:rPr>
                <w:rFonts w:hint="eastAsia" w:cs="Times New Roman"/>
                <w:color w:val="000000" w:themeColor="text1"/>
                <w:spacing w:val="0"/>
                <w:sz w:val="21"/>
                <w:szCs w:val="21"/>
                <w:highlight w:val="none"/>
                <w:lang w:val="en-US" w:eastAsia="zh-CN"/>
                <w14:textFill>
                  <w14:solidFill>
                    <w14:schemeClr w14:val="tx1"/>
                  </w14:solidFill>
                </w14:textFill>
              </w:rPr>
              <w:t>筛分机</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内筛分后，由提升机送至</w:t>
            </w:r>
            <w:r>
              <w:rPr>
                <w:rFonts w:hint="eastAsia" w:cs="Times New Roman"/>
                <w:color w:val="000000" w:themeColor="text1"/>
                <w:spacing w:val="0"/>
                <w:sz w:val="21"/>
                <w:szCs w:val="21"/>
                <w:highlight w:val="none"/>
                <w:lang w:val="en-US" w:eastAsia="zh-CN"/>
                <w14:textFill>
                  <w14:solidFill>
                    <w14:schemeClr w14:val="tx1"/>
                  </w14:solidFill>
                </w14:textFill>
              </w:rPr>
              <w:t>潮粮仓，烘干时再由提升机送至</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烘干塔内进行烘干，烘干塔配有1台</w:t>
            </w:r>
            <w:r>
              <w:rPr>
                <w:rFonts w:hint="eastAsia" w:cs="Times New Roman"/>
                <w:color w:val="000000" w:themeColor="text1"/>
                <w:spacing w:val="0"/>
                <w:sz w:val="21"/>
                <w:szCs w:val="21"/>
                <w:highlight w:val="none"/>
                <w:lang w:val="en-US" w:eastAsia="zh-CN"/>
                <w14:textFill>
                  <w14:solidFill>
                    <w14:schemeClr w14:val="tx1"/>
                  </w14:solidFill>
                </w14:textFill>
              </w:rPr>
              <w:t>600万Kcal/h</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的</w:t>
            </w:r>
            <w:r>
              <w:rPr>
                <w:rFonts w:hint="eastAsia" w:cs="Times New Roman"/>
                <w:color w:val="000000" w:themeColor="text1"/>
                <w:spacing w:val="0"/>
                <w:sz w:val="21"/>
                <w:szCs w:val="21"/>
                <w:highlight w:val="none"/>
                <w:lang w:val="en-US" w:eastAsia="zh-CN"/>
                <w14:textFill>
                  <w14:solidFill>
                    <w14:schemeClr w14:val="tx1"/>
                  </w14:solidFill>
                </w14:textFill>
              </w:rPr>
              <w:t>燃生物质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热风炉，热风炉产生的热量经过换热器将冷空气加热，热空气通过热风机经管道送入烘干塔，热空气与塔内的湿粮接触，层层蒸发掉粮食内多余的水份，烘干后干燥的</w:t>
            </w:r>
            <w:r>
              <w:rPr>
                <w:rFonts w:hint="eastAsia" w:cs="Times New Roman"/>
                <w:color w:val="000000" w:themeColor="text1"/>
                <w:spacing w:val="0"/>
                <w:sz w:val="21"/>
                <w:szCs w:val="21"/>
                <w:highlight w:val="none"/>
                <w:lang w:val="en-US" w:eastAsia="zh-CN"/>
                <w14:textFill>
                  <w14:solidFill>
                    <w14:schemeClr w14:val="tx1"/>
                  </w14:solidFill>
                </w14:textFill>
              </w:rPr>
              <w:t>玉米及水稻</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进入</w:t>
            </w:r>
            <w:r>
              <w:rPr>
                <w:rFonts w:hint="eastAsia" w:cs="Times New Roman"/>
                <w:color w:val="000000" w:themeColor="text1"/>
                <w:spacing w:val="0"/>
                <w:sz w:val="21"/>
                <w:szCs w:val="21"/>
                <w:highlight w:val="none"/>
                <w:lang w:val="en-US" w:eastAsia="zh-CN"/>
                <w14:textFill>
                  <w14:solidFill>
                    <w14:schemeClr w14:val="tx1"/>
                  </w14:solidFill>
                </w14:textFill>
              </w:rPr>
              <w:t>干粮仓或库房，</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储存</w:t>
            </w:r>
            <w:r>
              <w:rPr>
                <w:rFonts w:hint="eastAsia" w:cs="Times New Roman"/>
                <w:color w:val="000000" w:themeColor="text1"/>
                <w:spacing w:val="0"/>
                <w:sz w:val="21"/>
                <w:szCs w:val="21"/>
                <w:highlight w:val="none"/>
                <w:lang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打包外售</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p w14:paraId="0CA34E1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（2）热气输送至烘干塔流程</w:t>
            </w:r>
          </w:p>
          <w:p w14:paraId="64607E2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冷空气由鼓风机送至燃</w:t>
            </w:r>
            <w:r>
              <w:rPr>
                <w:rFonts w:hint="eastAsia" w:cs="Times New Roman"/>
                <w:color w:val="000000" w:themeColor="text1"/>
                <w:spacing w:val="0"/>
                <w:sz w:val="21"/>
                <w:szCs w:val="21"/>
                <w:highlight w:val="none"/>
                <w:lang w:val="en-US" w:eastAsia="zh-CN"/>
                <w14:textFill>
                  <w14:solidFill>
                    <w14:schemeClr w14:val="tx1"/>
                  </w14:solidFill>
                </w14:textFill>
              </w:rPr>
              <w:t>生物质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热风炉内，经热风炉加热后形成高温烟气，冷空气经换热器与高温烟气进行热交换后，变为热空气，经风机送至烘干塔内进行烘干粮食，烘干后的热空气由塔顶排放，交换后的烟气经</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排放。</w:t>
            </w:r>
          </w:p>
          <w:p w14:paraId="7A0DDA7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（3）烘干塔内工艺流程</w:t>
            </w:r>
          </w:p>
          <w:p w14:paraId="6A83C62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在干燥段内，由于粮食自重，自上而下流动，热风进入，朝上方向穿过粮层，热风在穿过粮层时，与粮粒间进行湿热传递，热风将热量转给粮粒，使之温度升高，与粮食接触温度最高不超过60℃，粮粒受热升温，水分蒸发到空气中，干燥介质携带着水汽变成废气经烘干塔口排出。在这个过程中，粮食温度升得越高，水分就蒸发得越快。为保证粮食的品质，即加工性和食用性，干燥段内粮食温升和干燥时间是受到严格控制的，其原则是既要降低粮食的水分，又不能损害粮食的品质。在烘干段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14:paraId="53F51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本项目运营期工程主要排污节点见表</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p w14:paraId="3FD7394F">
            <w:pPr>
              <w:keepNext w:val="0"/>
              <w:keepLines w:val="0"/>
              <w:widowControl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w:t>
            </w:r>
            <w:r>
              <w:rPr>
                <w:rFonts w:hint="eastAsia" w:cs="Times New Roman"/>
                <w:b/>
                <w:bCs/>
                <w:color w:val="000000" w:themeColor="text1"/>
                <w:spacing w:val="0"/>
                <w:kern w:val="0"/>
                <w:sz w:val="21"/>
                <w:szCs w:val="21"/>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pacing w:val="0"/>
                <w:kern w:val="0"/>
                <w:sz w:val="21"/>
                <w:szCs w:val="21"/>
                <w:highlight w:val="none"/>
                <w:lang w:val="en-US" w:eastAsia="zh-CN" w:bidi="ar-SA"/>
                <w14:textFill>
                  <w14:solidFill>
                    <w14:schemeClr w14:val="tx1"/>
                  </w14:solidFill>
                </w14:textFill>
              </w:rPr>
              <w:t xml:space="preserve"> 本项目运营期工程主要排污节点一览表</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508"/>
              <w:gridCol w:w="1570"/>
              <w:gridCol w:w="1024"/>
              <w:gridCol w:w="3238"/>
            </w:tblGrid>
            <w:tr w14:paraId="28E3C9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13B206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项目</w:t>
                  </w:r>
                </w:p>
              </w:tc>
              <w:tc>
                <w:tcPr>
                  <w:tcW w:w="1508" w:type="dxa"/>
                  <w:tcBorders>
                    <w:tl2br w:val="nil"/>
                    <w:tr2bl w:val="nil"/>
                  </w:tcBorders>
                  <w:noWrap w:val="0"/>
                  <w:vAlign w:val="center"/>
                </w:tcPr>
                <w:p w14:paraId="34CA2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污染源</w:t>
                  </w:r>
                </w:p>
              </w:tc>
              <w:tc>
                <w:tcPr>
                  <w:tcW w:w="1570" w:type="dxa"/>
                  <w:tcBorders>
                    <w:tl2br w:val="nil"/>
                    <w:tr2bl w:val="nil"/>
                  </w:tcBorders>
                  <w:noWrap w:val="0"/>
                  <w:vAlign w:val="center"/>
                </w:tcPr>
                <w:p w14:paraId="3010D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污染物</w:t>
                  </w:r>
                </w:p>
              </w:tc>
              <w:tc>
                <w:tcPr>
                  <w:tcW w:w="1024" w:type="dxa"/>
                  <w:tcBorders>
                    <w:tl2br w:val="nil"/>
                    <w:tr2bl w:val="nil"/>
                  </w:tcBorders>
                  <w:noWrap w:val="0"/>
                  <w:vAlign w:val="center"/>
                </w:tcPr>
                <w:p w14:paraId="263C38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排放特点</w:t>
                  </w:r>
                </w:p>
              </w:tc>
              <w:tc>
                <w:tcPr>
                  <w:tcW w:w="3238" w:type="dxa"/>
                  <w:tcBorders>
                    <w:tl2br w:val="nil"/>
                    <w:tr2bl w:val="nil"/>
                  </w:tcBorders>
                  <w:noWrap w:val="0"/>
                  <w:vAlign w:val="center"/>
                </w:tcPr>
                <w:p w14:paraId="6141B9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治理措施</w:t>
                  </w:r>
                </w:p>
              </w:tc>
            </w:tr>
            <w:tr w14:paraId="320BC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Borders>
                    <w:tl2br w:val="nil"/>
                    <w:tr2bl w:val="nil"/>
                  </w:tcBorders>
                  <w:noWrap w:val="0"/>
                  <w:vAlign w:val="center"/>
                </w:tcPr>
                <w:p w14:paraId="573603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废气</w:t>
                  </w:r>
                </w:p>
              </w:tc>
              <w:tc>
                <w:tcPr>
                  <w:tcW w:w="1508" w:type="dxa"/>
                  <w:tcBorders>
                    <w:tl2br w:val="nil"/>
                    <w:tr2bl w:val="nil"/>
                  </w:tcBorders>
                  <w:noWrap w:val="0"/>
                  <w:vAlign w:val="center"/>
                </w:tcPr>
                <w:p w14:paraId="5DEF1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热风炉</w:t>
                  </w:r>
                  <w:r>
                    <w:rPr>
                      <w:rFonts w:hint="eastAsia" w:cs="Times New Roman"/>
                      <w:color w:val="000000" w:themeColor="text1"/>
                      <w:sz w:val="18"/>
                      <w:szCs w:val="18"/>
                      <w:highlight w:val="none"/>
                      <w:lang w:eastAsia="zh-CN"/>
                      <w14:textFill>
                        <w14:solidFill>
                          <w14:schemeClr w14:val="tx1"/>
                        </w14:solidFill>
                      </w14:textFill>
                    </w:rPr>
                    <w:t>烟囱</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DA001</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p>
              </w:tc>
              <w:tc>
                <w:tcPr>
                  <w:tcW w:w="1570" w:type="dxa"/>
                  <w:tcBorders>
                    <w:tl2br w:val="nil"/>
                    <w:tr2bl w:val="nil"/>
                  </w:tcBorders>
                  <w:noWrap w:val="0"/>
                  <w:vAlign w:val="center"/>
                </w:tcPr>
                <w:p w14:paraId="647EF86C">
                  <w:pPr>
                    <w:pStyle w:val="129"/>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NO</w:t>
                  </w:r>
                  <w:r>
                    <w:rPr>
                      <w:rFonts w:hint="eastAsia" w:ascii="Times New Roman" w:hAnsi="Times New Roman" w:cs="Times New Roman"/>
                      <w:color w:val="000000" w:themeColor="text1"/>
                      <w:sz w:val="18"/>
                      <w:szCs w:val="18"/>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颗粒物</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eastAsia" w:ascii="Times New Roman" w:hAnsi="Times New Roman" w:cs="Times New Roman"/>
                      <w:color w:val="000000" w:themeColor="text1"/>
                      <w:sz w:val="18"/>
                      <w:szCs w:val="18"/>
                      <w:highlight w:val="none"/>
                      <w:lang w:eastAsia="zh-CN"/>
                      <w14:textFill>
                        <w14:solidFill>
                          <w14:schemeClr w14:val="tx1"/>
                        </w14:solidFill>
                      </w14:textFill>
                    </w:rPr>
                    <w:t>烟气黑度</w:t>
                  </w:r>
                  <w:r>
                    <w:rPr>
                      <w:rFonts w:hint="default" w:ascii="Times New Roman" w:hAnsi="Times New Roman" w:cs="Times New Roman"/>
                      <w:color w:val="000000" w:themeColor="text1"/>
                      <w:sz w:val="18"/>
                      <w:szCs w:val="18"/>
                      <w:highlight w:val="none"/>
                      <w14:textFill>
                        <w14:solidFill>
                          <w14:schemeClr w14:val="tx1"/>
                        </w14:solidFill>
                      </w14:textFill>
                    </w:rPr>
                    <w:t>、SO</w:t>
                  </w:r>
                  <w:r>
                    <w:rPr>
                      <w:rFonts w:hint="default" w:ascii="Times New Roman" w:hAnsi="Times New Roman" w:cs="Times New Roman"/>
                      <w:color w:val="000000" w:themeColor="text1"/>
                      <w:sz w:val="18"/>
                      <w:szCs w:val="18"/>
                      <w:highlight w:val="none"/>
                      <w:vertAlign w:val="subscript"/>
                      <w14:textFill>
                        <w14:solidFill>
                          <w14:schemeClr w14:val="tx1"/>
                        </w14:solidFill>
                      </w14:textFill>
                    </w:rPr>
                    <w:t>2</w:t>
                  </w:r>
                </w:p>
              </w:tc>
              <w:tc>
                <w:tcPr>
                  <w:tcW w:w="1024" w:type="dxa"/>
                  <w:vMerge w:val="restart"/>
                  <w:tcBorders>
                    <w:tl2br w:val="nil"/>
                    <w:tr2bl w:val="nil"/>
                  </w:tcBorders>
                  <w:noWrap w:val="0"/>
                  <w:vAlign w:val="center"/>
                </w:tcPr>
                <w:p w14:paraId="3D3C322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tcBorders>
                    <w:tl2br w:val="nil"/>
                    <w:tr2bl w:val="nil"/>
                  </w:tcBorders>
                  <w:noWrap w:val="0"/>
                  <w:vAlign w:val="center"/>
                </w:tcPr>
                <w:p w14:paraId="589A5E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布袋除尘器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18"/>
                      <w:szCs w:val="18"/>
                      <w:highlight w:val="none"/>
                      <w14:textFill>
                        <w14:solidFill>
                          <w14:schemeClr w14:val="tx1"/>
                        </w14:solidFill>
                      </w14:textFill>
                    </w:rPr>
                    <w:t>m高</w:t>
                  </w:r>
                  <w:r>
                    <w:rPr>
                      <w:rFonts w:hint="eastAsia"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18"/>
                      <w:szCs w:val="18"/>
                      <w:highlight w:val="none"/>
                      <w14:textFill>
                        <w14:solidFill>
                          <w14:schemeClr w14:val="tx1"/>
                        </w14:solidFill>
                      </w14:textFill>
                    </w:rPr>
                    <w:t>排放</w:t>
                  </w:r>
                </w:p>
              </w:tc>
            </w:tr>
            <w:tr w14:paraId="0B3EC8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498D4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081880AF">
                  <w:pPr>
                    <w:keepNext w:val="0"/>
                    <w:keepLines w:val="0"/>
                    <w:pageBreakBefore w:val="0"/>
                    <w:widowControl/>
                    <w:suppressLineNumbers w:val="0"/>
                    <w:tabs>
                      <w:tab w:val="left" w:pos="5760"/>
                    </w:tabs>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运输、筛分、</w:t>
                  </w:r>
                </w:p>
                <w:p w14:paraId="6E6FA8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储存</w:t>
                  </w:r>
                </w:p>
              </w:tc>
              <w:tc>
                <w:tcPr>
                  <w:tcW w:w="1570" w:type="dxa"/>
                  <w:tcBorders>
                    <w:tl2br w:val="nil"/>
                    <w:tr2bl w:val="nil"/>
                  </w:tcBorders>
                  <w:noWrap w:val="0"/>
                  <w:vAlign w:val="center"/>
                </w:tcPr>
                <w:p w14:paraId="5F06211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颗粒物</w:t>
                  </w:r>
                </w:p>
              </w:tc>
              <w:tc>
                <w:tcPr>
                  <w:tcW w:w="1024" w:type="dxa"/>
                  <w:vMerge w:val="continue"/>
                  <w:tcBorders>
                    <w:tl2br w:val="nil"/>
                    <w:tr2bl w:val="nil"/>
                  </w:tcBorders>
                  <w:noWrap w:val="0"/>
                  <w:vAlign w:val="center"/>
                </w:tcPr>
                <w:p w14:paraId="3EC55B2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72AFEC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装卸工段</w:t>
                  </w:r>
                  <w:r>
                    <w:rPr>
                      <w:rFonts w:hint="eastAsia"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采用</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密闭性良好的设备，全封闭输送机、原粮入</w:t>
                  </w:r>
                  <w:r>
                    <w:rPr>
                      <w:rFonts w:hint="eastAsia" w:cs="Times New Roman"/>
                      <w:color w:val="000000" w:themeColor="text1"/>
                      <w:spacing w:val="0"/>
                      <w:kern w:val="0"/>
                      <w:sz w:val="18"/>
                      <w:szCs w:val="18"/>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采取封闭和减小装卸高度</w:t>
                  </w:r>
                  <w:r>
                    <w:rPr>
                      <w:rFonts w:hint="default" w:ascii="Times New Roman" w:hAnsi="Times New Roman" w:cs="Times New Roman"/>
                      <w:color w:val="000000" w:themeColor="text1"/>
                      <w:sz w:val="18"/>
                      <w:szCs w:val="18"/>
                      <w:highlight w:val="none"/>
                      <w14:textFill>
                        <w14:solidFill>
                          <w14:schemeClr w14:val="tx1"/>
                        </w14:solidFill>
                      </w14:textFill>
                    </w:rPr>
                    <w:t>等降尘措施，运输过程中采用封闭输送</w:t>
                  </w:r>
                  <w:r>
                    <w:rPr>
                      <w:rFonts w:hint="eastAsia" w:ascii="Times New Roman" w:hAnsi="Times New Roman" w:cs="Times New Roman"/>
                      <w:color w:val="000000" w:themeColor="text1"/>
                      <w:sz w:val="18"/>
                      <w:szCs w:val="18"/>
                      <w:highlight w:val="none"/>
                      <w:lang w:eastAsia="zh-CN"/>
                      <w14:textFill>
                        <w14:solidFill>
                          <w14:schemeClr w14:val="tx1"/>
                        </w14:solidFill>
                      </w14:textFill>
                    </w:rPr>
                    <w:t>；清粮采用全密闭</w:t>
                  </w:r>
                  <w:r>
                    <w:rPr>
                      <w:rFonts w:hint="eastAsia" w:cs="Times New Roman"/>
                      <w:color w:val="000000" w:themeColor="text1"/>
                      <w:sz w:val="18"/>
                      <w:szCs w:val="18"/>
                      <w:highlight w:val="none"/>
                      <w:lang w:val="en-US" w:eastAsia="zh-CN"/>
                      <w14:textFill>
                        <w14:solidFill>
                          <w14:schemeClr w14:val="tx1"/>
                        </w14:solidFill>
                      </w14:textFill>
                    </w:rPr>
                    <w:t>筛分机</w:t>
                  </w:r>
                  <w:r>
                    <w:rPr>
                      <w:rFonts w:hint="eastAsia" w:ascii="Times New Roman" w:hAnsi="Times New Roman" w:cs="Times New Roman"/>
                      <w:color w:val="000000" w:themeColor="text1"/>
                      <w:sz w:val="18"/>
                      <w:szCs w:val="18"/>
                      <w:highlight w:val="none"/>
                      <w:lang w:eastAsia="zh-CN"/>
                      <w14:textFill>
                        <w14:solidFill>
                          <w14:schemeClr w14:val="tx1"/>
                        </w14:solidFill>
                      </w14:textFill>
                    </w:rPr>
                    <w:t>，产生的粉尘经设备自带</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18"/>
                      <w:szCs w:val="18"/>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p>
              </w:tc>
            </w:tr>
            <w:tr w14:paraId="4A5B86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092779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68054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热风炉房</w:t>
                  </w:r>
                </w:p>
              </w:tc>
              <w:tc>
                <w:tcPr>
                  <w:tcW w:w="1570" w:type="dxa"/>
                  <w:tcBorders>
                    <w:tl2br w:val="nil"/>
                    <w:tr2bl w:val="nil"/>
                  </w:tcBorders>
                  <w:noWrap w:val="0"/>
                  <w:vAlign w:val="center"/>
                </w:tcPr>
                <w:p w14:paraId="5B9FEEC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颗粒物</w:t>
                  </w:r>
                </w:p>
              </w:tc>
              <w:tc>
                <w:tcPr>
                  <w:tcW w:w="1024" w:type="dxa"/>
                  <w:vMerge w:val="continue"/>
                  <w:tcBorders>
                    <w:tl2br w:val="nil"/>
                    <w:tr2bl w:val="nil"/>
                  </w:tcBorders>
                  <w:noWrap w:val="0"/>
                  <w:vAlign w:val="center"/>
                </w:tcPr>
                <w:p w14:paraId="6207865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09B350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洒水降尘</w:t>
                  </w:r>
                </w:p>
              </w:tc>
            </w:tr>
            <w:tr w14:paraId="156C07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7ECF76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废水</w:t>
                  </w:r>
                </w:p>
              </w:tc>
              <w:tc>
                <w:tcPr>
                  <w:tcW w:w="1508" w:type="dxa"/>
                  <w:tcBorders>
                    <w:tl2br w:val="nil"/>
                    <w:tr2bl w:val="nil"/>
                  </w:tcBorders>
                  <w:noWrap w:val="0"/>
                  <w:vAlign w:val="center"/>
                </w:tcPr>
                <w:p w14:paraId="29D854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eastAsia" w:cs="Times New Roman"/>
                      <w:color w:val="000000" w:themeColor="text1"/>
                      <w:spacing w:val="0"/>
                      <w:kern w:val="2"/>
                      <w:sz w:val="18"/>
                      <w:szCs w:val="18"/>
                      <w:highlight w:val="none"/>
                      <w:lang w:val="en-US" w:eastAsia="zh-CN" w:bidi="ar-SA"/>
                      <w14:textFill>
                        <w14:solidFill>
                          <w14:schemeClr w14:val="tx1"/>
                        </w14:solidFill>
                      </w14:textFill>
                    </w:rPr>
                    <w:t>生活污水</w:t>
                  </w:r>
                </w:p>
              </w:tc>
              <w:tc>
                <w:tcPr>
                  <w:tcW w:w="1570" w:type="dxa"/>
                  <w:tcBorders>
                    <w:tl2br w:val="nil"/>
                    <w:tr2bl w:val="nil"/>
                  </w:tcBorders>
                  <w:noWrap w:val="0"/>
                  <w:vAlign w:val="center"/>
                </w:tcPr>
                <w:p w14:paraId="6A2414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18"/>
                      <w:szCs w:val="18"/>
                      <w:highlight w:val="none"/>
                      <w:lang w:val="en-US" w:eastAsia="zh-CN" w:bidi="ar-SA"/>
                      <w14:textFill>
                        <w14:solidFill>
                          <w14:schemeClr w14:val="tx1"/>
                        </w14:solidFill>
                      </w14:textFill>
                    </w:rPr>
                  </w:pPr>
                  <w:r>
                    <w:rPr>
                      <w:rFonts w:hint="eastAsia" w:cs="Times New Roman"/>
                      <w:color w:val="000000" w:themeColor="text1"/>
                      <w:spacing w:val="0"/>
                      <w:kern w:val="2"/>
                      <w:sz w:val="18"/>
                      <w:szCs w:val="18"/>
                      <w:highlight w:val="none"/>
                      <w:lang w:val="en-US" w:eastAsia="zh-CN" w:bidi="ar-SA"/>
                      <w14:textFill>
                        <w14:solidFill>
                          <w14:schemeClr w14:val="tx1"/>
                        </w14:solidFill>
                      </w14:textFill>
                    </w:rPr>
                    <w:t>COD、SS、氨氮</w:t>
                  </w:r>
                </w:p>
              </w:tc>
              <w:tc>
                <w:tcPr>
                  <w:tcW w:w="1024" w:type="dxa"/>
                  <w:tcBorders>
                    <w:tl2br w:val="nil"/>
                    <w:tr2bl w:val="nil"/>
                  </w:tcBorders>
                  <w:noWrap w:val="0"/>
                  <w:vAlign w:val="center"/>
                </w:tcPr>
                <w:p w14:paraId="70D5FD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连续</w:t>
                  </w:r>
                </w:p>
              </w:tc>
              <w:tc>
                <w:tcPr>
                  <w:tcW w:w="3238" w:type="dxa"/>
                  <w:tcBorders>
                    <w:tl2br w:val="nil"/>
                    <w:tr2bl w:val="nil"/>
                  </w:tcBorders>
                  <w:noWrap w:val="0"/>
                  <w:vAlign w:val="center"/>
                </w:tcPr>
                <w:p w14:paraId="7B9AF4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eastAsia" w:cs="Times New Roman"/>
                      <w:color w:val="000000" w:themeColor="text1"/>
                      <w:spacing w:val="0"/>
                      <w:kern w:val="2"/>
                      <w:sz w:val="18"/>
                      <w:szCs w:val="18"/>
                      <w:highlight w:val="none"/>
                      <w:lang w:val="en-US" w:eastAsia="zh-CN" w:bidi="ar-SA"/>
                      <w14:textFill>
                        <w14:solidFill>
                          <w14:schemeClr w14:val="tx1"/>
                        </w14:solidFill>
                      </w14:textFill>
                    </w:rPr>
                    <w:t>防渗化粪池</w:t>
                  </w:r>
                </w:p>
              </w:tc>
            </w:tr>
            <w:tr w14:paraId="49A90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tcBorders>
                    <w:tl2br w:val="nil"/>
                    <w:tr2bl w:val="nil"/>
                  </w:tcBorders>
                  <w:noWrap w:val="0"/>
                  <w:vAlign w:val="center"/>
                </w:tcPr>
                <w:p w14:paraId="306095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w:t>
                  </w:r>
                </w:p>
              </w:tc>
              <w:tc>
                <w:tcPr>
                  <w:tcW w:w="1508" w:type="dxa"/>
                  <w:tcBorders>
                    <w:tl2br w:val="nil"/>
                    <w:tr2bl w:val="nil"/>
                  </w:tcBorders>
                  <w:noWrap w:val="0"/>
                  <w:vAlign w:val="center"/>
                </w:tcPr>
                <w:p w14:paraId="113666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14:textFill>
                        <w14:solidFill>
                          <w14:schemeClr w14:val="tx1"/>
                        </w14:solidFill>
                      </w14:textFill>
                    </w:rPr>
                    <w:t>设备运行</w:t>
                  </w:r>
                </w:p>
              </w:tc>
              <w:tc>
                <w:tcPr>
                  <w:tcW w:w="1570" w:type="dxa"/>
                  <w:tcBorders>
                    <w:tl2br w:val="nil"/>
                    <w:tr2bl w:val="nil"/>
                  </w:tcBorders>
                  <w:noWrap w:val="0"/>
                  <w:vAlign w:val="center"/>
                </w:tcPr>
                <w:p w14:paraId="2266EC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w:t>
                  </w:r>
                </w:p>
              </w:tc>
              <w:tc>
                <w:tcPr>
                  <w:tcW w:w="1024" w:type="dxa"/>
                  <w:tcBorders>
                    <w:tl2br w:val="nil"/>
                    <w:tr2bl w:val="nil"/>
                  </w:tcBorders>
                  <w:noWrap w:val="0"/>
                  <w:vAlign w:val="center"/>
                </w:tcPr>
                <w:p w14:paraId="5904D2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tcBorders>
                    <w:tl2br w:val="nil"/>
                    <w:tr2bl w:val="nil"/>
                  </w:tcBorders>
                  <w:noWrap w:val="0"/>
                  <w:vAlign w:val="center"/>
                </w:tcPr>
                <w:p w14:paraId="421B4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1"/>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低噪声设备，采取</w:t>
                  </w:r>
                  <w:r>
                    <w:rPr>
                      <w:rFonts w:hint="eastAsia" w:cs="Times New Roman"/>
                      <w:color w:val="000000" w:themeColor="text1"/>
                      <w:sz w:val="18"/>
                      <w:szCs w:val="18"/>
                      <w:highlight w:val="none"/>
                      <w:lang w:val="en-US" w:eastAsia="zh-CN"/>
                      <w14:textFill>
                        <w14:solidFill>
                          <w14:schemeClr w14:val="tx1"/>
                        </w14:solidFill>
                      </w14:textFill>
                    </w:rPr>
                    <w:t>基础</w:t>
                  </w:r>
                  <w:r>
                    <w:rPr>
                      <w:rFonts w:hint="default" w:ascii="Times New Roman" w:hAnsi="Times New Roman" w:eastAsia="宋体" w:cs="Times New Roman"/>
                      <w:color w:val="000000" w:themeColor="text1"/>
                      <w:sz w:val="18"/>
                      <w:szCs w:val="18"/>
                      <w:highlight w:val="none"/>
                      <w14:textFill>
                        <w14:solidFill>
                          <w14:schemeClr w14:val="tx1"/>
                        </w14:solidFill>
                      </w14:textFill>
                    </w:rPr>
                    <w:t>减振、隔声</w:t>
                  </w:r>
                  <w:r>
                    <w:rPr>
                      <w:rFonts w:hint="eastAsia" w:cs="Times New Roman"/>
                      <w:color w:val="000000" w:themeColor="text1"/>
                      <w:sz w:val="18"/>
                      <w:szCs w:val="18"/>
                      <w:highlight w:val="none"/>
                      <w:lang w:val="en-US" w:eastAsia="zh-CN"/>
                      <w14:textFill>
                        <w14:solidFill>
                          <w14:schemeClr w14:val="tx1"/>
                        </w14:solidFill>
                      </w14:textFill>
                    </w:rPr>
                    <w:t>等</w:t>
                  </w:r>
                </w:p>
              </w:tc>
            </w:tr>
            <w:tr w14:paraId="6279CD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restart"/>
                  <w:tcBorders>
                    <w:tl2br w:val="nil"/>
                    <w:tr2bl w:val="nil"/>
                  </w:tcBorders>
                  <w:noWrap w:val="0"/>
                  <w:vAlign w:val="center"/>
                </w:tcPr>
                <w:p w14:paraId="52A1BA4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固体废物</w:t>
                  </w:r>
                </w:p>
              </w:tc>
              <w:tc>
                <w:tcPr>
                  <w:tcW w:w="1508" w:type="dxa"/>
                  <w:vMerge w:val="restart"/>
                  <w:tcBorders>
                    <w:tl2br w:val="nil"/>
                    <w:tr2bl w:val="nil"/>
                  </w:tcBorders>
                  <w:noWrap w:val="0"/>
                  <w:vAlign w:val="center"/>
                </w:tcPr>
                <w:p w14:paraId="0327005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热风炉</w:t>
                  </w:r>
                </w:p>
              </w:tc>
              <w:tc>
                <w:tcPr>
                  <w:tcW w:w="1570" w:type="dxa"/>
                  <w:tcBorders>
                    <w:tl2br w:val="nil"/>
                    <w:tr2bl w:val="nil"/>
                  </w:tcBorders>
                  <w:noWrap w:val="0"/>
                  <w:vAlign w:val="center"/>
                </w:tcPr>
                <w:p w14:paraId="2FBF9A55">
                  <w:pPr>
                    <w:pStyle w:val="129"/>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热风炉炉渣</w:t>
                  </w:r>
                </w:p>
              </w:tc>
              <w:tc>
                <w:tcPr>
                  <w:tcW w:w="1024" w:type="dxa"/>
                  <w:vMerge w:val="restart"/>
                  <w:tcBorders>
                    <w:tl2br w:val="nil"/>
                    <w:tr2bl w:val="nil"/>
                  </w:tcBorders>
                  <w:noWrap w:val="0"/>
                  <w:vAlign w:val="center"/>
                </w:tcPr>
                <w:p w14:paraId="501911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连续</w:t>
                  </w:r>
                </w:p>
              </w:tc>
              <w:tc>
                <w:tcPr>
                  <w:tcW w:w="3238" w:type="dxa"/>
                  <w:vMerge w:val="restart"/>
                  <w:tcBorders>
                    <w:tl2br w:val="nil"/>
                    <w:tr2bl w:val="nil"/>
                  </w:tcBorders>
                  <w:noWrap w:val="0"/>
                  <w:vAlign w:val="center"/>
                </w:tcPr>
                <w:p w14:paraId="17DA83F7">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集中收集</w:t>
                  </w:r>
                  <w:r>
                    <w:rPr>
                      <w:rFonts w:hint="eastAsia" w:cs="Times New Roman"/>
                      <w:color w:val="000000" w:themeColor="text1"/>
                      <w:sz w:val="18"/>
                      <w:szCs w:val="18"/>
                      <w:highlight w:val="none"/>
                      <w:lang w:val="en-US" w:eastAsia="zh-CN"/>
                      <w14:textFill>
                        <w14:solidFill>
                          <w14:schemeClr w14:val="tx1"/>
                        </w14:solidFill>
                      </w14:textFill>
                    </w:rPr>
                    <w:t>袋装存储于灰渣间，每10天清运1次，不在厂区长期储存，外售综合利用</w:t>
                  </w:r>
                </w:p>
              </w:tc>
            </w:tr>
            <w:tr w14:paraId="5A4C5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656E69E9">
                  <w:pPr>
                    <w:keepNext w:val="0"/>
                    <w:keepLines w:val="0"/>
                    <w:pageBreakBefore w:val="0"/>
                    <w:suppressLineNumbers w:val="0"/>
                    <w:tabs>
                      <w:tab w:val="left" w:pos="327"/>
                    </w:tabs>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vMerge w:val="continue"/>
                  <w:tcBorders>
                    <w:tl2br w:val="nil"/>
                    <w:tr2bl w:val="nil"/>
                  </w:tcBorders>
                  <w:noWrap w:val="0"/>
                  <w:vAlign w:val="center"/>
                </w:tcPr>
                <w:p w14:paraId="0262124E">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p>
              </w:tc>
              <w:tc>
                <w:tcPr>
                  <w:tcW w:w="1570" w:type="dxa"/>
                  <w:tcBorders>
                    <w:tl2br w:val="nil"/>
                    <w:tr2bl w:val="nil"/>
                  </w:tcBorders>
                  <w:noWrap w:val="0"/>
                  <w:vAlign w:val="center"/>
                </w:tcPr>
                <w:p w14:paraId="4F0346F4">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热风炉</w:t>
                  </w:r>
                  <w:r>
                    <w:rPr>
                      <w:rFonts w:hint="default" w:ascii="Times New Roman" w:hAnsi="Times New Roman" w:cs="Times New Roman"/>
                      <w:color w:val="000000" w:themeColor="text1"/>
                      <w:sz w:val="18"/>
                      <w:szCs w:val="18"/>
                      <w:highlight w:val="none"/>
                      <w:lang w:eastAsia="zh-CN"/>
                      <w14:textFill>
                        <w14:solidFill>
                          <w14:schemeClr w14:val="tx1"/>
                        </w14:solidFill>
                      </w14:textFill>
                    </w:rPr>
                    <w:t>除尘器回收粉尘</w:t>
                  </w:r>
                </w:p>
              </w:tc>
              <w:tc>
                <w:tcPr>
                  <w:tcW w:w="1024" w:type="dxa"/>
                  <w:vMerge w:val="continue"/>
                  <w:tcBorders>
                    <w:tl2br w:val="nil"/>
                    <w:tr2bl w:val="nil"/>
                  </w:tcBorders>
                  <w:noWrap w:val="0"/>
                  <w:vAlign w:val="center"/>
                </w:tcPr>
                <w:p w14:paraId="7B9A3F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18"/>
                      <w:szCs w:val="18"/>
                      <w:highlight w:val="none"/>
                      <w14:textFill>
                        <w14:solidFill>
                          <w14:schemeClr w14:val="tx1"/>
                        </w14:solidFill>
                      </w14:textFill>
                    </w:rPr>
                  </w:pPr>
                </w:p>
              </w:tc>
              <w:tc>
                <w:tcPr>
                  <w:tcW w:w="3238" w:type="dxa"/>
                  <w:vMerge w:val="continue"/>
                  <w:tcBorders>
                    <w:tl2br w:val="nil"/>
                    <w:tr2bl w:val="nil"/>
                  </w:tcBorders>
                  <w:noWrap w:val="0"/>
                  <w:vAlign w:val="center"/>
                </w:tcPr>
                <w:p w14:paraId="29730ABA">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p>
              </w:tc>
            </w:tr>
            <w:tr w14:paraId="34EB01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6C3488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7673D4F3">
                  <w:pPr>
                    <w:pStyle w:val="129"/>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工艺粉尘</w:t>
                  </w:r>
                </w:p>
              </w:tc>
              <w:tc>
                <w:tcPr>
                  <w:tcW w:w="1570" w:type="dxa"/>
                  <w:tcBorders>
                    <w:tl2br w:val="nil"/>
                    <w:tr2bl w:val="nil"/>
                  </w:tcBorders>
                  <w:noWrap w:val="0"/>
                  <w:vAlign w:val="center"/>
                </w:tcPr>
                <w:p w14:paraId="1EBEED6D">
                  <w:pPr>
                    <w:pStyle w:val="129"/>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18"/>
                      <w:szCs w:val="18"/>
                      <w:highlight w:val="none"/>
                      <w14:textFill>
                        <w14:solidFill>
                          <w14:schemeClr w14:val="tx1"/>
                        </w14:solidFill>
                      </w14:textFill>
                    </w:rPr>
                    <w:t>粉尘</w:t>
                  </w:r>
                </w:p>
              </w:tc>
              <w:tc>
                <w:tcPr>
                  <w:tcW w:w="1024" w:type="dxa"/>
                  <w:vMerge w:val="continue"/>
                  <w:tcBorders>
                    <w:tl2br w:val="nil"/>
                    <w:tr2bl w:val="nil"/>
                  </w:tcBorders>
                  <w:noWrap w:val="0"/>
                  <w:vAlign w:val="center"/>
                </w:tcPr>
                <w:p w14:paraId="08D06C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pacing w:val="0"/>
                      <w:sz w:val="18"/>
                      <w:szCs w:val="18"/>
                      <w:highlight w:val="none"/>
                      <w14:textFill>
                        <w14:solidFill>
                          <w14:schemeClr w14:val="tx1"/>
                        </w14:solidFill>
                      </w14:textFill>
                    </w:rPr>
                  </w:pPr>
                </w:p>
              </w:tc>
              <w:tc>
                <w:tcPr>
                  <w:tcW w:w="3238" w:type="dxa"/>
                  <w:tcBorders>
                    <w:tl2br w:val="nil"/>
                    <w:tr2bl w:val="nil"/>
                  </w:tcBorders>
                  <w:noWrap w:val="0"/>
                  <w:vAlign w:val="center"/>
                </w:tcPr>
                <w:p w14:paraId="30D22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0"/>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集中收集后市政部门统一处理</w:t>
                  </w:r>
                </w:p>
              </w:tc>
            </w:tr>
            <w:tr w14:paraId="34638E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dxa"/>
                  <w:vMerge w:val="continue"/>
                  <w:tcBorders>
                    <w:tl2br w:val="nil"/>
                    <w:tr2bl w:val="nil"/>
                  </w:tcBorders>
                  <w:noWrap w:val="0"/>
                  <w:vAlign w:val="center"/>
                </w:tcPr>
                <w:p w14:paraId="20BCB5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508" w:type="dxa"/>
                  <w:tcBorders>
                    <w:tl2br w:val="nil"/>
                    <w:tr2bl w:val="nil"/>
                  </w:tcBorders>
                  <w:noWrap w:val="0"/>
                  <w:vAlign w:val="center"/>
                </w:tcPr>
                <w:p w14:paraId="55310861">
                  <w:pPr>
                    <w:pStyle w:val="129"/>
                    <w:keepNext w:val="0"/>
                    <w:keepLines w:val="0"/>
                    <w:suppressLineNumbers w:val="0"/>
                    <w:spacing w:before="0" w:beforeAutospacing="0" w:after="0" w:afterAutospacing="0" w:line="240" w:lineRule="auto"/>
                    <w:ind w:left="0" w:right="0"/>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维护</w:t>
                  </w:r>
                </w:p>
              </w:tc>
              <w:tc>
                <w:tcPr>
                  <w:tcW w:w="1570" w:type="dxa"/>
                  <w:tcBorders>
                    <w:tl2br w:val="nil"/>
                    <w:tr2bl w:val="nil"/>
                  </w:tcBorders>
                  <w:noWrap w:val="0"/>
                  <w:vAlign w:val="center"/>
                </w:tcPr>
                <w:p w14:paraId="218F0C4F">
                  <w:pPr>
                    <w:pStyle w:val="129"/>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废机油，废弃含油抹布手套</w:t>
                  </w:r>
                </w:p>
              </w:tc>
              <w:tc>
                <w:tcPr>
                  <w:tcW w:w="1024" w:type="dxa"/>
                  <w:tcBorders>
                    <w:tl2br w:val="nil"/>
                    <w:tr2bl w:val="nil"/>
                  </w:tcBorders>
                  <w:noWrap w:val="0"/>
                  <w:vAlign w:val="center"/>
                </w:tcPr>
                <w:p w14:paraId="6ED51E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间断</w:t>
                  </w:r>
                </w:p>
              </w:tc>
              <w:tc>
                <w:tcPr>
                  <w:tcW w:w="3238" w:type="dxa"/>
                  <w:tcBorders>
                    <w:tl2br w:val="nil"/>
                    <w:tr2bl w:val="nil"/>
                  </w:tcBorders>
                  <w:noWrap w:val="0"/>
                  <w:vAlign w:val="center"/>
                </w:tcPr>
                <w:p w14:paraId="120766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委托有资质单位处理</w:t>
                  </w:r>
                </w:p>
              </w:tc>
            </w:tr>
          </w:tbl>
          <w:p w14:paraId="6ED21912">
            <w:pPr>
              <w:pStyle w:val="30"/>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p>
        </w:tc>
      </w:tr>
      <w:tr w14:paraId="2E11F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2" w:hRule="atLeast"/>
          <w:jc w:val="center"/>
        </w:trPr>
        <w:tc>
          <w:tcPr>
            <w:tcW w:w="822" w:type="dxa"/>
            <w:vAlign w:val="center"/>
          </w:tcPr>
          <w:p w14:paraId="2FA44F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与项目有关的原有环境污染问题</w:t>
            </w:r>
          </w:p>
        </w:tc>
        <w:tc>
          <w:tcPr>
            <w:tcW w:w="8220" w:type="dxa"/>
            <w:vAlign w:val="top"/>
          </w:tcPr>
          <w:p w14:paraId="457E7F85">
            <w:pPr>
              <w:keepNext w:val="0"/>
              <w:keepLines w:val="0"/>
              <w:numPr>
                <w:ilvl w:val="0"/>
                <w:numId w:val="0"/>
              </w:numPr>
              <w:suppressLineNumbers w:val="0"/>
              <w:adjustRightInd w:val="0"/>
              <w:spacing w:before="0" w:beforeAutospacing="0" w:after="0" w:afterAutospacing="0" w:line="360" w:lineRule="auto"/>
              <w:ind w:left="0" w:right="0" w:rightChars="0" w:firstLine="420" w:firstLineChars="200"/>
              <w:textAlignment w:val="baseline"/>
              <w:rPr>
                <w:rFonts w:hint="eastAsia" w:cs="Times New Roman"/>
                <w:color w:val="000000" w:themeColor="text1"/>
                <w:kern w:val="2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原项目粮食烘干现为停产状态，</w:t>
            </w:r>
            <w:r>
              <w:rPr>
                <w:rFonts w:hint="eastAsia" w:eastAsia="宋体"/>
                <w:color w:val="000000" w:themeColor="text1"/>
                <w:sz w:val="21"/>
                <w:szCs w:val="21"/>
                <w:highlight w:val="none"/>
                <w:lang w:val="en-US" w:eastAsia="zh-CN"/>
                <w14:textFill>
                  <w14:solidFill>
                    <w14:schemeClr w14:val="tx1"/>
                  </w14:solidFill>
                </w14:textFill>
              </w:rPr>
              <w:t>鸡东县忠旺粮库有限公司</w:t>
            </w:r>
            <w:r>
              <w:rPr>
                <w:rFonts w:hint="eastAsia"/>
                <w:color w:val="000000" w:themeColor="text1"/>
                <w:sz w:val="21"/>
                <w:szCs w:val="21"/>
                <w:highlight w:val="none"/>
                <w:lang w:val="en-US" w:eastAsia="zh-CN"/>
                <w14:textFill>
                  <w14:solidFill>
                    <w14:schemeClr w14:val="tx1"/>
                  </w14:solidFill>
                </w14:textFill>
              </w:rPr>
              <w:t>原占地</w:t>
            </w:r>
            <w:r>
              <w:rPr>
                <w:rFonts w:hint="eastAsia" w:eastAsia="宋体"/>
                <w:color w:val="000000" w:themeColor="text1"/>
                <w:sz w:val="21"/>
                <w:szCs w:val="21"/>
                <w:highlight w:val="none"/>
                <w:lang w:val="en-US" w:eastAsia="zh-CN"/>
                <w14:textFill>
                  <w14:solidFill>
                    <w14:schemeClr w14:val="tx1"/>
                  </w14:solidFill>
                </w14:textFill>
              </w:rPr>
              <w:t>面积</w:t>
            </w:r>
            <w:r>
              <w:rPr>
                <w:rFonts w:hint="eastAsia"/>
                <w:color w:val="000000" w:themeColor="text1"/>
                <w:sz w:val="21"/>
                <w:szCs w:val="21"/>
                <w:highlight w:val="none"/>
                <w:lang w:val="en-US" w:eastAsia="zh-CN"/>
                <w14:textFill>
                  <w14:solidFill>
                    <w14:schemeClr w14:val="tx1"/>
                  </w14:solidFill>
                </w14:textFill>
              </w:rPr>
              <w:t>66799.2</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，现有4座办公室，建筑面积793.36</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；1个干粮囤；1个潮粮囤；10个钢结构保温立体筒仓，4座建筑面积2826m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、6座建筑面积6104.16</w:t>
            </w:r>
            <w:r>
              <w:rPr>
                <w:rFonts w:hint="eastAsia"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m</w:t>
            </w:r>
            <w:r>
              <w:rPr>
                <w:rFonts w:hint="eastAsia"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；4</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个砖圆仓，建筑面积580.77</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；1座钢结构保温平房仓，建筑面积5508</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；1座消防蓄水池，建筑面积120.36</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1座库房，建筑面积160</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；1间热风炉</w:t>
            </w:r>
            <w:r>
              <w:rPr>
                <w:rFonts w:hint="eastAsia" w:cs="Times New Roman"/>
                <w:bCs/>
                <w:color w:val="000000" w:themeColor="text1"/>
                <w:kern w:val="0"/>
                <w:sz w:val="21"/>
                <w:szCs w:val="21"/>
                <w:highlight w:val="none"/>
                <w:lang w:val="en-US" w:eastAsia="zh-CN"/>
                <w14:textFill>
                  <w14:solidFill>
                    <w14:schemeClr w14:val="tx1"/>
                  </w14:solidFill>
                </w14:textFill>
              </w:rPr>
              <w:t>房</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，建筑面积301.38</w:t>
            </w:r>
            <w:r>
              <w:rPr>
                <w:rFonts w:hint="eastAsia" w:cs="Times New Roman"/>
                <w:color w:val="000000" w:themeColor="text1"/>
                <w:kern w:val="21"/>
                <w:sz w:val="21"/>
                <w:szCs w:val="21"/>
                <w:highlight w:val="none"/>
                <w:lang w:val="en-US" w:eastAsia="zh-CN"/>
                <w14:textFill>
                  <w14:solidFill>
                    <w14:schemeClr w14:val="tx1"/>
                  </w14:solidFill>
                </w14:textFill>
              </w:rPr>
              <w:t>m</w:t>
            </w:r>
            <w:r>
              <w:rPr>
                <w:rFonts w:hint="eastAsia" w:cs="Times New Roman"/>
                <w:color w:val="000000" w:themeColor="text1"/>
                <w:kern w:val="21"/>
                <w:sz w:val="21"/>
                <w:szCs w:val="21"/>
                <w:highlight w:val="none"/>
                <w:vertAlign w:val="superscript"/>
                <w:lang w:val="en-US" w:eastAsia="zh-CN"/>
                <w14:textFill>
                  <w14:solidFill>
                    <w14:schemeClr w14:val="tx1"/>
                  </w14:solidFill>
                </w14:textFill>
              </w:rPr>
              <w:t>2</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，内设一台600万Kcal/h</w:t>
            </w:r>
            <w:r>
              <w:rPr>
                <w:rFonts w:hint="eastAsia" w:cs="Times New Roman"/>
                <w:bCs/>
                <w:color w:val="000000" w:themeColor="text1"/>
                <w:kern w:val="0"/>
                <w:sz w:val="21"/>
                <w:szCs w:val="21"/>
                <w:highlight w:val="none"/>
                <w:lang w:val="en-US" w:eastAsia="zh-CN"/>
                <w14:textFill>
                  <w14:solidFill>
                    <w14:schemeClr w14:val="tx1"/>
                  </w14:solidFill>
                </w14:textFill>
              </w:rPr>
              <w:t>热风</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炉</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；1座</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日烘干能力500t/d烘干塔</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。年烘干水稻40000t。</w:t>
            </w:r>
          </w:p>
          <w:p w14:paraId="612D55B0">
            <w:pPr>
              <w:keepNext w:val="0"/>
              <w:keepLines w:val="0"/>
              <w:numPr>
                <w:ilvl w:val="0"/>
                <w:numId w:val="0"/>
              </w:numPr>
              <w:suppressLineNumbers w:val="0"/>
              <w:adjustRightInd w:val="0"/>
              <w:spacing w:before="0" w:beforeAutospacing="0" w:after="0" w:afterAutospacing="0" w:line="360" w:lineRule="auto"/>
              <w:ind w:left="0" w:right="0" w:rightChars="0"/>
              <w:textAlignment w:val="baseline"/>
              <w:rPr>
                <w:rFonts w:hint="default"/>
                <w:b/>
                <w:bCs/>
                <w:color w:val="000000" w:themeColor="text1"/>
                <w:szCs w:val="21"/>
                <w:highlight w:val="none"/>
                <w14:textFill>
                  <w14:solidFill>
                    <w14:schemeClr w14:val="tx1"/>
                  </w14:solidFill>
                </w14:textFill>
              </w:rPr>
            </w:pPr>
            <w:r>
              <w:rPr>
                <w:rFonts w:hint="eastAsia" w:cs="Times New Roman"/>
                <w:color w:val="000000" w:themeColor="text1"/>
                <w:kern w:val="21"/>
                <w:sz w:val="21"/>
                <w:szCs w:val="21"/>
                <w:highlight w:val="none"/>
                <w:vertAlign w:val="baseline"/>
                <w:lang w:val="en-US" w:eastAsia="zh-CN"/>
                <w14:textFill>
                  <w14:solidFill>
                    <w14:schemeClr w14:val="tx1"/>
                  </w14:solidFill>
                </w14:textFill>
              </w:rPr>
              <w:t>1、</w:t>
            </w:r>
            <w:r>
              <w:rPr>
                <w:rFonts w:hint="default"/>
                <w:b/>
                <w:bCs/>
                <w:color w:val="000000" w:themeColor="text1"/>
                <w:szCs w:val="21"/>
                <w:highlight w:val="none"/>
                <w14:textFill>
                  <w14:solidFill>
                    <w14:schemeClr w14:val="tx1"/>
                  </w14:solidFill>
                </w14:textFill>
              </w:rPr>
              <w:t>环评手续及排污许可履行情况</w:t>
            </w:r>
          </w:p>
          <w:p w14:paraId="00E78056">
            <w:pPr>
              <w:keepNext w:val="0"/>
              <w:keepLines w:val="0"/>
              <w:suppressLineNumbers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表2-</w:t>
            </w:r>
            <w:r>
              <w:rPr>
                <w:rFonts w:hint="eastAsia"/>
                <w:b/>
                <w:bCs/>
                <w:color w:val="000000" w:themeColor="text1"/>
                <w:szCs w:val="21"/>
                <w:highlight w:val="none"/>
                <w:lang w:val="en-US" w:eastAsia="zh-CN"/>
                <w14:textFill>
                  <w14:solidFill>
                    <w14:schemeClr w14:val="tx1"/>
                  </w14:solidFill>
                </w14:textFill>
              </w:rPr>
              <w:t>10</w:t>
            </w:r>
            <w:r>
              <w:rPr>
                <w:rFonts w:hint="default"/>
                <w:b/>
                <w:bCs/>
                <w:color w:val="000000" w:themeColor="text1"/>
                <w:szCs w:val="21"/>
                <w:highlight w:val="none"/>
                <w14:textFill>
                  <w14:solidFill>
                    <w14:schemeClr w14:val="tx1"/>
                  </w14:solidFill>
                </w14:textFill>
              </w:rPr>
              <w:t xml:space="preserve">  环评验收情况</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932"/>
              <w:gridCol w:w="1829"/>
              <w:gridCol w:w="1228"/>
              <w:gridCol w:w="2402"/>
            </w:tblGrid>
            <w:tr w14:paraId="6B440A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noWrap w:val="0"/>
                  <w:vAlign w:val="center"/>
                </w:tcPr>
                <w:p w14:paraId="083348BF">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序号</w:t>
                  </w:r>
                </w:p>
              </w:tc>
              <w:tc>
                <w:tcPr>
                  <w:tcW w:w="1202" w:type="pct"/>
                  <w:noWrap w:val="0"/>
                  <w:vAlign w:val="center"/>
                </w:tcPr>
                <w:p w14:paraId="0827F26E">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项目名称</w:t>
                  </w:r>
                </w:p>
              </w:tc>
              <w:tc>
                <w:tcPr>
                  <w:tcW w:w="1138" w:type="pct"/>
                  <w:noWrap w:val="0"/>
                  <w:vAlign w:val="center"/>
                </w:tcPr>
                <w:p w14:paraId="710161D2">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审批部门</w:t>
                  </w:r>
                </w:p>
              </w:tc>
              <w:tc>
                <w:tcPr>
                  <w:tcW w:w="764" w:type="pct"/>
                  <w:noWrap w:val="0"/>
                  <w:vAlign w:val="center"/>
                </w:tcPr>
                <w:p w14:paraId="03630CD8">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环评批复</w:t>
                  </w:r>
                </w:p>
              </w:tc>
              <w:tc>
                <w:tcPr>
                  <w:tcW w:w="1495" w:type="pct"/>
                  <w:noWrap w:val="0"/>
                  <w:vAlign w:val="center"/>
                </w:tcPr>
                <w:p w14:paraId="25160E48">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验收批复</w:t>
                  </w:r>
                </w:p>
              </w:tc>
            </w:tr>
            <w:tr w14:paraId="5A904E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noWrap w:val="0"/>
                  <w:vAlign w:val="center"/>
                </w:tcPr>
                <w:p w14:paraId="4533A5B2">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cr/>
                  </w:r>
                  <w:r>
                    <w:rPr>
                      <w:rFonts w:hint="default"/>
                      <w:color w:val="000000" w:themeColor="text1"/>
                      <w:sz w:val="18"/>
                      <w:szCs w:val="18"/>
                      <w:highlight w:val="none"/>
                      <w14:textFill>
                        <w14:solidFill>
                          <w14:schemeClr w14:val="tx1"/>
                        </w14:solidFill>
                      </w14:textFill>
                    </w:rPr>
                    <w:t>1</w:t>
                  </w:r>
                </w:p>
              </w:tc>
              <w:tc>
                <w:tcPr>
                  <w:tcW w:w="1202" w:type="pct"/>
                  <w:noWrap w:val="0"/>
                  <w:vAlign w:val="center"/>
                </w:tcPr>
                <w:p w14:paraId="47A3B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000000" w:themeColor="text1"/>
                      <w:sz w:val="18"/>
                      <w:szCs w:val="18"/>
                      <w:highlight w:val="none"/>
                      <w14:textFill>
                        <w14:solidFill>
                          <w14:schemeClr w14:val="tx1"/>
                        </w14:solidFill>
                      </w14:textFill>
                    </w:rPr>
                  </w:pPr>
                  <w:r>
                    <w:rPr>
                      <w:rFonts w:hint="eastAsia"/>
                      <w:color w:val="000000" w:themeColor="text1"/>
                      <w:spacing w:val="2"/>
                      <w:sz w:val="18"/>
                      <w:szCs w:val="18"/>
                      <w:highlight w:val="none"/>
                      <w:lang w:val="en-US" w:eastAsia="zh-CN"/>
                      <w14:textFill>
                        <w14:solidFill>
                          <w14:schemeClr w14:val="tx1"/>
                        </w14:solidFill>
                      </w14:textFill>
                    </w:rPr>
                    <w:t>鸡东县忠旺粮库有限公司烘干塔建设</w:t>
                  </w:r>
                  <w:r>
                    <w:rPr>
                      <w:rFonts w:hint="default"/>
                      <w:color w:val="000000" w:themeColor="text1"/>
                      <w:spacing w:val="1"/>
                      <w:sz w:val="18"/>
                      <w:szCs w:val="18"/>
                      <w:highlight w:val="none"/>
                      <w14:textFill>
                        <w14:solidFill>
                          <w14:schemeClr w14:val="tx1"/>
                        </w14:solidFill>
                      </w14:textFill>
                    </w:rPr>
                    <w:t>项目</w:t>
                  </w:r>
                  <w:r>
                    <w:rPr>
                      <w:rFonts w:hint="default"/>
                      <w:color w:val="000000" w:themeColor="text1"/>
                      <w:sz w:val="18"/>
                      <w:szCs w:val="18"/>
                      <w:highlight w:val="none"/>
                      <w14:textFill>
                        <w14:solidFill>
                          <w14:schemeClr w14:val="tx1"/>
                        </w14:solidFill>
                      </w14:textFill>
                    </w:rPr>
                    <w:t>环境影响报告表</w:t>
                  </w:r>
                </w:p>
              </w:tc>
              <w:tc>
                <w:tcPr>
                  <w:tcW w:w="1138" w:type="pct"/>
                  <w:noWrap w:val="0"/>
                  <w:vAlign w:val="center"/>
                </w:tcPr>
                <w:p w14:paraId="334C0493">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鸡西市鸡东生态</w:t>
                  </w:r>
                  <w:r>
                    <w:rPr>
                      <w:rFonts w:hint="default"/>
                      <w:color w:val="000000" w:themeColor="text1"/>
                      <w:sz w:val="18"/>
                      <w:szCs w:val="18"/>
                      <w:highlight w:val="none"/>
                      <w14:textFill>
                        <w14:solidFill>
                          <w14:schemeClr w14:val="tx1"/>
                        </w14:solidFill>
                      </w14:textFill>
                    </w:rPr>
                    <w:t>环境局</w:t>
                  </w:r>
                </w:p>
              </w:tc>
              <w:tc>
                <w:tcPr>
                  <w:tcW w:w="764" w:type="pct"/>
                  <w:noWrap w:val="0"/>
                  <w:vAlign w:val="center"/>
                </w:tcPr>
                <w:p w14:paraId="4B00167C">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鸡东</w:t>
                  </w:r>
                  <w:r>
                    <w:rPr>
                      <w:rFonts w:hint="default"/>
                      <w:color w:val="000000" w:themeColor="text1"/>
                      <w:sz w:val="18"/>
                      <w:szCs w:val="18"/>
                      <w:highlight w:val="none"/>
                      <w14:textFill>
                        <w14:solidFill>
                          <w14:schemeClr w14:val="tx1"/>
                        </w14:solidFill>
                      </w14:textFill>
                    </w:rPr>
                    <w:t>环审[20</w:t>
                  </w:r>
                  <w:r>
                    <w:rPr>
                      <w:rFonts w:hint="eastAsia"/>
                      <w:color w:val="000000" w:themeColor="text1"/>
                      <w:sz w:val="18"/>
                      <w:szCs w:val="18"/>
                      <w:highlight w:val="none"/>
                      <w:lang w:val="en-US" w:eastAsia="zh-CN"/>
                      <w14:textFill>
                        <w14:solidFill>
                          <w14:schemeClr w14:val="tx1"/>
                        </w14:solidFill>
                      </w14:textFill>
                    </w:rPr>
                    <w:t>22</w:t>
                  </w:r>
                  <w:r>
                    <w:rPr>
                      <w:rFonts w:hint="default"/>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val="en-US" w:eastAsia="zh-CN"/>
                      <w14:textFill>
                        <w14:solidFill>
                          <w14:schemeClr w14:val="tx1"/>
                        </w14:solidFill>
                      </w14:textFill>
                    </w:rPr>
                    <w:t>22</w:t>
                  </w:r>
                  <w:r>
                    <w:rPr>
                      <w:rFonts w:hint="default"/>
                      <w:color w:val="000000" w:themeColor="text1"/>
                      <w:sz w:val="18"/>
                      <w:szCs w:val="18"/>
                      <w:highlight w:val="none"/>
                      <w14:textFill>
                        <w14:solidFill>
                          <w14:schemeClr w14:val="tx1"/>
                        </w14:solidFill>
                      </w14:textFill>
                    </w:rPr>
                    <w:t>号</w:t>
                  </w:r>
                </w:p>
              </w:tc>
              <w:tc>
                <w:tcPr>
                  <w:tcW w:w="1495" w:type="pct"/>
                  <w:noWrap w:val="0"/>
                  <w:vAlign w:val="center"/>
                </w:tcPr>
                <w:p w14:paraId="5C46F45D">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黑龙江省高能环境检测有限公司于2023年3月10日完成对鸡东县忠旺粮库有限公司烘干塔建设项目竣工验收</w:t>
                  </w:r>
                </w:p>
              </w:tc>
            </w:tr>
          </w:tbl>
          <w:p w14:paraId="03DF76EE">
            <w:pPr>
              <w:keepNext w:val="0"/>
              <w:keepLines w:val="0"/>
              <w:widowControl/>
              <w:suppressLineNumbers w:val="0"/>
              <w:spacing w:before="0" w:beforeAutospacing="0" w:after="0" w:afterAutospacing="0" w:line="360" w:lineRule="auto"/>
              <w:ind w:left="0" w:right="0" w:firstLine="420" w:firstLineChars="200"/>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原项目未申请排污许可证，仅在排污许可平台进行登记，于2023年3月10日申请登记回执，登记编号为91230321669009234E002X。</w:t>
            </w:r>
          </w:p>
          <w:p w14:paraId="0BA478FA">
            <w:pPr>
              <w:keepNext w:val="0"/>
              <w:keepLines w:val="0"/>
              <w:suppressLineNumbers w:val="0"/>
              <w:spacing w:before="0" w:beforeAutospacing="0" w:after="0" w:afterAutospacing="0" w:line="360" w:lineRule="auto"/>
              <w:ind w:left="0" w:right="0"/>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2、现有项目污染情况</w:t>
            </w:r>
          </w:p>
          <w:p w14:paraId="01880FD7">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bookmarkStart w:id="5" w:name="_Toc514763832"/>
            <w:r>
              <w:rPr>
                <w:rFonts w:hint="eastAsia"/>
                <w:bCs/>
                <w:color w:val="000000" w:themeColor="text1"/>
                <w:szCs w:val="21"/>
                <w:highlight w:val="none"/>
                <w14:textFill>
                  <w14:solidFill>
                    <w14:schemeClr w14:val="tx1"/>
                  </w14:solidFill>
                </w14:textFill>
              </w:rPr>
              <w:t>（1）</w:t>
            </w:r>
            <w:r>
              <w:rPr>
                <w:rFonts w:hint="default"/>
                <w:bCs/>
                <w:color w:val="000000" w:themeColor="text1"/>
                <w:szCs w:val="21"/>
                <w:highlight w:val="none"/>
                <w14:textFill>
                  <w14:solidFill>
                    <w14:schemeClr w14:val="tx1"/>
                  </w14:solidFill>
                </w14:textFill>
              </w:rPr>
              <w:t>废水</w:t>
            </w:r>
          </w:p>
          <w:p w14:paraId="4C4F6266">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现有工程废水为生活污水</w:t>
            </w:r>
            <w:r>
              <w:rPr>
                <w:rFonts w:hint="default"/>
                <w:bCs/>
                <w:color w:val="000000" w:themeColor="text1"/>
                <w:szCs w:val="21"/>
                <w:highlight w:val="none"/>
                <w14:textFill>
                  <w14:solidFill>
                    <w14:schemeClr w14:val="tx1"/>
                  </w14:solidFill>
                </w14:textFill>
              </w:rPr>
              <w:t>，生产过程无废水产生。</w:t>
            </w:r>
            <w:r>
              <w:rPr>
                <w:rFonts w:hint="eastAsia"/>
                <w:bCs/>
                <w:color w:val="000000" w:themeColor="text1"/>
                <w:szCs w:val="21"/>
                <w:highlight w:val="none"/>
                <w:lang w:val="en-US" w:eastAsia="zh-CN"/>
                <w14:textFill>
                  <w14:solidFill>
                    <w14:schemeClr w14:val="tx1"/>
                  </w14:solidFill>
                </w14:textFill>
              </w:rPr>
              <w:t>现有工程劳动定员30人，</w:t>
            </w:r>
            <w:r>
              <w:rPr>
                <w:rFonts w:hint="default"/>
                <w:bCs/>
                <w:color w:val="000000" w:themeColor="text1"/>
                <w:szCs w:val="21"/>
                <w:highlight w:val="none"/>
                <w14:textFill>
                  <w14:solidFill>
                    <w14:schemeClr w14:val="tx1"/>
                  </w14:solidFill>
                </w14:textFill>
              </w:rPr>
              <w:t>生活污水</w:t>
            </w:r>
            <w:r>
              <w:rPr>
                <w:rFonts w:hint="eastAsia"/>
                <w:bCs/>
                <w:color w:val="000000" w:themeColor="text1"/>
                <w:szCs w:val="21"/>
                <w:highlight w:val="none"/>
                <w:lang w:val="en-US" w:eastAsia="zh-CN"/>
                <w14:textFill>
                  <w14:solidFill>
                    <w14:schemeClr w14:val="tx1"/>
                  </w14:solidFill>
                </w14:textFill>
              </w:rPr>
              <w:t>年排放量为230.4t/a，</w:t>
            </w:r>
            <w:r>
              <w:rPr>
                <w:rFonts w:hint="default"/>
                <w:bCs/>
                <w:color w:val="000000" w:themeColor="text1"/>
                <w:szCs w:val="21"/>
                <w:highlight w:val="none"/>
                <w14:textFill>
                  <w14:solidFill>
                    <w14:schemeClr w14:val="tx1"/>
                  </w14:solidFill>
                </w14:textFill>
              </w:rPr>
              <w:t>排入防渗</w:t>
            </w:r>
            <w:r>
              <w:rPr>
                <w:rFonts w:hint="eastAsia"/>
                <w:bCs/>
                <w:color w:val="000000" w:themeColor="text1"/>
                <w:szCs w:val="21"/>
                <w:highlight w:val="none"/>
                <w:lang w:val="en-US" w:eastAsia="zh-CN"/>
                <w14:textFill>
                  <w14:solidFill>
                    <w14:schemeClr w14:val="tx1"/>
                  </w14:solidFill>
                </w14:textFill>
              </w:rPr>
              <w:t>化粪池</w:t>
            </w:r>
            <w:r>
              <w:rPr>
                <w:rFonts w:hint="default"/>
                <w:bCs/>
                <w:color w:val="000000" w:themeColor="text1"/>
                <w:szCs w:val="21"/>
                <w:highlight w:val="none"/>
                <w14:textFill>
                  <w14:solidFill>
                    <w14:schemeClr w14:val="tx1"/>
                  </w14:solidFill>
                </w14:textFill>
              </w:rPr>
              <w:t>，定期</w:t>
            </w:r>
            <w:r>
              <w:rPr>
                <w:rFonts w:hint="eastAsia"/>
                <w:bCs/>
                <w:color w:val="000000" w:themeColor="text1"/>
                <w:szCs w:val="21"/>
                <w:highlight w:val="none"/>
                <w:lang w:val="en-US" w:eastAsia="zh-CN"/>
                <w14:textFill>
                  <w14:solidFill>
                    <w14:schemeClr w14:val="tx1"/>
                  </w14:solidFill>
                </w14:textFill>
              </w:rPr>
              <w:t>清掏</w:t>
            </w:r>
            <w:r>
              <w:rPr>
                <w:rFonts w:hint="default"/>
                <w:bCs/>
                <w:color w:val="000000" w:themeColor="text1"/>
                <w:szCs w:val="21"/>
                <w:highlight w:val="none"/>
                <w14:textFill>
                  <w14:solidFill>
                    <w14:schemeClr w14:val="tx1"/>
                  </w14:solidFill>
                </w14:textFill>
              </w:rPr>
              <w:t>。</w:t>
            </w:r>
          </w:p>
          <w:p w14:paraId="0E9AED45">
            <w:pPr>
              <w:pStyle w:val="1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bCs/>
                <w:color w:val="000000" w:themeColor="text1"/>
                <w:sz w:val="21"/>
                <w:szCs w:val="21"/>
                <w:highlight w:val="none"/>
                <w14:textFill>
                  <w14:solidFill>
                    <w14:schemeClr w14:val="tx1"/>
                  </w14:solidFill>
                </w14:textFill>
              </w:rPr>
            </w:pPr>
            <w:r>
              <w:rPr>
                <w:rFonts w:hint="eastAsia"/>
                <w:bCs/>
                <w:color w:val="000000" w:themeColor="text1"/>
                <w:sz w:val="21"/>
                <w:szCs w:val="21"/>
                <w:highlight w:val="none"/>
                <w14:textFill>
                  <w14:solidFill>
                    <w14:schemeClr w14:val="tx1"/>
                  </w14:solidFill>
                </w14:textFill>
              </w:rPr>
              <w:t>（2）</w:t>
            </w:r>
            <w:r>
              <w:rPr>
                <w:rFonts w:hint="default"/>
                <w:bCs/>
                <w:color w:val="000000" w:themeColor="text1"/>
                <w:sz w:val="21"/>
                <w:szCs w:val="21"/>
                <w:highlight w:val="none"/>
                <w14:textFill>
                  <w14:solidFill>
                    <w14:schemeClr w14:val="tx1"/>
                  </w14:solidFill>
                </w14:textFill>
              </w:rPr>
              <w:t>废气</w:t>
            </w:r>
            <w:bookmarkEnd w:id="5"/>
          </w:p>
          <w:p w14:paraId="61183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eastAsia="宋体"/>
                <w:bCs/>
                <w:color w:val="000000" w:themeColor="text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现有工程</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eastAsia"/>
                <w:color w:val="000000" w:themeColor="text1"/>
                <w:sz w:val="21"/>
                <w:szCs w:val="21"/>
                <w:highlight w:val="none"/>
                <w:lang w:val="en-US" w:eastAsia="zh-CN"/>
                <w14:textFill>
                  <w14:solidFill>
                    <w14:schemeClr w14:val="tx1"/>
                  </w14:solidFill>
                </w14:textFill>
              </w:rPr>
              <w:t>内设</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一台600万Kcal/h</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燃</w:t>
            </w:r>
            <w:r>
              <w:rPr>
                <w:rFonts w:hint="eastAsia" w:cs="Times New Roman"/>
                <w:bCs/>
                <w:color w:val="000000" w:themeColor="text1"/>
                <w:kern w:val="0"/>
                <w:sz w:val="21"/>
                <w:szCs w:val="21"/>
                <w:highlight w:val="none"/>
                <w:lang w:val="en-US" w:eastAsia="zh-CN"/>
                <w14:textFill>
                  <w14:solidFill>
                    <w14:schemeClr w14:val="tx1"/>
                  </w14:solidFill>
                </w14:textFill>
              </w:rPr>
              <w:t>生物质热风</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炉</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用于生产用热及厂区供暖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现有工程</w:t>
            </w:r>
            <w:r>
              <w:rPr>
                <w:rFonts w:hint="eastAsia" w:cs="Times New Roman"/>
                <w:color w:val="000000" w:themeColor="text1"/>
                <w:kern w:val="21"/>
                <w:sz w:val="21"/>
                <w:szCs w:val="21"/>
                <w:highlight w:val="none"/>
                <w:vertAlign w:val="baseline"/>
                <w:lang w:val="en-US" w:eastAsia="zh-CN"/>
                <w14:textFill>
                  <w14:solidFill>
                    <w14:schemeClr w14:val="tx1"/>
                  </w14:solidFill>
                </w14:textFill>
              </w:rPr>
              <w:t>一台600万Kcal/h</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燃</w:t>
            </w:r>
            <w:r>
              <w:rPr>
                <w:rFonts w:hint="eastAsia" w:cs="Times New Roman"/>
                <w:bCs/>
                <w:color w:val="000000" w:themeColor="text1"/>
                <w:kern w:val="0"/>
                <w:sz w:val="21"/>
                <w:szCs w:val="21"/>
                <w:highlight w:val="none"/>
                <w:lang w:val="en-US" w:eastAsia="zh-CN"/>
                <w14:textFill>
                  <w14:solidFill>
                    <w14:schemeClr w14:val="tx1"/>
                  </w14:solidFill>
                </w14:textFill>
              </w:rPr>
              <w:t>生物质热风</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炉</w:t>
            </w:r>
            <w:r>
              <w:rPr>
                <w:rFonts w:hint="eastAsia" w:cs="Times New Roman"/>
                <w:bCs/>
                <w:color w:val="000000" w:themeColor="text1"/>
                <w:kern w:val="0"/>
                <w:sz w:val="21"/>
                <w:szCs w:val="21"/>
                <w:highlight w:val="none"/>
                <w:lang w:val="en-US" w:eastAsia="zh-CN"/>
                <w14:textFill>
                  <w14:solidFill>
                    <w14:schemeClr w14:val="tx1"/>
                  </w14:solidFill>
                </w14:textFill>
              </w:rPr>
              <w:t>生物质消耗</w:t>
            </w:r>
            <w:r>
              <w:rPr>
                <w:rFonts w:hint="eastAsia"/>
                <w:color w:val="000000" w:themeColor="text1"/>
                <w:sz w:val="21"/>
                <w:szCs w:val="21"/>
                <w:highlight w:val="none"/>
                <w14:textFill>
                  <w14:solidFill>
                    <w14:schemeClr w14:val="tx1"/>
                  </w14:solidFill>
                </w14:textFill>
              </w:rPr>
              <w:t>量</w:t>
            </w:r>
            <w:r>
              <w:rPr>
                <w:rFonts w:hint="eastAsia"/>
                <w:color w:val="000000" w:themeColor="text1"/>
                <w:sz w:val="21"/>
                <w:szCs w:val="21"/>
                <w:highlight w:val="none"/>
                <w:lang w:val="en-US" w:eastAsia="zh-CN"/>
                <w14:textFill>
                  <w14:solidFill>
                    <w14:schemeClr w14:val="tx1"/>
                  </w14:solidFill>
                </w14:textFill>
              </w:rPr>
              <w:t>约为452.99</w:t>
            </w:r>
            <w:r>
              <w:rPr>
                <w:rFonts w:hint="eastAsia"/>
                <w:color w:val="000000" w:themeColor="text1"/>
                <w:sz w:val="21"/>
                <w:szCs w:val="21"/>
                <w:highlight w:val="none"/>
                <w14:textFill>
                  <w14:solidFill>
                    <w14:schemeClr w14:val="tx1"/>
                  </w14:solidFill>
                </w14:textFill>
              </w:rPr>
              <w:t>t/a，</w:t>
            </w:r>
            <w:r>
              <w:rPr>
                <w:rFonts w:hint="eastAsia"/>
                <w:color w:val="000000" w:themeColor="text1"/>
                <w:sz w:val="21"/>
                <w:szCs w:val="21"/>
                <w:highlight w:val="none"/>
                <w:lang w:val="en-US" w:eastAsia="zh-CN"/>
                <w14:textFill>
                  <w14:solidFill>
                    <w14:schemeClr w14:val="tx1"/>
                  </w14:solidFill>
                </w14:textFill>
              </w:rPr>
              <w:t>年运行时间80天，每天24小时；</w:t>
            </w:r>
            <w:r>
              <w:rPr>
                <w:rFonts w:hint="eastAsia"/>
                <w:color w:val="000000" w:themeColor="text1"/>
                <w:szCs w:val="28"/>
                <w:highlight w:val="none"/>
                <w:shd w:val="clear"/>
                <w:lang w:val="en-US" w:eastAsia="zh-CN"/>
                <w14:textFill>
                  <w14:solidFill>
                    <w14:schemeClr w14:val="tx1"/>
                  </w14:solidFill>
                </w14:textFill>
              </w:rPr>
              <w:t>烟气排放量为1754.487m</w:t>
            </w:r>
            <w:r>
              <w:rPr>
                <w:rFonts w:hint="eastAsia"/>
                <w:color w:val="000000" w:themeColor="text1"/>
                <w:szCs w:val="28"/>
                <w:highlight w:val="none"/>
                <w:shd w:val="clear"/>
                <w:vertAlign w:val="superscript"/>
                <w:lang w:val="en-US" w:eastAsia="zh-CN"/>
                <w14:textFill>
                  <w14:solidFill>
                    <w14:schemeClr w14:val="tx1"/>
                  </w14:solidFill>
                </w14:textFill>
              </w:rPr>
              <w:t>3</w:t>
            </w:r>
            <w:r>
              <w:rPr>
                <w:rFonts w:hint="eastAsia"/>
                <w:color w:val="000000" w:themeColor="text1"/>
                <w:szCs w:val="28"/>
                <w:highlight w:val="none"/>
                <w:shd w:val="clear"/>
                <w:lang w:val="en-US" w:eastAsia="zh-CN"/>
                <w14:textFill>
                  <w14:solidFill>
                    <w14:schemeClr w14:val="tx1"/>
                  </w14:solidFill>
                </w14:textFill>
              </w:rPr>
              <w:t>/h。根据验收意见显示，废气通过布袋除尘器处理，</w:t>
            </w:r>
            <w:r>
              <w:rPr>
                <w:rFonts w:hint="eastAsia"/>
                <w:bCs/>
                <w:color w:val="000000" w:themeColor="text1"/>
                <w:szCs w:val="21"/>
                <w:highlight w:val="none"/>
                <w:lang w:val="en-US" w:eastAsia="zh-CN"/>
                <w14:textFill>
                  <w14:solidFill>
                    <w14:schemeClr w14:val="tx1"/>
                  </w14:solidFill>
                </w14:textFill>
              </w:rPr>
              <w:t>通过高度15米排气筒排放，颗粒物最大浓度为37.8mg/m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、颗粒物最大排放速率为0.045kg/h、二氧化硫排放浓度低于检出限3mg/m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、二氧化硫排放速率小于0.008kg/h、氮氧化物最大浓度为202.6mg/m</w:t>
            </w:r>
            <w:r>
              <w:rPr>
                <w:rFonts w:hint="eastAsia"/>
                <w:bCs/>
                <w:color w:val="000000" w:themeColor="text1"/>
                <w:szCs w:val="21"/>
                <w:highlight w:val="none"/>
                <w:vertAlign w:val="superscript"/>
                <w:lang w:val="en-US" w:eastAsia="zh-CN"/>
                <w14:textFill>
                  <w14:solidFill>
                    <w14:schemeClr w14:val="tx1"/>
                  </w14:solidFill>
                </w14:textFill>
              </w:rPr>
              <w:t>3</w:t>
            </w:r>
            <w:r>
              <w:rPr>
                <w:rFonts w:hint="eastAsia"/>
                <w:bCs/>
                <w:color w:val="000000" w:themeColor="text1"/>
                <w:szCs w:val="21"/>
                <w:highlight w:val="none"/>
                <w:lang w:val="en-US" w:eastAsia="zh-CN"/>
                <w14:textFill>
                  <w14:solidFill>
                    <w14:schemeClr w14:val="tx1"/>
                  </w14:solidFill>
                </w14:textFill>
              </w:rPr>
              <w:t>、氨氧化物最大排放速率为0.248g/h，烟气黑度小于1级排放浓度符合《工业炉密大气污染物排放标准》(GB9078-1996)表2和表4中二级标准限值要求。热风炉</w:t>
            </w:r>
            <w:r>
              <w:rPr>
                <w:rFonts w:hint="default"/>
                <w:bCs w:val="0"/>
                <w:color w:val="000000" w:themeColor="text1"/>
                <w:szCs w:val="28"/>
                <w:highlight w:val="none"/>
                <w14:textFill>
                  <w14:solidFill>
                    <w14:schemeClr w14:val="tx1"/>
                  </w14:solidFill>
                </w14:textFill>
              </w:rPr>
              <w:t>大气污染物排放量为：</w:t>
            </w:r>
            <w:r>
              <w:rPr>
                <w:rFonts w:hint="eastAsia"/>
                <w:bCs w:val="0"/>
                <w:color w:val="000000" w:themeColor="text1"/>
                <w:sz w:val="21"/>
                <w:szCs w:val="21"/>
                <w:highlight w:val="none"/>
                <w:lang w:val="en-US" w:eastAsia="zh-CN"/>
                <w14:textFill>
                  <w14:solidFill>
                    <w14:schemeClr w14:val="tx1"/>
                  </w14:solidFill>
                </w14:textFill>
              </w:rPr>
              <w:t>颗粒物0.0864</w:t>
            </w:r>
            <w:r>
              <w:rPr>
                <w:rFonts w:hint="default"/>
                <w:bCs w:val="0"/>
                <w:color w:val="000000" w:themeColor="text1"/>
                <w:sz w:val="21"/>
                <w:szCs w:val="21"/>
                <w:highlight w:val="none"/>
                <w14:textFill>
                  <w14:solidFill>
                    <w14:schemeClr w14:val="tx1"/>
                  </w14:solidFill>
                </w14:textFill>
              </w:rPr>
              <w:t>t/a，SO</w:t>
            </w:r>
            <w:r>
              <w:rPr>
                <w:rFonts w:hint="default"/>
                <w:bCs w:val="0"/>
                <w:color w:val="000000" w:themeColor="text1"/>
                <w:sz w:val="21"/>
                <w:szCs w:val="21"/>
                <w:highlight w:val="none"/>
                <w:vertAlign w:val="subscript"/>
                <w14:textFill>
                  <w14:solidFill>
                    <w14:schemeClr w14:val="tx1"/>
                  </w14:solidFill>
                </w14:textFill>
              </w:rPr>
              <w:t>2</w:t>
            </w:r>
            <w:r>
              <w:rPr>
                <w:rFonts w:hint="eastAsia"/>
                <w:bCs w:val="0"/>
                <w:color w:val="000000" w:themeColor="text1"/>
                <w:sz w:val="21"/>
                <w:szCs w:val="21"/>
                <w:highlight w:val="none"/>
                <w:lang w:val="en-US" w:eastAsia="zh-CN"/>
                <w14:textFill>
                  <w14:solidFill>
                    <w14:schemeClr w14:val="tx1"/>
                  </w14:solidFill>
                </w14:textFill>
              </w:rPr>
              <w:t>0.00768</w:t>
            </w:r>
            <w:r>
              <w:rPr>
                <w:rFonts w:hint="default"/>
                <w:bCs w:val="0"/>
                <w:color w:val="000000" w:themeColor="text1"/>
                <w:sz w:val="21"/>
                <w:szCs w:val="21"/>
                <w:highlight w:val="none"/>
                <w14:textFill>
                  <w14:solidFill>
                    <w14:schemeClr w14:val="tx1"/>
                  </w14:solidFill>
                </w14:textFill>
              </w:rPr>
              <w:t>t/a，NO</w:t>
            </w:r>
            <w:r>
              <w:rPr>
                <w:rFonts w:hint="default"/>
                <w:bCs w:val="0"/>
                <w:color w:val="000000" w:themeColor="text1"/>
                <w:sz w:val="21"/>
                <w:szCs w:val="21"/>
                <w:highlight w:val="none"/>
                <w:vertAlign w:val="subscript"/>
                <w14:textFill>
                  <w14:solidFill>
                    <w14:schemeClr w14:val="tx1"/>
                  </w14:solidFill>
                </w14:textFill>
              </w:rPr>
              <w:t>x</w:t>
            </w:r>
            <w:r>
              <w:rPr>
                <w:rFonts w:hint="eastAsia"/>
                <w:bCs w:val="0"/>
                <w:color w:val="000000" w:themeColor="text1"/>
                <w:sz w:val="21"/>
                <w:szCs w:val="21"/>
                <w:highlight w:val="none"/>
                <w:lang w:val="en-US" w:eastAsia="zh-CN"/>
                <w14:textFill>
                  <w14:solidFill>
                    <w14:schemeClr w14:val="tx1"/>
                  </w14:solidFill>
                </w14:textFill>
              </w:rPr>
              <w:t>0.476</w:t>
            </w:r>
            <w:r>
              <w:rPr>
                <w:rFonts w:hint="default"/>
                <w:bCs w:val="0"/>
                <w:color w:val="000000" w:themeColor="text1"/>
                <w:sz w:val="21"/>
                <w:szCs w:val="21"/>
                <w:highlight w:val="none"/>
                <w14:textFill>
                  <w14:solidFill>
                    <w14:schemeClr w14:val="tx1"/>
                  </w14:solidFill>
                </w14:textFill>
              </w:rPr>
              <w:t>t/a</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现有工程在清选去除杂质的过程中产生的粉尘经布袋除尘器处理后，</w:t>
            </w:r>
            <w:r>
              <w:rPr>
                <w:rFonts w:hint="eastAsia"/>
                <w:color w:val="000000" w:themeColor="text1"/>
                <w:sz w:val="21"/>
                <w:szCs w:val="21"/>
                <w:highlight w:val="none"/>
                <w:lang w:val="en-US" w:eastAsia="zh-CN"/>
                <w14:textFill>
                  <w14:solidFill>
                    <w14:schemeClr w14:val="tx1"/>
                  </w14:solidFill>
                </w14:textFill>
              </w:rPr>
              <w:t>粉尘统一收集，验收监测期间，无组织废气总悬浮颗粒物的最高排放浓度为0.417mg/m</w:t>
            </w:r>
            <w:r>
              <w:rPr>
                <w:rFonts w:hint="eastAsia"/>
                <w:color w:val="000000" w:themeColor="text1"/>
                <w:sz w:val="21"/>
                <w:szCs w:val="21"/>
                <w:highlight w:val="none"/>
                <w:vertAlign w:val="super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，符合《大气污染物综合排放标准》(GB16297-1996)表2中无组织排放浓度限值要求。工业粉尘</w:t>
            </w:r>
            <w:r>
              <w:rPr>
                <w:rFonts w:hint="eastAsia"/>
                <w:color w:val="000000" w:themeColor="text1"/>
                <w:szCs w:val="21"/>
                <w:highlight w:val="none"/>
                <w:lang w:val="en-US" w:eastAsia="zh-CN"/>
                <w14:textFill>
                  <w14:solidFill>
                    <w14:schemeClr w14:val="tx1"/>
                  </w14:solidFill>
                </w14:textFill>
              </w:rPr>
              <w:t>排放量为3.1t/a。</w:t>
            </w:r>
          </w:p>
          <w:p w14:paraId="4E217DCF">
            <w:pPr>
              <w:keepNext w:val="0"/>
              <w:keepLines w:val="0"/>
              <w:suppressLineNumbers w:val="0"/>
              <w:spacing w:before="0" w:beforeAutospacing="0" w:after="0" w:afterAutospacing="0" w:line="360" w:lineRule="auto"/>
              <w:ind w:left="0" w:right="0" w:firstLine="420" w:firstLineChars="200"/>
              <w:rPr>
                <w:rFonts w:hint="eastAsia" w:eastAsia="宋体"/>
                <w:bCs/>
                <w:color w:val="000000" w:themeColor="text1"/>
                <w:szCs w:val="21"/>
                <w:highlight w:val="none"/>
                <w:lang w:eastAsia="zh-CN"/>
                <w14:textFill>
                  <w14:solidFill>
                    <w14:schemeClr w14:val="tx1"/>
                  </w14:solidFill>
                </w14:textFill>
              </w:rPr>
            </w:pPr>
            <w:bookmarkStart w:id="6" w:name="_Toc514763833"/>
            <w:r>
              <w:rPr>
                <w:rFonts w:hint="eastAsia"/>
                <w:color w:val="000000" w:themeColor="text1"/>
                <w:szCs w:val="21"/>
                <w:highlight w:val="none"/>
                <w:lang w:val="en-US" w:eastAsia="zh-CN"/>
                <w14:textFill>
                  <w14:solidFill>
                    <w14:schemeClr w14:val="tx1"/>
                  </w14:solidFill>
                </w14:textFill>
              </w:rPr>
              <w:t>则现有工程大气污染物排放总量为</w:t>
            </w:r>
            <w:r>
              <w:rPr>
                <w:rFonts w:hint="eastAsia"/>
                <w:color w:val="000000" w:themeColor="text1"/>
                <w:szCs w:val="21"/>
                <w:highlight w:val="none"/>
                <w14:textFill>
                  <w14:solidFill>
                    <w14:schemeClr w14:val="tx1"/>
                  </w14:solidFill>
                </w14:textFill>
              </w:rPr>
              <w:t>颗粒物0.</w:t>
            </w:r>
            <w:r>
              <w:rPr>
                <w:rFonts w:hint="eastAsia"/>
                <w:color w:val="000000" w:themeColor="text1"/>
                <w:szCs w:val="21"/>
                <w:highlight w:val="none"/>
                <w:lang w:val="en-US" w:eastAsia="zh-CN"/>
                <w14:textFill>
                  <w14:solidFill>
                    <w14:schemeClr w14:val="tx1"/>
                  </w14:solidFill>
                </w14:textFill>
              </w:rPr>
              <w:t>0864</w:t>
            </w:r>
            <w:r>
              <w:rPr>
                <w:rFonts w:hint="eastAsia"/>
                <w:color w:val="000000" w:themeColor="text1"/>
                <w:szCs w:val="21"/>
                <w:highlight w:val="none"/>
                <w14:textFill>
                  <w14:solidFill>
                    <w14:schemeClr w14:val="tx1"/>
                  </w14:solidFill>
                </w14:textFill>
              </w:rPr>
              <w:t>t/a，</w:t>
            </w:r>
            <w:r>
              <w:rPr>
                <w:rFonts w:hint="default"/>
                <w:bCs w:val="0"/>
                <w:color w:val="000000" w:themeColor="text1"/>
                <w:sz w:val="21"/>
                <w:szCs w:val="21"/>
                <w:highlight w:val="none"/>
                <w14:textFill>
                  <w14:solidFill>
                    <w14:schemeClr w14:val="tx1"/>
                  </w14:solidFill>
                </w14:textFill>
              </w:rPr>
              <w:t>SO</w:t>
            </w:r>
            <w:r>
              <w:rPr>
                <w:rFonts w:hint="default"/>
                <w:bCs w:val="0"/>
                <w:color w:val="000000" w:themeColor="text1"/>
                <w:sz w:val="21"/>
                <w:szCs w:val="21"/>
                <w:highlight w:val="none"/>
                <w:vertAlign w:val="subscript"/>
                <w14:textFill>
                  <w14:solidFill>
                    <w14:schemeClr w14:val="tx1"/>
                  </w14:solidFill>
                </w14:textFill>
              </w:rPr>
              <w:t>2</w:t>
            </w:r>
            <w:r>
              <w:rPr>
                <w:rFonts w:hint="eastAsia"/>
                <w:bCs w:val="0"/>
                <w:color w:val="000000" w:themeColor="text1"/>
                <w:sz w:val="21"/>
                <w:szCs w:val="21"/>
                <w:highlight w:val="none"/>
                <w:lang w:val="en-US" w:eastAsia="zh-CN"/>
                <w14:textFill>
                  <w14:solidFill>
                    <w14:schemeClr w14:val="tx1"/>
                  </w14:solidFill>
                </w14:textFill>
              </w:rPr>
              <w:t>0.00768</w:t>
            </w:r>
            <w:r>
              <w:rPr>
                <w:rFonts w:hint="default"/>
                <w:bCs w:val="0"/>
                <w:color w:val="000000" w:themeColor="text1"/>
                <w:sz w:val="21"/>
                <w:szCs w:val="21"/>
                <w:highlight w:val="none"/>
                <w14:textFill>
                  <w14:solidFill>
                    <w14:schemeClr w14:val="tx1"/>
                  </w14:solidFill>
                </w14:textFill>
              </w:rPr>
              <w:t>t/a，NO</w:t>
            </w:r>
            <w:r>
              <w:rPr>
                <w:rFonts w:hint="default"/>
                <w:bCs w:val="0"/>
                <w:color w:val="000000" w:themeColor="text1"/>
                <w:sz w:val="21"/>
                <w:szCs w:val="21"/>
                <w:highlight w:val="none"/>
                <w:vertAlign w:val="subscript"/>
                <w14:textFill>
                  <w14:solidFill>
                    <w14:schemeClr w14:val="tx1"/>
                  </w14:solidFill>
                </w14:textFill>
              </w:rPr>
              <w:t>x</w:t>
            </w:r>
            <w:r>
              <w:rPr>
                <w:rFonts w:hint="eastAsia"/>
                <w:bCs w:val="0"/>
                <w:color w:val="000000" w:themeColor="text1"/>
                <w:sz w:val="21"/>
                <w:szCs w:val="21"/>
                <w:highlight w:val="none"/>
                <w:lang w:val="en-US" w:eastAsia="zh-CN"/>
                <w14:textFill>
                  <w14:solidFill>
                    <w14:schemeClr w14:val="tx1"/>
                  </w14:solidFill>
                </w14:textFill>
              </w:rPr>
              <w:t>0.476</w:t>
            </w:r>
            <w:r>
              <w:rPr>
                <w:rFonts w:hint="default"/>
                <w:bCs w:val="0"/>
                <w:color w:val="000000" w:themeColor="text1"/>
                <w:sz w:val="21"/>
                <w:szCs w:val="21"/>
                <w:highlight w:val="none"/>
                <w14:textFill>
                  <w14:solidFill>
                    <w14:schemeClr w14:val="tx1"/>
                  </w14:solidFill>
                </w14:textFill>
              </w:rPr>
              <w:t>t/a</w:t>
            </w:r>
            <w:r>
              <w:rPr>
                <w:rFonts w:hint="eastAsia"/>
                <w:bCs w:val="0"/>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工业粉尘</w:t>
            </w:r>
            <w:r>
              <w:rPr>
                <w:rFonts w:hint="eastAsia"/>
                <w:color w:val="000000" w:themeColor="text1"/>
                <w:szCs w:val="21"/>
                <w:highlight w:val="none"/>
                <w:lang w:val="en-US" w:eastAsia="zh-CN"/>
                <w14:textFill>
                  <w14:solidFill>
                    <w14:schemeClr w14:val="tx1"/>
                  </w14:solidFill>
                </w14:textFill>
              </w:rPr>
              <w:t>3.1t/a</w:t>
            </w:r>
            <w:r>
              <w:rPr>
                <w:rFonts w:hint="eastAsia"/>
                <w:color w:val="000000" w:themeColor="text1"/>
                <w:szCs w:val="21"/>
                <w:highlight w:val="none"/>
                <w:lang w:eastAsia="zh-CN"/>
                <w14:textFill>
                  <w14:solidFill>
                    <w14:schemeClr w14:val="tx1"/>
                  </w14:solidFill>
                </w14:textFill>
              </w:rPr>
              <w:t>。</w:t>
            </w:r>
          </w:p>
          <w:p w14:paraId="67A75FF9">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（3）</w:t>
            </w:r>
            <w:r>
              <w:rPr>
                <w:rFonts w:hint="default"/>
                <w:bCs/>
                <w:color w:val="000000" w:themeColor="text1"/>
                <w:szCs w:val="21"/>
                <w:highlight w:val="none"/>
                <w14:textFill>
                  <w14:solidFill>
                    <w14:schemeClr w14:val="tx1"/>
                  </w14:solidFill>
                </w14:textFill>
              </w:rPr>
              <w:t>噪声</w:t>
            </w:r>
            <w:bookmarkEnd w:id="6"/>
          </w:p>
          <w:p w14:paraId="6EB5FE39">
            <w:pPr>
              <w:keepNext w:val="0"/>
              <w:keepLines w:val="0"/>
              <w:suppressLineNumbers w:val="0"/>
              <w:spacing w:before="0" w:beforeAutospacing="0" w:after="0" w:afterAutospacing="0" w:line="360" w:lineRule="auto"/>
              <w:ind w:left="0" w:right="0" w:firstLine="420" w:firstLineChars="200"/>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现有工程产生噪声的设备合理布局，设备在库房内，风机采取封闭、降噪、减震措施，验收监测期间，厂界昼间噪声监测结果在 59.4-47.0dB(A)之间，夜间监测结果在 40.8-44.5dB(A)之间，满足《工业企业厂界环境噪声排放标准》(GB12348-2008)表1中2类标准要求。</w:t>
            </w:r>
          </w:p>
          <w:p w14:paraId="44DAA2F7">
            <w:pPr>
              <w:keepNext w:val="0"/>
              <w:keepLines w:val="0"/>
              <w:suppressLineNumbers w:val="0"/>
              <w:spacing w:before="0" w:beforeAutospacing="0" w:after="0" w:afterAutospacing="0" w:line="360" w:lineRule="auto"/>
              <w:ind w:left="0" w:right="0" w:firstLine="420" w:firstLineChars="200"/>
              <w:rPr>
                <w:rFonts w:hint="default"/>
                <w:bCs/>
                <w:color w:val="000000" w:themeColor="text1"/>
                <w:szCs w:val="21"/>
                <w:highlight w:val="none"/>
                <w14:textFill>
                  <w14:solidFill>
                    <w14:schemeClr w14:val="tx1"/>
                  </w14:solidFill>
                </w14:textFill>
              </w:rPr>
            </w:pPr>
            <w:bookmarkStart w:id="7" w:name="_Toc514763834"/>
            <w:r>
              <w:rPr>
                <w:rFonts w:hint="eastAsia"/>
                <w:bCs/>
                <w:color w:val="000000" w:themeColor="text1"/>
                <w:szCs w:val="21"/>
                <w:highlight w:val="none"/>
                <w14:textFill>
                  <w14:solidFill>
                    <w14:schemeClr w14:val="tx1"/>
                  </w14:solidFill>
                </w14:textFill>
              </w:rPr>
              <w:t>（4）</w:t>
            </w:r>
            <w:r>
              <w:rPr>
                <w:rFonts w:hint="default"/>
                <w:bCs/>
                <w:color w:val="000000" w:themeColor="text1"/>
                <w:szCs w:val="21"/>
                <w:highlight w:val="none"/>
                <w14:textFill>
                  <w14:solidFill>
                    <w14:schemeClr w14:val="tx1"/>
                  </w14:solidFill>
                </w14:textFill>
              </w:rPr>
              <w:t>固体废物</w:t>
            </w:r>
            <w:bookmarkEnd w:id="7"/>
          </w:p>
          <w:p w14:paraId="5CDE9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本项目生活垃圾</w:t>
            </w:r>
            <w:r>
              <w:rPr>
                <w:rFonts w:hint="eastAsia"/>
                <w:color w:val="000000" w:themeColor="text1"/>
                <w:szCs w:val="21"/>
                <w:highlight w:val="none"/>
                <w:lang w:val="en-US" w:eastAsia="zh-CN"/>
                <w14:textFill>
                  <w14:solidFill>
                    <w14:schemeClr w14:val="tx1"/>
                  </w14:solidFill>
                </w14:textFill>
              </w:rPr>
              <w:t>1.8</w:t>
            </w:r>
            <w:r>
              <w:rPr>
                <w:rFonts w:hint="eastAsia"/>
                <w:color w:val="000000" w:themeColor="text1"/>
                <w:szCs w:val="21"/>
                <w:highlight w:val="none"/>
                <w14:textFill>
                  <w14:solidFill>
                    <w14:schemeClr w14:val="tx1"/>
                  </w14:solidFill>
                </w14:textFill>
              </w:rPr>
              <w:t>t/a</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交由环卫部门统一处置</w:t>
            </w:r>
            <w:r>
              <w:rPr>
                <w:rFonts w:hint="default"/>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布袋除尘器收尘约6.3588</w:t>
            </w:r>
            <w:r>
              <w:rPr>
                <w:rFonts w:hint="eastAsia"/>
                <w:color w:val="000000" w:themeColor="text1"/>
                <w:szCs w:val="21"/>
                <w:highlight w:val="none"/>
                <w14:textFill>
                  <w14:solidFill>
                    <w14:schemeClr w14:val="tx1"/>
                  </w14:solidFill>
                </w14:textFill>
              </w:rPr>
              <w:t>t/a</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热风炉炉渣约23.07</w:t>
            </w:r>
            <w:r>
              <w:rPr>
                <w:rFonts w:hint="eastAsia"/>
                <w:color w:val="000000" w:themeColor="text1"/>
                <w:szCs w:val="21"/>
                <w:highlight w:val="none"/>
                <w14:textFill>
                  <w14:solidFill>
                    <w14:schemeClr w14:val="tx1"/>
                  </w14:solidFill>
                </w14:textFill>
              </w:rPr>
              <w:t>t/a</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外售肥料厂家综合利用，；粮食杂质约61.39t/a，烘干塔彩钢罩收集的粉尘约9.48t/a，由市政部门统一处理</w:t>
            </w:r>
            <w:r>
              <w:rPr>
                <w:rFonts w:hint="default"/>
                <w:color w:val="000000" w:themeColor="text1"/>
                <w:szCs w:val="21"/>
                <w:highlight w:val="none"/>
                <w14:textFill>
                  <w14:solidFill>
                    <w14:schemeClr w14:val="tx1"/>
                  </w14:solidFill>
                </w14:textFill>
              </w:rPr>
              <w:t>。</w:t>
            </w:r>
          </w:p>
          <w:p w14:paraId="5B5D0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3、整改情况</w:t>
            </w:r>
          </w:p>
          <w:p w14:paraId="0DA40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olor w:val="000000" w:themeColor="text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①项目建成后，依相关手续申请排污许可证</w:t>
            </w:r>
            <w:r>
              <w:rPr>
                <w:rFonts w:hint="default"/>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后续依相关法规进行自行监测。</w:t>
            </w:r>
          </w:p>
          <w:p w14:paraId="1B466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000000" w:themeColor="text1"/>
                <w:szCs w:val="21"/>
                <w:highlight w:val="none"/>
                <w:lang w:val="en-US" w:eastAsia="zh-CN"/>
                <w14:textFill>
                  <w14:solidFill>
                    <w14:schemeClr w14:val="tx1"/>
                  </w14:solidFill>
                </w14:textFill>
              </w:rPr>
            </w:pPr>
            <w:r>
              <w:rPr>
                <w:rFonts w:hint="default"/>
                <w:color w:val="000000" w:themeColor="text1"/>
                <w:szCs w:val="21"/>
                <w:highlight w:val="none"/>
                <w:lang w:val="en-US" w:eastAsia="zh-CN"/>
                <w14:textFill>
                  <w14:solidFill>
                    <w14:schemeClr w14:val="tx1"/>
                  </w14:solidFill>
                </w14:textFill>
              </w:rPr>
              <w:t>②</w:t>
            </w:r>
            <w:r>
              <w:rPr>
                <w:rFonts w:hint="eastAsia"/>
                <w:color w:val="000000" w:themeColor="text1"/>
                <w:szCs w:val="21"/>
                <w:highlight w:val="none"/>
                <w:lang w:val="en-US" w:eastAsia="zh-CN"/>
                <w14:textFill>
                  <w14:solidFill>
                    <w14:schemeClr w14:val="tx1"/>
                  </w14:solidFill>
                </w14:textFill>
              </w:rPr>
              <w:t>本项目产污设备未变化，不涉及以新带老。</w:t>
            </w:r>
          </w:p>
        </w:tc>
      </w:tr>
    </w:tbl>
    <w:p w14:paraId="24759A16">
      <w:pPr>
        <w:pStyle w:val="28"/>
        <w:spacing w:before="0" w:beforeAutospacing="0" w:after="158" w:afterLines="50" w:afterAutospacing="0"/>
        <w:jc w:val="center"/>
        <w:outlineLvl w:val="0"/>
        <w:rPr>
          <w:rFonts w:hint="default" w:ascii="Times New Roman" w:hAnsi="Times New Roman" w:eastAsia="仿宋_GB2312" w:cs="Times New Roman"/>
          <w:b/>
          <w:bCs/>
          <w:color w:val="000000" w:themeColor="text1"/>
          <w:highlight w:val="none"/>
          <w14:textFill>
            <w14:solidFill>
              <w14:schemeClr w14:val="tx1"/>
            </w14:solidFill>
          </w14:textFill>
        </w:rPr>
        <w:sectPr>
          <w:pgSz w:w="11849" w:h="16781"/>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p>
    <w:p w14:paraId="1DBCAB5B">
      <w:pPr>
        <w:pStyle w:val="28"/>
        <w:spacing w:before="0" w:beforeAutospacing="0" w:after="158" w:afterLines="50" w:afterAutospacing="0"/>
        <w:jc w:val="center"/>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bookmarkStart w:id="8" w:name="_Toc8233"/>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三、区域环境质量现状、环境保护目标及评价标准</w:t>
      </w:r>
      <w:bookmarkEnd w:id="8"/>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251"/>
      </w:tblGrid>
      <w:tr w14:paraId="5CD3E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52" w:type="pct"/>
            <w:vAlign w:val="center"/>
          </w:tcPr>
          <w:p w14:paraId="01D469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区域环境质量现状</w:t>
            </w:r>
          </w:p>
        </w:tc>
        <w:tc>
          <w:tcPr>
            <w:tcW w:w="4547" w:type="pct"/>
            <w:vAlign w:val="center"/>
          </w:tcPr>
          <w:p w14:paraId="147C7E11">
            <w:pPr>
              <w:keepNext w:val="0"/>
              <w:keepLines w:val="0"/>
              <w:numPr>
                <w:ilvl w:val="0"/>
                <w:numId w:val="5"/>
              </w:numPr>
              <w:suppressLineNumbers w:val="0"/>
              <w:spacing w:before="0" w:beforeAutospacing="0" w:after="0" w:afterAutospacing="0" w:line="360" w:lineRule="auto"/>
              <w:ind w:left="0" w:right="0" w:firstLine="422" w:firstLineChars="20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大气环境</w:t>
            </w:r>
          </w:p>
          <w:p w14:paraId="74CAD389">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FF0000"/>
                <w:highlight w:val="none"/>
              </w:rPr>
            </w:pPr>
            <w:r>
              <w:rPr>
                <w:rFonts w:hint="default"/>
                <w:color w:val="FF0000"/>
                <w:sz w:val="21"/>
                <w:highlight w:val="none"/>
              </w:rPr>
              <w:t>根据《202</w:t>
            </w:r>
            <w:r>
              <w:rPr>
                <w:rFonts w:hint="default"/>
                <w:color w:val="FF0000"/>
                <w:sz w:val="21"/>
                <w:highlight w:val="none"/>
                <w:lang w:val="en-US" w:eastAsia="zh-CN"/>
              </w:rPr>
              <w:t>4</w:t>
            </w:r>
            <w:r>
              <w:rPr>
                <w:rFonts w:hint="default"/>
                <w:color w:val="FF0000"/>
                <w:sz w:val="21"/>
                <w:highlight w:val="none"/>
              </w:rPr>
              <w:t>年黑龙江省生态环境</w:t>
            </w:r>
            <w:r>
              <w:rPr>
                <w:rFonts w:hint="default"/>
                <w:color w:val="FF0000"/>
                <w:sz w:val="21"/>
                <w:highlight w:val="none"/>
                <w:lang w:val="en-US" w:eastAsia="zh-CN"/>
              </w:rPr>
              <w:t>质量</w:t>
            </w:r>
            <w:r>
              <w:rPr>
                <w:rFonts w:hint="default"/>
                <w:color w:val="FF0000"/>
                <w:sz w:val="21"/>
                <w:highlight w:val="none"/>
              </w:rPr>
              <w:t>状况》（202</w:t>
            </w:r>
            <w:r>
              <w:rPr>
                <w:rFonts w:hint="default"/>
                <w:color w:val="FF0000"/>
                <w:sz w:val="21"/>
                <w:highlight w:val="none"/>
                <w:lang w:val="en-US" w:eastAsia="zh-CN"/>
              </w:rPr>
              <w:t>5</w:t>
            </w:r>
            <w:r>
              <w:rPr>
                <w:rFonts w:hint="default"/>
                <w:color w:val="FF0000"/>
                <w:sz w:val="21"/>
                <w:highlight w:val="none"/>
              </w:rPr>
              <w:t>年</w:t>
            </w:r>
            <w:r>
              <w:rPr>
                <w:rFonts w:hint="default"/>
                <w:color w:val="FF0000"/>
                <w:sz w:val="21"/>
                <w:highlight w:val="none"/>
                <w:lang w:val="en-US" w:eastAsia="zh-CN"/>
              </w:rPr>
              <w:t>1</w:t>
            </w:r>
            <w:r>
              <w:rPr>
                <w:rFonts w:hint="default"/>
                <w:color w:val="FF0000"/>
                <w:sz w:val="21"/>
                <w:highlight w:val="none"/>
              </w:rPr>
              <w:t>月）</w:t>
            </w:r>
            <w:r>
              <w:rPr>
                <w:rFonts w:hint="default"/>
                <w:color w:val="FF0000"/>
                <w:highlight w:val="none"/>
              </w:rPr>
              <w:t>中公布的数据。</w:t>
            </w:r>
            <w:r>
              <w:rPr>
                <w:rFonts w:hint="eastAsia"/>
                <w:color w:val="FF0000"/>
                <w:highlight w:val="none"/>
                <w:lang w:val="en-US" w:eastAsia="zh-CN"/>
              </w:rPr>
              <w:t>2024年鸡西市各项污染物年均浓度综合情况如下表。</w:t>
            </w:r>
          </w:p>
          <w:p w14:paraId="55F0136B">
            <w:pPr>
              <w:keepNext w:val="0"/>
              <w:keepLines w:val="0"/>
              <w:suppressLineNumbers w:val="0"/>
              <w:adjustRightInd w:val="0"/>
              <w:snapToGrid w:val="0"/>
              <w:spacing w:before="0" w:beforeAutospacing="0" w:after="0" w:afterAutospacing="0"/>
              <w:ind w:left="0" w:right="0"/>
              <w:jc w:val="center"/>
              <w:rPr>
                <w:rFonts w:hint="default"/>
                <w:b/>
                <w:bCs/>
                <w:color w:val="FF0000"/>
                <w:highlight w:val="none"/>
              </w:rPr>
            </w:pPr>
            <w:r>
              <w:rPr>
                <w:rFonts w:hint="default"/>
                <w:b/>
                <w:bCs/>
                <w:color w:val="FF0000"/>
                <w:highlight w:val="none"/>
              </w:rPr>
              <w:t>表3-</w:t>
            </w:r>
            <w:r>
              <w:rPr>
                <w:rFonts w:hint="eastAsia"/>
                <w:b/>
                <w:bCs/>
                <w:color w:val="FF0000"/>
                <w:highlight w:val="none"/>
                <w:lang w:val="en-US" w:eastAsia="zh-CN"/>
              </w:rPr>
              <w:t>1 鸡西</w:t>
            </w:r>
            <w:r>
              <w:rPr>
                <w:rFonts w:hint="default"/>
                <w:b/>
                <w:bCs/>
                <w:color w:val="FF0000"/>
                <w:highlight w:val="none"/>
              </w:rPr>
              <w:t>市202</w:t>
            </w:r>
            <w:r>
              <w:rPr>
                <w:rFonts w:hint="eastAsia"/>
                <w:b/>
                <w:bCs/>
                <w:color w:val="FF0000"/>
                <w:highlight w:val="none"/>
                <w:lang w:val="en-US" w:eastAsia="zh-CN"/>
              </w:rPr>
              <w:t>4</w:t>
            </w:r>
            <w:r>
              <w:rPr>
                <w:rFonts w:hint="default"/>
                <w:b/>
                <w:bCs/>
                <w:color w:val="FF0000"/>
                <w:highlight w:val="none"/>
              </w:rPr>
              <w:t>年环境空气质量统计表   单位：μg/m</w:t>
            </w:r>
            <w:r>
              <w:rPr>
                <w:rFonts w:hint="default"/>
                <w:b/>
                <w:bCs/>
                <w:color w:val="FF0000"/>
                <w:highlight w:val="none"/>
                <w:vertAlign w:val="superscript"/>
              </w:rPr>
              <w:t>3</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991"/>
              <w:gridCol w:w="1049"/>
              <w:gridCol w:w="829"/>
              <w:gridCol w:w="940"/>
              <w:gridCol w:w="1190"/>
            </w:tblGrid>
            <w:tr w14:paraId="514AFA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8BE25A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污染物</w:t>
                  </w:r>
                </w:p>
              </w:tc>
              <w:tc>
                <w:tcPr>
                  <w:tcW w:w="2991" w:type="dxa"/>
                  <w:tcBorders>
                    <w:tl2br w:val="nil"/>
                    <w:tr2bl w:val="nil"/>
                  </w:tcBorders>
                  <w:vAlign w:val="center"/>
                </w:tcPr>
                <w:p w14:paraId="1A9EBF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年评价指标</w:t>
                  </w:r>
                </w:p>
              </w:tc>
              <w:tc>
                <w:tcPr>
                  <w:tcW w:w="1049" w:type="dxa"/>
                  <w:tcBorders>
                    <w:tl2br w:val="nil"/>
                    <w:tr2bl w:val="nil"/>
                  </w:tcBorders>
                  <w:vAlign w:val="center"/>
                </w:tcPr>
                <w:p w14:paraId="334495E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现状浓度</w:t>
                  </w:r>
                </w:p>
              </w:tc>
              <w:tc>
                <w:tcPr>
                  <w:tcW w:w="829" w:type="dxa"/>
                  <w:tcBorders>
                    <w:tl2br w:val="nil"/>
                    <w:tr2bl w:val="nil"/>
                  </w:tcBorders>
                  <w:vAlign w:val="center"/>
                </w:tcPr>
                <w:p w14:paraId="53A8154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标准值</w:t>
                  </w:r>
                </w:p>
              </w:tc>
              <w:tc>
                <w:tcPr>
                  <w:tcW w:w="940" w:type="dxa"/>
                  <w:tcBorders>
                    <w:tl2br w:val="nil"/>
                    <w:tr2bl w:val="nil"/>
                  </w:tcBorders>
                  <w:vAlign w:val="center"/>
                </w:tcPr>
                <w:p w14:paraId="18B7DFD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rPr>
                    <w:t>占标率</w:t>
                  </w:r>
                  <w:r>
                    <w:rPr>
                      <w:rFonts w:hint="default" w:ascii="Times New Roman" w:hAnsi="Times New Roman" w:eastAsia="宋体" w:cs="Times New Roman"/>
                      <w:color w:val="FF0000"/>
                      <w:sz w:val="18"/>
                      <w:szCs w:val="18"/>
                      <w:highlight w:val="none"/>
                      <w:lang w:val="en-US" w:eastAsia="zh-CN"/>
                    </w:rPr>
                    <w:t>%</w:t>
                  </w:r>
                </w:p>
              </w:tc>
              <w:tc>
                <w:tcPr>
                  <w:tcW w:w="1190" w:type="dxa"/>
                  <w:tcBorders>
                    <w:tl2br w:val="nil"/>
                    <w:tr2bl w:val="nil"/>
                  </w:tcBorders>
                  <w:vAlign w:val="center"/>
                </w:tcPr>
                <w:p w14:paraId="2910BCD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达标情况</w:t>
                  </w:r>
                </w:p>
              </w:tc>
            </w:tr>
            <w:tr w14:paraId="101357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74F1441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PM</w:t>
                  </w:r>
                  <w:r>
                    <w:rPr>
                      <w:rFonts w:hint="default" w:ascii="Times New Roman" w:hAnsi="Times New Roman" w:eastAsia="宋体" w:cs="Times New Roman"/>
                      <w:color w:val="FF0000"/>
                      <w:sz w:val="18"/>
                      <w:szCs w:val="18"/>
                      <w:highlight w:val="none"/>
                      <w:vertAlign w:val="subscript"/>
                    </w:rPr>
                    <w:t>2.5</w:t>
                  </w:r>
                </w:p>
              </w:tc>
              <w:tc>
                <w:tcPr>
                  <w:tcW w:w="2991" w:type="dxa"/>
                  <w:tcBorders>
                    <w:tl2br w:val="nil"/>
                    <w:tr2bl w:val="nil"/>
                  </w:tcBorders>
                  <w:vAlign w:val="center"/>
                </w:tcPr>
                <w:p w14:paraId="50374D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年平均质量浓度</w:t>
                  </w:r>
                </w:p>
              </w:tc>
              <w:tc>
                <w:tcPr>
                  <w:tcW w:w="1049" w:type="dxa"/>
                  <w:tcBorders>
                    <w:tl2br w:val="nil"/>
                    <w:tr2bl w:val="nil"/>
                  </w:tcBorders>
                  <w:vAlign w:val="center"/>
                </w:tcPr>
                <w:p w14:paraId="2095B0A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27</w:t>
                  </w:r>
                </w:p>
              </w:tc>
              <w:tc>
                <w:tcPr>
                  <w:tcW w:w="829" w:type="dxa"/>
                  <w:tcBorders>
                    <w:tl2br w:val="nil"/>
                    <w:tr2bl w:val="nil"/>
                  </w:tcBorders>
                  <w:vAlign w:val="center"/>
                </w:tcPr>
                <w:p w14:paraId="3AABDB2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35</w:t>
                  </w:r>
                </w:p>
              </w:tc>
              <w:tc>
                <w:tcPr>
                  <w:tcW w:w="940" w:type="dxa"/>
                  <w:tcBorders>
                    <w:tl2br w:val="nil"/>
                    <w:tr2bl w:val="nil"/>
                  </w:tcBorders>
                  <w:vAlign w:val="center"/>
                </w:tcPr>
                <w:p w14:paraId="098B16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77.1</w:t>
                  </w:r>
                </w:p>
              </w:tc>
              <w:tc>
                <w:tcPr>
                  <w:tcW w:w="1190" w:type="dxa"/>
                  <w:tcBorders>
                    <w:tl2br w:val="nil"/>
                    <w:tr2bl w:val="nil"/>
                  </w:tcBorders>
                  <w:vAlign w:val="center"/>
                </w:tcPr>
                <w:p w14:paraId="188682B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eastAsia" w:cs="Times New Roman"/>
                      <w:color w:val="FF0000"/>
                      <w:sz w:val="18"/>
                      <w:szCs w:val="18"/>
                      <w:highlight w:val="none"/>
                      <w:lang w:val="en-US" w:eastAsia="zh-CN"/>
                    </w:rPr>
                    <w:t>达</w:t>
                  </w:r>
                  <w:r>
                    <w:rPr>
                      <w:rFonts w:hint="default" w:ascii="Times New Roman" w:hAnsi="Times New Roman" w:eastAsia="宋体" w:cs="Times New Roman"/>
                      <w:color w:val="FF0000"/>
                      <w:sz w:val="18"/>
                      <w:szCs w:val="18"/>
                      <w:highlight w:val="none"/>
                    </w:rPr>
                    <w:t>标</w:t>
                  </w:r>
                </w:p>
              </w:tc>
            </w:tr>
            <w:tr w14:paraId="304608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01B3F2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PM</w:t>
                  </w:r>
                  <w:r>
                    <w:rPr>
                      <w:rFonts w:hint="default" w:ascii="Times New Roman" w:hAnsi="Times New Roman" w:eastAsia="宋体" w:cs="Times New Roman"/>
                      <w:color w:val="FF0000"/>
                      <w:sz w:val="18"/>
                      <w:szCs w:val="18"/>
                      <w:highlight w:val="none"/>
                      <w:vertAlign w:val="subscript"/>
                    </w:rPr>
                    <w:t>10</w:t>
                  </w:r>
                </w:p>
              </w:tc>
              <w:tc>
                <w:tcPr>
                  <w:tcW w:w="2991" w:type="dxa"/>
                  <w:tcBorders>
                    <w:tl2br w:val="nil"/>
                    <w:tr2bl w:val="nil"/>
                  </w:tcBorders>
                  <w:vAlign w:val="center"/>
                </w:tcPr>
                <w:p w14:paraId="67CA412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年平均质量浓度</w:t>
                  </w:r>
                </w:p>
              </w:tc>
              <w:tc>
                <w:tcPr>
                  <w:tcW w:w="1049" w:type="dxa"/>
                  <w:tcBorders>
                    <w:tl2br w:val="nil"/>
                    <w:tr2bl w:val="nil"/>
                  </w:tcBorders>
                  <w:vAlign w:val="center"/>
                </w:tcPr>
                <w:p w14:paraId="500E8CD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46</w:t>
                  </w:r>
                </w:p>
              </w:tc>
              <w:tc>
                <w:tcPr>
                  <w:tcW w:w="829" w:type="dxa"/>
                  <w:tcBorders>
                    <w:tl2br w:val="nil"/>
                    <w:tr2bl w:val="nil"/>
                  </w:tcBorders>
                  <w:vAlign w:val="center"/>
                </w:tcPr>
                <w:p w14:paraId="360CFEA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70</w:t>
                  </w:r>
                </w:p>
              </w:tc>
              <w:tc>
                <w:tcPr>
                  <w:tcW w:w="940" w:type="dxa"/>
                  <w:tcBorders>
                    <w:tl2br w:val="nil"/>
                    <w:tr2bl w:val="nil"/>
                  </w:tcBorders>
                  <w:vAlign w:val="center"/>
                </w:tcPr>
                <w:p w14:paraId="5FC5213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65.7</w:t>
                  </w:r>
                </w:p>
              </w:tc>
              <w:tc>
                <w:tcPr>
                  <w:tcW w:w="1190" w:type="dxa"/>
                  <w:tcBorders>
                    <w:tl2br w:val="nil"/>
                    <w:tr2bl w:val="nil"/>
                  </w:tcBorders>
                  <w:vAlign w:val="center"/>
                </w:tcPr>
                <w:p w14:paraId="386C87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w:t>
                  </w:r>
                </w:p>
              </w:tc>
            </w:tr>
            <w:tr w14:paraId="033719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1FB6E15">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NO</w:t>
                  </w:r>
                  <w:r>
                    <w:rPr>
                      <w:rFonts w:hint="default" w:ascii="Times New Roman" w:hAnsi="Times New Roman" w:eastAsia="宋体" w:cs="Times New Roman"/>
                      <w:color w:val="FF0000"/>
                      <w:sz w:val="18"/>
                      <w:szCs w:val="18"/>
                      <w:highlight w:val="none"/>
                      <w:vertAlign w:val="subscript"/>
                    </w:rPr>
                    <w:t>2</w:t>
                  </w:r>
                </w:p>
              </w:tc>
              <w:tc>
                <w:tcPr>
                  <w:tcW w:w="2991" w:type="dxa"/>
                  <w:tcBorders>
                    <w:tl2br w:val="nil"/>
                    <w:tr2bl w:val="nil"/>
                  </w:tcBorders>
                  <w:vAlign w:val="center"/>
                </w:tcPr>
                <w:p w14:paraId="7454B53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年平均质量浓度</w:t>
                  </w:r>
                </w:p>
              </w:tc>
              <w:tc>
                <w:tcPr>
                  <w:tcW w:w="1049" w:type="dxa"/>
                  <w:tcBorders>
                    <w:tl2br w:val="nil"/>
                    <w:tr2bl w:val="nil"/>
                  </w:tcBorders>
                  <w:vAlign w:val="center"/>
                </w:tcPr>
                <w:p w14:paraId="3B29CF4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17</w:t>
                  </w:r>
                </w:p>
              </w:tc>
              <w:tc>
                <w:tcPr>
                  <w:tcW w:w="829" w:type="dxa"/>
                  <w:tcBorders>
                    <w:tl2br w:val="nil"/>
                    <w:tr2bl w:val="nil"/>
                  </w:tcBorders>
                  <w:vAlign w:val="center"/>
                </w:tcPr>
                <w:p w14:paraId="2D86FC0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40</w:t>
                  </w:r>
                </w:p>
              </w:tc>
              <w:tc>
                <w:tcPr>
                  <w:tcW w:w="940" w:type="dxa"/>
                  <w:tcBorders>
                    <w:tl2br w:val="nil"/>
                    <w:tr2bl w:val="nil"/>
                  </w:tcBorders>
                  <w:vAlign w:val="center"/>
                </w:tcPr>
                <w:p w14:paraId="593CC32B">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42.5</w:t>
                  </w:r>
                </w:p>
              </w:tc>
              <w:tc>
                <w:tcPr>
                  <w:tcW w:w="1190" w:type="dxa"/>
                  <w:tcBorders>
                    <w:tl2br w:val="nil"/>
                    <w:tr2bl w:val="nil"/>
                  </w:tcBorders>
                  <w:vAlign w:val="center"/>
                </w:tcPr>
                <w:p w14:paraId="74B0F47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w:t>
                  </w:r>
                </w:p>
              </w:tc>
            </w:tr>
            <w:tr w14:paraId="618A7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68C3DA46">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SO</w:t>
                  </w:r>
                  <w:r>
                    <w:rPr>
                      <w:rFonts w:hint="default" w:ascii="Times New Roman" w:hAnsi="Times New Roman" w:eastAsia="宋体" w:cs="Times New Roman"/>
                      <w:color w:val="FF0000"/>
                      <w:sz w:val="18"/>
                      <w:szCs w:val="18"/>
                      <w:highlight w:val="none"/>
                      <w:vertAlign w:val="subscript"/>
                    </w:rPr>
                    <w:t>2</w:t>
                  </w:r>
                </w:p>
              </w:tc>
              <w:tc>
                <w:tcPr>
                  <w:tcW w:w="2991" w:type="dxa"/>
                  <w:tcBorders>
                    <w:tl2br w:val="nil"/>
                    <w:tr2bl w:val="nil"/>
                  </w:tcBorders>
                  <w:vAlign w:val="center"/>
                </w:tcPr>
                <w:p w14:paraId="5189225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年平均质量浓度</w:t>
                  </w:r>
                </w:p>
              </w:tc>
              <w:tc>
                <w:tcPr>
                  <w:tcW w:w="1049" w:type="dxa"/>
                  <w:tcBorders>
                    <w:tl2br w:val="nil"/>
                    <w:tr2bl w:val="nil"/>
                  </w:tcBorders>
                  <w:vAlign w:val="center"/>
                </w:tcPr>
                <w:p w14:paraId="5D586773">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8</w:t>
                  </w:r>
                </w:p>
              </w:tc>
              <w:tc>
                <w:tcPr>
                  <w:tcW w:w="829" w:type="dxa"/>
                  <w:tcBorders>
                    <w:tl2br w:val="nil"/>
                    <w:tr2bl w:val="nil"/>
                  </w:tcBorders>
                  <w:vAlign w:val="center"/>
                </w:tcPr>
                <w:p w14:paraId="0F421D4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60</w:t>
                  </w:r>
                </w:p>
              </w:tc>
              <w:tc>
                <w:tcPr>
                  <w:tcW w:w="940" w:type="dxa"/>
                  <w:tcBorders>
                    <w:tl2br w:val="nil"/>
                    <w:tr2bl w:val="nil"/>
                  </w:tcBorders>
                  <w:vAlign w:val="center"/>
                </w:tcPr>
                <w:p w14:paraId="7C121A00">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13.3</w:t>
                  </w:r>
                </w:p>
              </w:tc>
              <w:tc>
                <w:tcPr>
                  <w:tcW w:w="1190" w:type="dxa"/>
                  <w:tcBorders>
                    <w:tl2br w:val="nil"/>
                    <w:tr2bl w:val="nil"/>
                  </w:tcBorders>
                  <w:vAlign w:val="center"/>
                </w:tcPr>
                <w:p w14:paraId="1679D342">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w:t>
                  </w:r>
                </w:p>
              </w:tc>
            </w:tr>
            <w:tr w14:paraId="07FC87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458CDEF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CO</w:t>
                  </w:r>
                </w:p>
              </w:tc>
              <w:tc>
                <w:tcPr>
                  <w:tcW w:w="2991" w:type="dxa"/>
                  <w:tcBorders>
                    <w:tl2br w:val="nil"/>
                    <w:tr2bl w:val="nil"/>
                  </w:tcBorders>
                  <w:vAlign w:val="center"/>
                </w:tcPr>
                <w:p w14:paraId="2F5653A6">
                  <w:pPr>
                    <w:keepNext w:val="0"/>
                    <w:keepLines w:val="0"/>
                    <w:suppressLineNumbers w:val="0"/>
                    <w:adjustRightIn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第95百分位数日平均浓度（</w:t>
                  </w:r>
                  <w:r>
                    <w:rPr>
                      <w:rFonts w:hint="default" w:ascii="Times New Roman" w:hAnsi="Times New Roman" w:eastAsia="宋体" w:cs="Times New Roman"/>
                      <w:color w:val="FF0000"/>
                      <w:sz w:val="18"/>
                      <w:szCs w:val="18"/>
                      <w:highlight w:val="none"/>
                    </w:rPr>
                    <w:t>mg/m</w:t>
                  </w:r>
                  <w:r>
                    <w:rPr>
                      <w:rFonts w:hint="default" w:ascii="Times New Roman" w:hAnsi="Times New Roman" w:eastAsia="宋体" w:cs="Times New Roman"/>
                      <w:color w:val="FF0000"/>
                      <w:sz w:val="18"/>
                      <w:szCs w:val="18"/>
                      <w:highlight w:val="none"/>
                      <w:vertAlign w:val="superscript"/>
                    </w:rPr>
                    <w:t>3</w:t>
                  </w:r>
                  <w:r>
                    <w:rPr>
                      <w:rFonts w:hint="eastAsia" w:ascii="Times New Roman" w:hAnsi="Times New Roman" w:eastAsia="宋体" w:cs="Times New Roman"/>
                      <w:color w:val="FF0000"/>
                      <w:sz w:val="18"/>
                      <w:szCs w:val="18"/>
                      <w:highlight w:val="none"/>
                      <w:vertAlign w:val="baseline"/>
                      <w:lang w:eastAsia="zh-CN"/>
                    </w:rPr>
                    <w:t>）</w:t>
                  </w:r>
                </w:p>
              </w:tc>
              <w:tc>
                <w:tcPr>
                  <w:tcW w:w="1049" w:type="dxa"/>
                  <w:tcBorders>
                    <w:tl2br w:val="nil"/>
                    <w:tr2bl w:val="nil"/>
                  </w:tcBorders>
                  <w:vAlign w:val="center"/>
                </w:tcPr>
                <w:p w14:paraId="64B788F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w:t>
                  </w:r>
                </w:p>
              </w:tc>
              <w:tc>
                <w:tcPr>
                  <w:tcW w:w="829" w:type="dxa"/>
                  <w:tcBorders>
                    <w:tl2br w:val="nil"/>
                    <w:tr2bl w:val="nil"/>
                  </w:tcBorders>
                  <w:vAlign w:val="center"/>
                </w:tcPr>
                <w:p w14:paraId="78C8379E">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4.0</w:t>
                  </w:r>
                </w:p>
              </w:tc>
              <w:tc>
                <w:tcPr>
                  <w:tcW w:w="940" w:type="dxa"/>
                  <w:tcBorders>
                    <w:tl2br w:val="nil"/>
                    <w:tr2bl w:val="nil"/>
                  </w:tcBorders>
                  <w:vAlign w:val="center"/>
                </w:tcPr>
                <w:p w14:paraId="761CDF2A">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25</w:t>
                  </w:r>
                </w:p>
              </w:tc>
              <w:tc>
                <w:tcPr>
                  <w:tcW w:w="1190" w:type="dxa"/>
                  <w:tcBorders>
                    <w:tl2br w:val="nil"/>
                    <w:tr2bl w:val="nil"/>
                  </w:tcBorders>
                  <w:vAlign w:val="center"/>
                </w:tcPr>
                <w:p w14:paraId="5244B3B9">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w:t>
                  </w:r>
                </w:p>
              </w:tc>
            </w:tr>
            <w:tr w14:paraId="399DD5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36" w:type="dxa"/>
                  <w:tcBorders>
                    <w:tl2br w:val="nil"/>
                    <w:tr2bl w:val="nil"/>
                  </w:tcBorders>
                  <w:vAlign w:val="center"/>
                </w:tcPr>
                <w:p w14:paraId="3027C76F">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O</w:t>
                  </w:r>
                  <w:r>
                    <w:rPr>
                      <w:rFonts w:hint="eastAsia" w:cs="Times New Roman"/>
                      <w:color w:val="FF0000"/>
                      <w:sz w:val="18"/>
                      <w:szCs w:val="18"/>
                      <w:highlight w:val="none"/>
                      <w:vertAlign w:val="subscript"/>
                      <w:lang w:val="en-US" w:eastAsia="zh-CN"/>
                    </w:rPr>
                    <w:t>3</w:t>
                  </w:r>
                </w:p>
              </w:tc>
              <w:tc>
                <w:tcPr>
                  <w:tcW w:w="2991" w:type="dxa"/>
                  <w:tcBorders>
                    <w:tl2br w:val="nil"/>
                    <w:tr2bl w:val="nil"/>
                  </w:tcBorders>
                  <w:vAlign w:val="center"/>
                </w:tcPr>
                <w:p w14:paraId="7B6EA62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eastAsia" w:cs="Times New Roman"/>
                      <w:color w:val="FF0000"/>
                      <w:sz w:val="18"/>
                      <w:szCs w:val="18"/>
                      <w:highlight w:val="none"/>
                      <w:lang w:val="en-US" w:eastAsia="zh-CN"/>
                    </w:rPr>
                    <w:t>第90</w:t>
                  </w:r>
                  <w:r>
                    <w:rPr>
                      <w:rFonts w:hint="default" w:ascii="Times New Roman" w:hAnsi="Times New Roman" w:eastAsia="宋体" w:cs="Times New Roman"/>
                      <w:color w:val="FF0000"/>
                      <w:sz w:val="18"/>
                      <w:szCs w:val="18"/>
                      <w:highlight w:val="none"/>
                    </w:rPr>
                    <w:t>百分位数8h平均</w:t>
                  </w:r>
                  <w:r>
                    <w:rPr>
                      <w:rFonts w:hint="eastAsia" w:cs="Times New Roman"/>
                      <w:color w:val="FF0000"/>
                      <w:sz w:val="18"/>
                      <w:szCs w:val="18"/>
                      <w:highlight w:val="none"/>
                      <w:lang w:val="en-US" w:eastAsia="zh-CN"/>
                    </w:rPr>
                    <w:t>质量</w:t>
                  </w:r>
                  <w:r>
                    <w:rPr>
                      <w:rFonts w:hint="default" w:ascii="Times New Roman" w:hAnsi="Times New Roman" w:eastAsia="宋体" w:cs="Times New Roman"/>
                      <w:color w:val="FF0000"/>
                      <w:sz w:val="18"/>
                      <w:szCs w:val="18"/>
                      <w:highlight w:val="none"/>
                    </w:rPr>
                    <w:t>浓度</w:t>
                  </w:r>
                </w:p>
              </w:tc>
              <w:tc>
                <w:tcPr>
                  <w:tcW w:w="1049" w:type="dxa"/>
                  <w:tcBorders>
                    <w:tl2br w:val="nil"/>
                    <w:tr2bl w:val="nil"/>
                  </w:tcBorders>
                  <w:vAlign w:val="center"/>
                </w:tcPr>
                <w:p w14:paraId="399945C8">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829" w:type="dxa"/>
                  <w:tcBorders>
                    <w:tl2br w:val="nil"/>
                    <w:tr2bl w:val="nil"/>
                  </w:tcBorders>
                  <w:vAlign w:val="center"/>
                </w:tcPr>
                <w:p w14:paraId="12F5595C">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160</w:t>
                  </w:r>
                </w:p>
              </w:tc>
              <w:tc>
                <w:tcPr>
                  <w:tcW w:w="940" w:type="dxa"/>
                  <w:tcBorders>
                    <w:tl2br w:val="nil"/>
                    <w:tr2bl w:val="nil"/>
                  </w:tcBorders>
                  <w:vAlign w:val="center"/>
                </w:tcPr>
                <w:p w14:paraId="07480D17">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56.3</w:t>
                  </w:r>
                </w:p>
              </w:tc>
              <w:tc>
                <w:tcPr>
                  <w:tcW w:w="1190" w:type="dxa"/>
                  <w:tcBorders>
                    <w:tl2br w:val="nil"/>
                    <w:tr2bl w:val="nil"/>
                  </w:tcBorders>
                  <w:vAlign w:val="center"/>
                </w:tcPr>
                <w:p w14:paraId="2BEBF9D1">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达标</w:t>
                  </w:r>
                </w:p>
              </w:tc>
            </w:tr>
          </w:tbl>
          <w:p w14:paraId="73C343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由表3-1可知，2024年鸡西市空气基本污染物中</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年平均质量浓度</w:t>
            </w:r>
            <w:r>
              <w:rPr>
                <w:rFonts w:hint="eastAsia" w:cs="Times New Roman"/>
                <w:color w:val="000000" w:themeColor="text1"/>
                <w:sz w:val="21"/>
                <w:szCs w:val="21"/>
                <w:highlight w:val="none"/>
                <w:vertAlign w:val="baseli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CO</w:t>
            </w:r>
            <w:r>
              <w:rPr>
                <w:rFonts w:hint="eastAsia" w:cs="Times New Roman"/>
                <w:color w:val="000000" w:themeColor="text1"/>
                <w:sz w:val="21"/>
                <w:szCs w:val="21"/>
                <w:highlight w:val="none"/>
                <w:lang w:val="en-US" w:eastAsia="zh-CN"/>
                <w14:textFill>
                  <w14:solidFill>
                    <w14:schemeClr w14:val="tx1"/>
                  </w14:solidFill>
                </w14:textFill>
              </w:rPr>
              <w:t>第95百分位数日平均浓度、O</w:t>
            </w:r>
            <w:r>
              <w:rPr>
                <w:rFonts w:hint="eastAsia" w:cs="Times New Roman"/>
                <w:color w:val="000000" w:themeColor="text1"/>
                <w:sz w:val="21"/>
                <w:szCs w:val="21"/>
                <w:highlight w:val="none"/>
                <w:vertAlign w:val="sub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第90</w:t>
            </w:r>
            <w:r>
              <w:rPr>
                <w:rFonts w:hint="default" w:ascii="Times New Roman" w:hAnsi="Times New Roman" w:eastAsia="宋体" w:cs="Times New Roman"/>
                <w:color w:val="000000" w:themeColor="text1"/>
                <w:sz w:val="21"/>
                <w:szCs w:val="21"/>
                <w:highlight w:val="none"/>
                <w14:textFill>
                  <w14:solidFill>
                    <w14:schemeClr w14:val="tx1"/>
                  </w14:solidFill>
                </w14:textFill>
              </w:rPr>
              <w:t>百分位数8h平均</w:t>
            </w:r>
            <w:r>
              <w:rPr>
                <w:rFonts w:hint="eastAsia" w:cs="Times New Roman"/>
                <w:color w:val="000000" w:themeColor="text1"/>
                <w:sz w:val="21"/>
                <w:szCs w:val="21"/>
                <w:highlight w:val="none"/>
                <w:lang w:val="en-US" w:eastAsia="zh-CN"/>
                <w14:textFill>
                  <w14:solidFill>
                    <w14:schemeClr w14:val="tx1"/>
                  </w14:solidFill>
                </w14:textFill>
              </w:rPr>
              <w:t>质量</w:t>
            </w:r>
            <w:r>
              <w:rPr>
                <w:rFonts w:hint="default" w:ascii="Times New Roman" w:hAnsi="Times New Roman" w:eastAsia="宋体" w:cs="Times New Roman"/>
                <w:color w:val="000000" w:themeColor="text1"/>
                <w:sz w:val="21"/>
                <w:szCs w:val="21"/>
                <w:highlight w:val="none"/>
                <w14:textFill>
                  <w14:solidFill>
                    <w14:schemeClr w14:val="tx1"/>
                  </w14:solidFill>
                </w14:textFill>
              </w:rPr>
              <w:t>浓度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满足</w:t>
            </w:r>
            <w:r>
              <w:rPr>
                <w:rFonts w:hint="default" w:ascii="Times New Roman" w:hAnsi="Times New Roman" w:cs="Times New Roman"/>
                <w:color w:val="000000" w:themeColor="text1"/>
                <w:kern w:val="0"/>
                <w:sz w:val="21"/>
                <w:szCs w:val="21"/>
                <w:highlight w:val="none"/>
                <w14:textFill>
                  <w14:solidFill>
                    <w14:schemeClr w14:val="tx1"/>
                  </w14:solidFill>
                </w14:textFill>
              </w:rPr>
              <w:t>《环境空气质量标准》（GB3095-2012）中的二级标准</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因此判定本项目区域环境空气质量为达标区。</w:t>
            </w:r>
          </w:p>
          <w:p w14:paraId="7FFEA832">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其他</w:t>
            </w:r>
            <w:r>
              <w:rPr>
                <w:rFonts w:hint="default" w:ascii="Times New Roman" w:hAnsi="Times New Roman" w:cs="Times New Roman"/>
                <w:color w:val="000000" w:themeColor="text1"/>
                <w:szCs w:val="21"/>
                <w:highlight w:val="none"/>
                <w14:textFill>
                  <w14:solidFill>
                    <w14:schemeClr w14:val="tx1"/>
                  </w14:solidFill>
                </w14:textFill>
              </w:rPr>
              <w:t>污染物</w:t>
            </w:r>
            <w:r>
              <w:rPr>
                <w:rFonts w:hint="eastAsia" w:ascii="Times New Roman" w:hAnsi="Times New Roman" w:cs="Times New Roman"/>
                <w:color w:val="000000" w:themeColor="text1"/>
                <w:szCs w:val="21"/>
                <w:highlight w:val="none"/>
                <w:lang w:eastAsia="zh-CN"/>
                <w14:textFill>
                  <w14:solidFill>
                    <w14:schemeClr w14:val="tx1"/>
                  </w14:solidFill>
                </w14:textFill>
              </w:rPr>
              <w:t>：</w:t>
            </w:r>
          </w:p>
          <w:p w14:paraId="5AA68815">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本项目委托</w:t>
            </w:r>
            <w:r>
              <w:rPr>
                <w:rFonts w:hint="eastAsia"/>
                <w:color w:val="000000" w:themeColor="text1"/>
                <w:sz w:val="21"/>
                <w:szCs w:val="21"/>
                <w:highlight w:val="none"/>
                <w:lang w:val="en-US" w:eastAsia="zh-CN"/>
                <w14:textFill>
                  <w14:solidFill>
                    <w14:schemeClr w14:val="tx1"/>
                  </w14:solidFill>
                </w14:textFill>
              </w:rPr>
              <w:t>鸡西晟源环境检测</w:t>
            </w:r>
            <w:r>
              <w:rPr>
                <w:rFonts w:hint="default"/>
                <w:color w:val="000000" w:themeColor="text1"/>
                <w:sz w:val="21"/>
                <w:szCs w:val="21"/>
                <w:highlight w:val="none"/>
                <w14:textFill>
                  <w14:solidFill>
                    <w14:schemeClr w14:val="tx1"/>
                  </w14:solidFill>
                </w14:textFill>
              </w:rPr>
              <w:t>有限公司对</w:t>
            </w:r>
            <w:r>
              <w:rPr>
                <w:rFonts w:hint="eastAsia"/>
                <w:color w:val="000000" w:themeColor="text1"/>
                <w:sz w:val="21"/>
                <w:szCs w:val="21"/>
                <w:highlight w:val="none"/>
                <w:lang w:val="en-US" w:eastAsia="zh-CN"/>
                <w14:textFill>
                  <w14:solidFill>
                    <w14:schemeClr w14:val="tx1"/>
                  </w14:solidFill>
                </w14:textFill>
              </w:rPr>
              <w:t>TSP</w:t>
            </w:r>
            <w:r>
              <w:rPr>
                <w:rFonts w:hint="default"/>
                <w:color w:val="000000" w:themeColor="text1"/>
                <w:sz w:val="21"/>
                <w:szCs w:val="21"/>
                <w:highlight w:val="none"/>
                <w14:textFill>
                  <w14:solidFill>
                    <w14:schemeClr w14:val="tx1"/>
                  </w14:solidFill>
                </w14:textFill>
              </w:rPr>
              <w:t>环境空气质量进行监测，监测时间202</w:t>
            </w:r>
            <w:r>
              <w:rPr>
                <w:rFonts w:hint="eastAsia"/>
                <w:color w:val="000000" w:themeColor="text1"/>
                <w:sz w:val="21"/>
                <w:szCs w:val="21"/>
                <w:highlight w:val="none"/>
                <w:lang w:val="en-US" w:eastAsia="zh-CN"/>
                <w14:textFill>
                  <w14:solidFill>
                    <w14:schemeClr w14:val="tx1"/>
                  </w14:solidFill>
                </w14:textFill>
              </w:rPr>
              <w:t>4</w:t>
            </w:r>
            <w:r>
              <w:rPr>
                <w:rFonts w:hint="default"/>
                <w:color w:val="000000" w:themeColor="text1"/>
                <w:sz w:val="21"/>
                <w:szCs w:val="21"/>
                <w:highlight w:val="none"/>
                <w14:textFill>
                  <w14:solidFill>
                    <w14:schemeClr w14:val="tx1"/>
                  </w14:solidFill>
                </w14:textFill>
              </w:rPr>
              <w:t>年</w:t>
            </w:r>
            <w:r>
              <w:rPr>
                <w:rFonts w:hint="eastAsia"/>
                <w:color w:val="000000" w:themeColor="text1"/>
                <w:sz w:val="21"/>
                <w:szCs w:val="21"/>
                <w:highlight w:val="none"/>
                <w:lang w:val="en-US" w:eastAsia="zh-CN"/>
                <w14:textFill>
                  <w14:solidFill>
                    <w14:schemeClr w14:val="tx1"/>
                  </w14:solidFill>
                </w14:textFill>
              </w:rPr>
              <w:t>11</w:t>
            </w:r>
            <w:r>
              <w:rPr>
                <w:rFonts w:hint="default"/>
                <w:color w:val="000000" w:themeColor="text1"/>
                <w:sz w:val="21"/>
                <w:szCs w:val="21"/>
                <w:highlight w:val="none"/>
                <w14:textFill>
                  <w14:solidFill>
                    <w14:schemeClr w14:val="tx1"/>
                  </w14:solidFill>
                </w14:textFill>
              </w:rPr>
              <w:t>月</w:t>
            </w:r>
            <w:r>
              <w:rPr>
                <w:rFonts w:hint="eastAsia"/>
                <w:color w:val="000000" w:themeColor="text1"/>
                <w:sz w:val="21"/>
                <w:szCs w:val="21"/>
                <w:highlight w:val="none"/>
                <w:lang w:val="en-US" w:eastAsia="zh-CN"/>
                <w14:textFill>
                  <w14:solidFill>
                    <w14:schemeClr w14:val="tx1"/>
                  </w14:solidFill>
                </w14:textFill>
              </w:rPr>
              <w:t>22</w:t>
            </w:r>
            <w:r>
              <w:rPr>
                <w:rFonts w:hint="default"/>
                <w:color w:val="000000" w:themeColor="text1"/>
                <w:sz w:val="21"/>
                <w:szCs w:val="21"/>
                <w:highlight w:val="none"/>
                <w14:textFill>
                  <w14:solidFill>
                    <w14:schemeClr w14:val="tx1"/>
                  </w14:solidFill>
                </w14:textFill>
              </w:rPr>
              <w:t>日-</w:t>
            </w:r>
            <w:r>
              <w:rPr>
                <w:rFonts w:hint="eastAsia"/>
                <w:color w:val="000000" w:themeColor="text1"/>
                <w:sz w:val="21"/>
                <w:szCs w:val="21"/>
                <w:highlight w:val="none"/>
                <w:lang w:val="en-US" w:eastAsia="zh-CN"/>
                <w14:textFill>
                  <w14:solidFill>
                    <w14:schemeClr w14:val="tx1"/>
                  </w14:solidFill>
                </w14:textFill>
              </w:rPr>
              <w:t>11</w:t>
            </w:r>
            <w:r>
              <w:rPr>
                <w:rFonts w:hint="default"/>
                <w:color w:val="000000" w:themeColor="text1"/>
                <w:sz w:val="21"/>
                <w:szCs w:val="21"/>
                <w:highlight w:val="none"/>
                <w14:textFill>
                  <w14:solidFill>
                    <w14:schemeClr w14:val="tx1"/>
                  </w14:solidFill>
                </w14:textFill>
              </w:rPr>
              <w:t>月</w:t>
            </w:r>
            <w:r>
              <w:rPr>
                <w:rFonts w:hint="eastAsia"/>
                <w:color w:val="000000" w:themeColor="text1"/>
                <w:sz w:val="21"/>
                <w:szCs w:val="21"/>
                <w:highlight w:val="none"/>
                <w:lang w:val="en-US" w:eastAsia="zh-CN"/>
                <w14:textFill>
                  <w14:solidFill>
                    <w14:schemeClr w14:val="tx1"/>
                  </w14:solidFill>
                </w14:textFill>
              </w:rPr>
              <w:t>24</w:t>
            </w:r>
            <w:r>
              <w:rPr>
                <w:rFonts w:hint="default"/>
                <w:color w:val="000000" w:themeColor="text1"/>
                <w:sz w:val="21"/>
                <w:szCs w:val="21"/>
                <w:highlight w:val="none"/>
                <w14:textFill>
                  <w14:solidFill>
                    <w14:schemeClr w14:val="tx1"/>
                  </w14:solidFill>
                </w14:textFill>
              </w:rPr>
              <w:t>日。</w:t>
            </w:r>
            <w:r>
              <w:rPr>
                <w:rFonts w:hint="eastAsia"/>
                <w:color w:val="000000" w:themeColor="text1"/>
                <w:kern w:val="0"/>
                <w:sz w:val="21"/>
                <w:szCs w:val="21"/>
                <w:highlight w:val="none"/>
                <w14:textFill>
                  <w14:solidFill>
                    <w14:schemeClr w14:val="tx1"/>
                  </w14:solidFill>
                </w14:textFill>
              </w:rPr>
              <w:t>监测点位见图3-1</w:t>
            </w: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本项目所处区域当季主导风向为西风，监测点位为当季主导风向下风向150m处，具有代表性。</w:t>
            </w:r>
          </w:p>
          <w:p w14:paraId="52A8B942">
            <w:pPr>
              <w:keepNext w:val="0"/>
              <w:keepLines w:val="0"/>
              <w:suppressLineNumbers w:val="0"/>
              <w:spacing w:before="0" w:beforeAutospacing="0" w:after="0" w:afterAutospacing="0" w:line="360" w:lineRule="auto"/>
              <w:ind w:left="0" w:right="0"/>
              <w:jc w:val="both"/>
              <w:rPr>
                <w:rFonts w:hint="eastAsia" w:ascii="Times New Roman" w:hAnsi="Times New Roman" w:eastAsia="宋体" w:cs="Times New Roman"/>
                <w:b/>
                <w:color w:val="000000" w:themeColor="text1"/>
                <w:kern w:val="0"/>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drawing>
                <wp:anchor distT="0" distB="0" distL="114300" distR="114300" simplePos="0" relativeHeight="251674624" behindDoc="0" locked="0" layoutInCell="1" allowOverlap="1">
                  <wp:simplePos x="0" y="0"/>
                  <wp:positionH relativeFrom="column">
                    <wp:posOffset>4380865</wp:posOffset>
                  </wp:positionH>
                  <wp:positionV relativeFrom="paragraph">
                    <wp:posOffset>97155</wp:posOffset>
                  </wp:positionV>
                  <wp:extent cx="706755" cy="655320"/>
                  <wp:effectExtent l="0" t="0" r="17145" b="11430"/>
                  <wp:wrapNone/>
                  <wp:docPr id="90"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鸡西风玫瑰"/>
                          <pic:cNvPicPr>
                            <a:picLocks noChangeAspect="1"/>
                          </pic:cNvPicPr>
                        </pic:nvPicPr>
                        <pic:blipFill>
                          <a:blip r:embed="rId11"/>
                          <a:stretch>
                            <a:fillRect/>
                          </a:stretch>
                        </pic:blipFill>
                        <pic:spPr>
                          <a:xfrm>
                            <a:off x="0" y="0"/>
                            <a:ext cx="706755" cy="655320"/>
                          </a:xfrm>
                          <a:prstGeom prst="rect">
                            <a:avLst/>
                          </a:prstGeom>
                          <a:noFill/>
                          <a:ln>
                            <a:noFill/>
                          </a:ln>
                        </pic:spPr>
                      </pic:pic>
                    </a:graphicData>
                  </a:graphic>
                </wp:anchor>
              </w:drawing>
            </w:r>
            <w:r>
              <w:rPr>
                <w:rFonts w:hint="default"/>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2553970</wp:posOffset>
                  </wp:positionH>
                  <wp:positionV relativeFrom="paragraph">
                    <wp:posOffset>1261110</wp:posOffset>
                  </wp:positionV>
                  <wp:extent cx="199390" cy="186055"/>
                  <wp:effectExtent l="0" t="0" r="10160" b="444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2"/>
                          <a:stretch>
                            <a:fillRect/>
                          </a:stretch>
                        </pic:blipFill>
                        <pic:spPr>
                          <a:xfrm>
                            <a:off x="0" y="0"/>
                            <a:ext cx="199390" cy="186055"/>
                          </a:xfrm>
                          <a:prstGeom prst="rect">
                            <a:avLst/>
                          </a:prstGeom>
                          <a:noFill/>
                          <a:ln>
                            <a:noFill/>
                          </a:ln>
                        </pic:spPr>
                      </pic:pic>
                    </a:graphicData>
                  </a:graphic>
                </wp:anchor>
              </w:drawing>
            </w:r>
            <w:r>
              <w:rPr>
                <w:rFonts w:hint="default"/>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3935095</wp:posOffset>
                      </wp:positionH>
                      <wp:positionV relativeFrom="paragraph">
                        <wp:posOffset>2030095</wp:posOffset>
                      </wp:positionV>
                      <wp:extent cx="1130300" cy="855345"/>
                      <wp:effectExtent l="4445" t="4445" r="8255" b="16510"/>
                      <wp:wrapNone/>
                      <wp:docPr id="34" name="文本框 34"/>
                      <wp:cNvGraphicFramePr/>
                      <a:graphic xmlns:a="http://schemas.openxmlformats.org/drawingml/2006/main">
                        <a:graphicData uri="http://schemas.microsoft.com/office/word/2010/wordprocessingShape">
                          <wps:wsp>
                            <wps:cNvSpPr txBox="1"/>
                            <wps:spPr>
                              <a:xfrm>
                                <a:off x="0" y="0"/>
                                <a:ext cx="113030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576C1">
                                  <w:pPr>
                                    <w:jc w:val="center"/>
                                    <w:rPr>
                                      <w:rFonts w:hint="eastAsia"/>
                                      <w:lang w:val="en-US" w:eastAsia="zh-CN"/>
                                    </w:rPr>
                                  </w:pPr>
                                  <w:r>
                                    <w:rPr>
                                      <w:rFonts w:hint="eastAsia"/>
                                      <w:lang w:val="en-US" w:eastAsia="zh-CN"/>
                                    </w:rPr>
                                    <w:t>图例</w:t>
                                  </w:r>
                                </w:p>
                                <w:p w14:paraId="67F2B50B">
                                  <w:pPr>
                                    <w:jc w:val="both"/>
                                    <w:rPr>
                                      <w:rFonts w:hint="default"/>
                                      <w:lang w:val="en-US" w:eastAsia="zh-CN"/>
                                    </w:rPr>
                                  </w:pPr>
                                  <w:r>
                                    <w:rPr>
                                      <w:rFonts w:hint="eastAsia"/>
                                      <w:color w:val="FF0000"/>
                                      <w:lang w:val="en-US" w:eastAsia="zh-CN"/>
                                    </w:rPr>
                                    <w:t>□</w:t>
                                  </w:r>
                                  <w:r>
                                    <w:rPr>
                                      <w:rFonts w:hint="eastAsia"/>
                                      <w:lang w:val="en-US" w:eastAsia="zh-CN"/>
                                    </w:rPr>
                                    <w:t>项目位置</w:t>
                                  </w:r>
                                </w:p>
                                <w:p w14:paraId="364CF25A">
                                  <w:pPr>
                                    <w:jc w:val="both"/>
                                    <w:rPr>
                                      <w:rFonts w:hint="eastAsia" w:eastAsia="宋体"/>
                                      <w:lang w:val="en-US" w:eastAsia="zh-CN"/>
                                    </w:rPr>
                                  </w:pPr>
                                  <w:r>
                                    <w:drawing>
                                      <wp:inline distT="0" distB="0" distL="114300" distR="114300">
                                        <wp:extent cx="302895" cy="282575"/>
                                        <wp:effectExtent l="0" t="0" r="1905" b="317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2"/>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309.85pt;margin-top:159.85pt;height:67.35pt;width:89pt;z-index:251669504;mso-width-relative:page;mso-height-relative:page;" fillcolor="#FFFFFF" filled="t" stroked="t" coordsize="21600,21600" o:gfxdata="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lgt9f2QAAAAsBAAAPAAAAAAAAAAEAIAAA&#10;ACIAAABkcnMvZG93bnJldi54bWxQSwECFAAUAAAACACHTuJAbac/tAsCAAA4BAAADgAAAAAAAAAB&#10;ACAAAAAoAQAAZHJzL2Uyb0RvYy54bWxQSwUGAAAAAAYABgBZAQAApQUAAAAA&#10;">
                      <v:fill on="t" focussize="0,0"/>
                      <v:stroke color="#000000" joinstyle="miter"/>
                      <v:imagedata o:title=""/>
                      <o:lock v:ext="edit" aspectratio="f"/>
                      <v:textbox>
                        <w:txbxContent>
                          <w:p w14:paraId="102576C1">
                            <w:pPr>
                              <w:jc w:val="center"/>
                              <w:rPr>
                                <w:rFonts w:hint="eastAsia"/>
                                <w:lang w:val="en-US" w:eastAsia="zh-CN"/>
                              </w:rPr>
                            </w:pPr>
                            <w:r>
                              <w:rPr>
                                <w:rFonts w:hint="eastAsia"/>
                                <w:lang w:val="en-US" w:eastAsia="zh-CN"/>
                              </w:rPr>
                              <w:t>图例</w:t>
                            </w:r>
                          </w:p>
                          <w:p w14:paraId="67F2B50B">
                            <w:pPr>
                              <w:jc w:val="both"/>
                              <w:rPr>
                                <w:rFonts w:hint="default"/>
                                <w:lang w:val="en-US" w:eastAsia="zh-CN"/>
                              </w:rPr>
                            </w:pPr>
                            <w:r>
                              <w:rPr>
                                <w:rFonts w:hint="eastAsia"/>
                                <w:color w:val="FF0000"/>
                                <w:lang w:val="en-US" w:eastAsia="zh-CN"/>
                              </w:rPr>
                              <w:t>□</w:t>
                            </w:r>
                            <w:r>
                              <w:rPr>
                                <w:rFonts w:hint="eastAsia"/>
                                <w:lang w:val="en-US" w:eastAsia="zh-CN"/>
                              </w:rPr>
                              <w:t>项目位置</w:t>
                            </w:r>
                          </w:p>
                          <w:p w14:paraId="364CF25A">
                            <w:pPr>
                              <w:jc w:val="both"/>
                              <w:rPr>
                                <w:rFonts w:hint="eastAsia" w:eastAsia="宋体"/>
                                <w:lang w:val="en-US" w:eastAsia="zh-CN"/>
                              </w:rPr>
                            </w:pPr>
                            <w:r>
                              <w:drawing>
                                <wp:inline distT="0" distB="0" distL="114300" distR="114300">
                                  <wp:extent cx="302895" cy="282575"/>
                                  <wp:effectExtent l="0" t="0" r="1905" b="317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2"/>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v:textbox>
                    </v:shape>
                  </w:pict>
                </mc:Fallback>
              </mc:AlternateContent>
            </w:r>
            <w:r>
              <w:rPr>
                <w:rFonts w:hint="default"/>
                <w:color w:val="000000" w:themeColor="text1"/>
                <w:highlight w:val="none"/>
                <w14:textFill>
                  <w14:solidFill>
                    <w14:schemeClr w14:val="tx1"/>
                  </w14:solidFill>
                </w14:textFill>
              </w:rPr>
              <w:drawing>
                <wp:inline distT="0" distB="0" distL="114300" distR="114300">
                  <wp:extent cx="5097145" cy="2840990"/>
                  <wp:effectExtent l="0" t="0" r="8255" b="1651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3"/>
                          <a:stretch>
                            <a:fillRect/>
                          </a:stretch>
                        </pic:blipFill>
                        <pic:spPr>
                          <a:xfrm>
                            <a:off x="0" y="0"/>
                            <a:ext cx="5097145" cy="2840990"/>
                          </a:xfrm>
                          <a:prstGeom prst="rect">
                            <a:avLst/>
                          </a:prstGeom>
                          <a:noFill/>
                          <a:ln>
                            <a:noFill/>
                          </a:ln>
                        </pic:spPr>
                      </pic:pic>
                    </a:graphicData>
                  </a:graphic>
                </wp:inline>
              </w:drawing>
            </w:r>
          </w:p>
          <w:p w14:paraId="3D4C6D5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color w:val="000000" w:themeColor="text1"/>
                <w:kern w:val="0"/>
                <w:highlight w:val="none"/>
                <w:lang w:eastAsia="zh-CN"/>
                <w14:textFill>
                  <w14:solidFill>
                    <w14:schemeClr w14:val="tx1"/>
                  </w14:solidFill>
                </w14:textFill>
              </w:rPr>
            </w:pPr>
            <w:r>
              <w:rPr>
                <w:rFonts w:hint="default" w:ascii="Times New Roman" w:hAnsi="Times New Roman" w:cs="Times New Roman"/>
                <w:b/>
                <w:color w:val="000000" w:themeColor="text1"/>
                <w:kern w:val="0"/>
                <w:highlight w:val="none"/>
                <w14:textFill>
                  <w14:solidFill>
                    <w14:schemeClr w14:val="tx1"/>
                  </w14:solidFill>
                </w14:textFill>
              </w:rPr>
              <w:t>图3-</w:t>
            </w:r>
            <w:r>
              <w:rPr>
                <w:rFonts w:hint="default" w:ascii="Times New Roman" w:hAnsi="Times New Roman" w:cs="Times New Roman"/>
                <w:b/>
                <w:color w:val="000000" w:themeColor="text1"/>
                <w:kern w:val="0"/>
                <w:highlight w:val="none"/>
                <w:lang w:val="en-US" w:eastAsia="zh-CN"/>
                <w14:textFill>
                  <w14:solidFill>
                    <w14:schemeClr w14:val="tx1"/>
                  </w14:solidFill>
                </w14:textFill>
              </w:rPr>
              <w:t>1</w:t>
            </w:r>
            <w:r>
              <w:rPr>
                <w:rFonts w:hint="eastAsia" w:cs="Times New Roman"/>
                <w:b/>
                <w:color w:val="000000" w:themeColor="text1"/>
                <w:kern w:val="0"/>
                <w:highlight w:val="none"/>
                <w:lang w:val="en-US" w:eastAsia="zh-CN"/>
                <w14:textFill>
                  <w14:solidFill>
                    <w14:schemeClr w14:val="tx1"/>
                  </w14:solidFill>
                </w14:textFill>
              </w:rPr>
              <w:t xml:space="preserve"> </w:t>
            </w:r>
            <w:r>
              <w:rPr>
                <w:rFonts w:hint="default" w:ascii="Times New Roman" w:hAnsi="Times New Roman" w:cs="Times New Roman"/>
                <w:b/>
                <w:color w:val="000000" w:themeColor="text1"/>
                <w:kern w:val="0"/>
                <w:highlight w:val="none"/>
                <w14:textFill>
                  <w14:solidFill>
                    <w14:schemeClr w14:val="tx1"/>
                  </w14:solidFill>
                </w14:textFill>
              </w:rPr>
              <w:t>大气监测点位图</w:t>
            </w:r>
          </w:p>
          <w:p w14:paraId="6D0BED0E">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监测点基本信息见表3-</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，评价结果见表3-</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E2F29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表3-</w:t>
            </w: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Cs w:val="21"/>
                <w:highlight w:val="none"/>
                <w14:textFill>
                  <w14:solidFill>
                    <w14:schemeClr w14:val="tx1"/>
                  </w14:solidFill>
                </w14:textFill>
              </w:rPr>
              <w:t xml:space="preserve"> 监测点基本信息表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582"/>
              <w:gridCol w:w="1042"/>
              <w:gridCol w:w="1288"/>
              <w:gridCol w:w="1350"/>
              <w:gridCol w:w="1576"/>
            </w:tblGrid>
            <w:tr w14:paraId="200E68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tcBorders>
                    <w:top w:val="single" w:color="auto" w:sz="8" w:space="0"/>
                    <w:bottom w:val="single" w:color="auto" w:sz="4" w:space="0"/>
                    <w:right w:val="single" w:color="auto" w:sz="4" w:space="0"/>
                  </w:tcBorders>
                  <w:noWrap w:val="0"/>
                  <w:vAlign w:val="center"/>
                </w:tcPr>
                <w:p w14:paraId="627996C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名称</w:t>
                  </w:r>
                </w:p>
              </w:tc>
              <w:tc>
                <w:tcPr>
                  <w:tcW w:w="1582" w:type="dxa"/>
                  <w:tcBorders>
                    <w:top w:val="single" w:color="auto" w:sz="8" w:space="0"/>
                    <w:left w:val="single" w:color="auto" w:sz="4" w:space="0"/>
                    <w:bottom w:val="single" w:color="auto" w:sz="4" w:space="0"/>
                    <w:right w:val="single" w:color="auto" w:sz="4" w:space="0"/>
                  </w:tcBorders>
                  <w:noWrap w:val="0"/>
                  <w:vAlign w:val="center"/>
                </w:tcPr>
                <w:p w14:paraId="4D4FA05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坐标</w:t>
                  </w:r>
                </w:p>
              </w:tc>
              <w:tc>
                <w:tcPr>
                  <w:tcW w:w="1042" w:type="dxa"/>
                  <w:tcBorders>
                    <w:top w:val="single" w:color="auto" w:sz="8" w:space="0"/>
                    <w:left w:val="single" w:color="auto" w:sz="4" w:space="0"/>
                    <w:bottom w:val="single" w:color="auto" w:sz="4" w:space="0"/>
                    <w:right w:val="single" w:color="auto" w:sz="4" w:space="0"/>
                  </w:tcBorders>
                  <w:noWrap w:val="0"/>
                  <w:vAlign w:val="center"/>
                </w:tcPr>
                <w:p w14:paraId="1B4CE2A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监测因子</w:t>
                  </w:r>
                </w:p>
              </w:tc>
              <w:tc>
                <w:tcPr>
                  <w:tcW w:w="1288" w:type="dxa"/>
                  <w:tcBorders>
                    <w:top w:val="single" w:color="auto" w:sz="8" w:space="0"/>
                    <w:left w:val="single" w:color="auto" w:sz="4" w:space="0"/>
                    <w:bottom w:val="single" w:color="auto" w:sz="4" w:space="0"/>
                    <w:right w:val="single" w:color="auto" w:sz="4" w:space="0"/>
                  </w:tcBorders>
                  <w:noWrap w:val="0"/>
                  <w:vAlign w:val="center"/>
                </w:tcPr>
                <w:p w14:paraId="402FDF5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监测时段</w:t>
                  </w:r>
                </w:p>
              </w:tc>
              <w:tc>
                <w:tcPr>
                  <w:tcW w:w="1350" w:type="dxa"/>
                  <w:tcBorders>
                    <w:top w:val="single" w:color="auto" w:sz="8" w:space="0"/>
                    <w:left w:val="single" w:color="auto" w:sz="4" w:space="0"/>
                    <w:bottom w:val="single" w:color="auto" w:sz="4" w:space="0"/>
                    <w:right w:val="single" w:color="auto" w:sz="4" w:space="0"/>
                  </w:tcBorders>
                  <w:noWrap w:val="0"/>
                  <w:vAlign w:val="center"/>
                </w:tcPr>
                <w:p w14:paraId="3C0B09D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相对厂址方位</w:t>
                  </w:r>
                </w:p>
              </w:tc>
              <w:tc>
                <w:tcPr>
                  <w:tcW w:w="1576" w:type="dxa"/>
                  <w:tcBorders>
                    <w:top w:val="single" w:color="auto" w:sz="8" w:space="0"/>
                    <w:left w:val="single" w:color="auto" w:sz="4" w:space="0"/>
                    <w:bottom w:val="single" w:color="auto" w:sz="4" w:space="0"/>
                  </w:tcBorders>
                  <w:noWrap w:val="0"/>
                  <w:vAlign w:val="center"/>
                </w:tcPr>
                <w:p w14:paraId="41FB656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相对厂界距离/m</w:t>
                  </w:r>
                </w:p>
              </w:tc>
            </w:tr>
            <w:tr w14:paraId="62C46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tcBorders>
                    <w:top w:val="single" w:color="auto" w:sz="4" w:space="0"/>
                    <w:right w:val="single" w:color="auto" w:sz="4" w:space="0"/>
                  </w:tcBorders>
                  <w:noWrap w:val="0"/>
                  <w:vAlign w:val="center"/>
                </w:tcPr>
                <w:p w14:paraId="12B0EB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项目东侧150m</w:t>
                  </w:r>
                </w:p>
              </w:tc>
              <w:tc>
                <w:tcPr>
                  <w:tcW w:w="1582" w:type="dxa"/>
                  <w:tcBorders>
                    <w:top w:val="single" w:color="auto" w:sz="4" w:space="0"/>
                    <w:left w:val="single" w:color="auto" w:sz="4" w:space="0"/>
                    <w:right w:val="single" w:color="auto" w:sz="4" w:space="0"/>
                  </w:tcBorders>
                  <w:noWrap w:val="0"/>
                  <w:vAlign w:val="center"/>
                </w:tcPr>
                <w:p w14:paraId="7A357DD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131.15657151</w:t>
                  </w:r>
                </w:p>
                <w:p w14:paraId="15C213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45.23881265</w:t>
                  </w:r>
                </w:p>
              </w:tc>
              <w:tc>
                <w:tcPr>
                  <w:tcW w:w="1042" w:type="dxa"/>
                  <w:tcBorders>
                    <w:top w:val="single" w:color="auto" w:sz="4" w:space="0"/>
                    <w:left w:val="single" w:color="auto" w:sz="4" w:space="0"/>
                    <w:bottom w:val="single" w:color="auto" w:sz="4" w:space="0"/>
                    <w:right w:val="single" w:color="auto" w:sz="4" w:space="0"/>
                  </w:tcBorders>
                  <w:noWrap w:val="0"/>
                  <w:vAlign w:val="center"/>
                </w:tcPr>
                <w:p w14:paraId="7AD54EE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TSP</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783D3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24小时平均</w:t>
                  </w:r>
                </w:p>
              </w:tc>
              <w:tc>
                <w:tcPr>
                  <w:tcW w:w="1350" w:type="dxa"/>
                  <w:tcBorders>
                    <w:top w:val="single" w:color="auto" w:sz="4" w:space="0"/>
                    <w:left w:val="single" w:color="auto" w:sz="4" w:space="0"/>
                    <w:right w:val="single" w:color="auto" w:sz="4" w:space="0"/>
                  </w:tcBorders>
                  <w:noWrap w:val="0"/>
                  <w:vAlign w:val="center"/>
                </w:tcPr>
                <w:p w14:paraId="17BC40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E</w:t>
                  </w:r>
                </w:p>
              </w:tc>
              <w:tc>
                <w:tcPr>
                  <w:tcW w:w="1576" w:type="dxa"/>
                  <w:tcBorders>
                    <w:top w:val="single" w:color="auto" w:sz="4" w:space="0"/>
                    <w:left w:val="single" w:color="auto" w:sz="4" w:space="0"/>
                  </w:tcBorders>
                  <w:noWrap w:val="0"/>
                  <w:vAlign w:val="center"/>
                </w:tcPr>
                <w:p w14:paraId="65F1A8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150</w:t>
                  </w:r>
                </w:p>
              </w:tc>
            </w:tr>
          </w:tbl>
          <w:p w14:paraId="5DDE11A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highlight w:val="none"/>
                <w14:textFill>
                  <w14:solidFill>
                    <w14:schemeClr w14:val="tx1"/>
                  </w14:solidFill>
                </w14:textFill>
              </w:rPr>
            </w:pPr>
          </w:p>
          <w:p w14:paraId="47E6A0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表3-</w:t>
            </w: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3</w:t>
            </w:r>
            <w:r>
              <w:rPr>
                <w:rFonts w:hint="eastAsia"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Cs w:val="21"/>
                <w:highlight w:val="none"/>
                <w14:textFill>
                  <w14:solidFill>
                    <w14:schemeClr w14:val="tx1"/>
                  </w14:solidFill>
                </w14:textFill>
              </w:rPr>
              <w:t>监测结果</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800"/>
              <w:gridCol w:w="1025"/>
              <w:gridCol w:w="875"/>
              <w:gridCol w:w="875"/>
              <w:gridCol w:w="875"/>
              <w:gridCol w:w="1087"/>
              <w:gridCol w:w="788"/>
              <w:gridCol w:w="729"/>
            </w:tblGrid>
            <w:tr w14:paraId="74C3F0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1" w:type="dxa"/>
                  <w:noWrap w:val="0"/>
                  <w:vAlign w:val="center"/>
                </w:tcPr>
                <w:p w14:paraId="4DCC0FEB">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名称</w:t>
                  </w:r>
                </w:p>
              </w:tc>
              <w:tc>
                <w:tcPr>
                  <w:tcW w:w="800" w:type="dxa"/>
                  <w:noWrap w:val="0"/>
                  <w:vAlign w:val="center"/>
                </w:tcPr>
                <w:p w14:paraId="176995F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污染物</w:t>
                  </w:r>
                </w:p>
              </w:tc>
              <w:tc>
                <w:tcPr>
                  <w:tcW w:w="1025" w:type="dxa"/>
                  <w:noWrap w:val="0"/>
                  <w:vAlign w:val="center"/>
                </w:tcPr>
                <w:p w14:paraId="7FC81A0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评价标准（μg/m</w:t>
                  </w:r>
                  <w:r>
                    <w:rPr>
                      <w:rFonts w:hint="default" w:ascii="Times New Roman" w:hAnsi="Times New Roman" w:cs="Times New Roman"/>
                      <w:color w:val="000000" w:themeColor="text1"/>
                      <w:kern w:val="0"/>
                      <w:sz w:val="18"/>
                      <w:szCs w:val="18"/>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18"/>
                      <w:szCs w:val="18"/>
                      <w:highlight w:val="none"/>
                      <w14:textFill>
                        <w14:solidFill>
                          <w14:schemeClr w14:val="tx1"/>
                        </w14:solidFill>
                      </w14:textFill>
                    </w:rPr>
                    <w:t>）</w:t>
                  </w:r>
                </w:p>
              </w:tc>
              <w:tc>
                <w:tcPr>
                  <w:tcW w:w="2625" w:type="dxa"/>
                  <w:gridSpan w:val="3"/>
                  <w:noWrap w:val="0"/>
                  <w:vAlign w:val="center"/>
                </w:tcPr>
                <w:p w14:paraId="58A612F9">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浓度（μg/m</w:t>
                  </w:r>
                  <w:r>
                    <w:rPr>
                      <w:rFonts w:hint="default" w:ascii="Times New Roman" w:hAnsi="Times New Roman" w:cs="Times New Roman"/>
                      <w:color w:val="000000" w:themeColor="text1"/>
                      <w:kern w:val="0"/>
                      <w:sz w:val="18"/>
                      <w:szCs w:val="18"/>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18"/>
                      <w:szCs w:val="18"/>
                      <w:highlight w:val="none"/>
                      <w14:textFill>
                        <w14:solidFill>
                          <w14:schemeClr w14:val="tx1"/>
                        </w14:solidFill>
                      </w14:textFill>
                    </w:rPr>
                    <w:t>）</w:t>
                  </w:r>
                </w:p>
              </w:tc>
              <w:tc>
                <w:tcPr>
                  <w:tcW w:w="1087" w:type="dxa"/>
                  <w:noWrap w:val="0"/>
                  <w:vAlign w:val="center"/>
                </w:tcPr>
                <w:p w14:paraId="13A073E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最大占标率%</w:t>
                  </w:r>
                </w:p>
              </w:tc>
              <w:tc>
                <w:tcPr>
                  <w:tcW w:w="788" w:type="dxa"/>
                  <w:noWrap w:val="0"/>
                  <w:vAlign w:val="center"/>
                </w:tcPr>
                <w:p w14:paraId="41B7A1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超标率%</w:t>
                  </w:r>
                </w:p>
              </w:tc>
              <w:tc>
                <w:tcPr>
                  <w:tcW w:w="729" w:type="dxa"/>
                  <w:noWrap w:val="0"/>
                  <w:vAlign w:val="center"/>
                </w:tcPr>
                <w:p w14:paraId="4837D39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达标情况</w:t>
                  </w:r>
                </w:p>
              </w:tc>
            </w:tr>
            <w:tr w14:paraId="5E83EC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81" w:type="dxa"/>
                  <w:vMerge w:val="restart"/>
                  <w:noWrap w:val="0"/>
                  <w:vAlign w:val="center"/>
                </w:tcPr>
                <w:p w14:paraId="657F55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项目东侧150m</w:t>
                  </w:r>
                </w:p>
              </w:tc>
              <w:tc>
                <w:tcPr>
                  <w:tcW w:w="800" w:type="dxa"/>
                  <w:vMerge w:val="restart"/>
                  <w:noWrap w:val="0"/>
                  <w:vAlign w:val="center"/>
                </w:tcPr>
                <w:p w14:paraId="322680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TSP</w:t>
                  </w:r>
                </w:p>
              </w:tc>
              <w:tc>
                <w:tcPr>
                  <w:tcW w:w="1025" w:type="dxa"/>
                  <w:vMerge w:val="restart"/>
                  <w:noWrap w:val="0"/>
                  <w:vAlign w:val="center"/>
                </w:tcPr>
                <w:p w14:paraId="615971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300</w:t>
                  </w:r>
                </w:p>
              </w:tc>
              <w:tc>
                <w:tcPr>
                  <w:tcW w:w="875" w:type="dxa"/>
                  <w:noWrap w:val="0"/>
                  <w:vAlign w:val="center"/>
                </w:tcPr>
                <w:p w14:paraId="096A16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第一天</w:t>
                  </w:r>
                </w:p>
              </w:tc>
              <w:tc>
                <w:tcPr>
                  <w:tcW w:w="875" w:type="dxa"/>
                  <w:noWrap w:val="0"/>
                  <w:vAlign w:val="center"/>
                </w:tcPr>
                <w:p w14:paraId="757B98DA">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第二天</w:t>
                  </w:r>
                </w:p>
              </w:tc>
              <w:tc>
                <w:tcPr>
                  <w:tcW w:w="875" w:type="dxa"/>
                  <w:noWrap w:val="0"/>
                  <w:vAlign w:val="center"/>
                </w:tcPr>
                <w:p w14:paraId="662CE976">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第三天</w:t>
                  </w:r>
                </w:p>
              </w:tc>
              <w:tc>
                <w:tcPr>
                  <w:tcW w:w="1087" w:type="dxa"/>
                  <w:vMerge w:val="restart"/>
                  <w:noWrap w:val="0"/>
                  <w:vAlign w:val="center"/>
                </w:tcPr>
                <w:p w14:paraId="6FE9DF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38.7</w:t>
                  </w:r>
                </w:p>
              </w:tc>
              <w:tc>
                <w:tcPr>
                  <w:tcW w:w="788" w:type="dxa"/>
                  <w:vMerge w:val="restart"/>
                  <w:noWrap w:val="0"/>
                  <w:vAlign w:val="center"/>
                </w:tcPr>
                <w:p w14:paraId="664DCD8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0</w:t>
                  </w:r>
                </w:p>
              </w:tc>
              <w:tc>
                <w:tcPr>
                  <w:tcW w:w="729" w:type="dxa"/>
                  <w:vMerge w:val="restart"/>
                  <w:noWrap w:val="0"/>
                  <w:vAlign w:val="center"/>
                </w:tcPr>
                <w:p w14:paraId="301CC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达标</w:t>
                  </w:r>
                </w:p>
              </w:tc>
            </w:tr>
            <w:tr w14:paraId="49D0B0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81" w:type="dxa"/>
                  <w:vMerge w:val="continue"/>
                  <w:noWrap w:val="0"/>
                  <w:vAlign w:val="center"/>
                </w:tcPr>
                <w:p w14:paraId="2644E00A">
                  <w:pPr>
                    <w:keepNext w:val="0"/>
                    <w:keepLines w:val="0"/>
                    <w:suppressLineNumbers w:val="0"/>
                    <w:adjustRightInd w:val="0"/>
                    <w:snapToGrid w:val="0"/>
                    <w:spacing w:before="0" w:beforeAutospacing="0" w:after="0" w:afterAutospacing="0"/>
                    <w:ind w:left="0" w:right="0"/>
                    <w:jc w:val="center"/>
                    <w:rPr>
                      <w:rFonts w:hint="default"/>
                      <w:highlight w:val="none"/>
                    </w:rPr>
                  </w:pPr>
                </w:p>
              </w:tc>
              <w:tc>
                <w:tcPr>
                  <w:tcW w:w="800" w:type="dxa"/>
                  <w:vMerge w:val="continue"/>
                  <w:noWrap w:val="0"/>
                  <w:vAlign w:val="center"/>
                </w:tcPr>
                <w:p w14:paraId="19AE902F">
                  <w:pPr>
                    <w:keepNext w:val="0"/>
                    <w:keepLines w:val="0"/>
                    <w:suppressLineNumbers w:val="0"/>
                    <w:adjustRightInd w:val="0"/>
                    <w:snapToGrid w:val="0"/>
                    <w:spacing w:before="0" w:beforeAutospacing="0" w:after="0" w:afterAutospacing="0"/>
                    <w:ind w:left="0" w:right="0"/>
                    <w:jc w:val="center"/>
                    <w:rPr>
                      <w:rFonts w:hint="default"/>
                      <w:highlight w:val="none"/>
                    </w:rPr>
                  </w:pPr>
                </w:p>
              </w:tc>
              <w:tc>
                <w:tcPr>
                  <w:tcW w:w="1025" w:type="dxa"/>
                  <w:vMerge w:val="continue"/>
                  <w:noWrap w:val="0"/>
                  <w:vAlign w:val="center"/>
                </w:tcPr>
                <w:p w14:paraId="7536014C">
                  <w:pPr>
                    <w:keepNext w:val="0"/>
                    <w:keepLines w:val="0"/>
                    <w:suppressLineNumbers w:val="0"/>
                    <w:adjustRightInd w:val="0"/>
                    <w:snapToGrid w:val="0"/>
                    <w:spacing w:before="0" w:beforeAutospacing="0" w:after="0" w:afterAutospacing="0"/>
                    <w:ind w:left="0" w:right="0"/>
                    <w:jc w:val="center"/>
                    <w:rPr>
                      <w:rFonts w:hint="default"/>
                      <w:highlight w:val="none"/>
                    </w:rPr>
                  </w:pPr>
                </w:p>
              </w:tc>
              <w:tc>
                <w:tcPr>
                  <w:tcW w:w="875" w:type="dxa"/>
                  <w:noWrap w:val="0"/>
                  <w:vAlign w:val="center"/>
                </w:tcPr>
                <w:p w14:paraId="2A952C07">
                  <w:pPr>
                    <w:keepNext w:val="0"/>
                    <w:keepLines w:val="0"/>
                    <w:suppressLineNumbers w:val="0"/>
                    <w:adjustRightInd w:val="0"/>
                    <w:snapToGrid w:val="0"/>
                    <w:spacing w:before="0" w:beforeAutospacing="0" w:after="0" w:afterAutospacing="0"/>
                    <w:ind w:left="0" w:right="0"/>
                    <w:jc w:val="center"/>
                    <w:rPr>
                      <w:rFonts w:hint="default" w:eastAsia="宋体"/>
                      <w:sz w:val="18"/>
                      <w:szCs w:val="18"/>
                      <w:highlight w:val="none"/>
                      <w:lang w:val="en-US" w:eastAsia="zh-CN"/>
                    </w:rPr>
                  </w:pPr>
                  <w:r>
                    <w:rPr>
                      <w:rFonts w:hint="eastAsia"/>
                      <w:sz w:val="18"/>
                      <w:szCs w:val="18"/>
                      <w:highlight w:val="none"/>
                      <w:lang w:val="en-US" w:eastAsia="zh-CN"/>
                    </w:rPr>
                    <w:t>109</w:t>
                  </w:r>
                </w:p>
              </w:tc>
              <w:tc>
                <w:tcPr>
                  <w:tcW w:w="875" w:type="dxa"/>
                  <w:noWrap w:val="0"/>
                  <w:vAlign w:val="center"/>
                </w:tcPr>
                <w:p w14:paraId="22E67B31">
                  <w:pPr>
                    <w:keepNext w:val="0"/>
                    <w:keepLines w:val="0"/>
                    <w:suppressLineNumbers w:val="0"/>
                    <w:adjustRightInd w:val="0"/>
                    <w:snapToGrid w:val="0"/>
                    <w:spacing w:before="0" w:beforeAutospacing="0" w:after="0" w:afterAutospacing="0"/>
                    <w:ind w:left="0" w:right="0"/>
                    <w:jc w:val="center"/>
                    <w:rPr>
                      <w:rFonts w:hint="default" w:eastAsia="宋体"/>
                      <w:sz w:val="18"/>
                      <w:szCs w:val="18"/>
                      <w:highlight w:val="none"/>
                      <w:lang w:val="en-US" w:eastAsia="zh-CN"/>
                    </w:rPr>
                  </w:pPr>
                  <w:r>
                    <w:rPr>
                      <w:rFonts w:hint="eastAsia"/>
                      <w:sz w:val="18"/>
                      <w:szCs w:val="18"/>
                      <w:highlight w:val="none"/>
                      <w:lang w:val="en-US" w:eastAsia="zh-CN"/>
                    </w:rPr>
                    <w:t>116</w:t>
                  </w:r>
                </w:p>
              </w:tc>
              <w:tc>
                <w:tcPr>
                  <w:tcW w:w="875" w:type="dxa"/>
                  <w:noWrap w:val="0"/>
                  <w:vAlign w:val="center"/>
                </w:tcPr>
                <w:p w14:paraId="79874D35">
                  <w:pPr>
                    <w:keepNext w:val="0"/>
                    <w:keepLines w:val="0"/>
                    <w:suppressLineNumbers w:val="0"/>
                    <w:adjustRightInd w:val="0"/>
                    <w:snapToGrid w:val="0"/>
                    <w:spacing w:before="0" w:beforeAutospacing="0" w:after="0" w:afterAutospacing="0"/>
                    <w:ind w:left="0" w:right="0"/>
                    <w:jc w:val="center"/>
                    <w:rPr>
                      <w:rFonts w:hint="default" w:eastAsia="宋体"/>
                      <w:sz w:val="18"/>
                      <w:szCs w:val="18"/>
                      <w:highlight w:val="none"/>
                      <w:lang w:val="en-US" w:eastAsia="zh-CN"/>
                    </w:rPr>
                  </w:pPr>
                  <w:r>
                    <w:rPr>
                      <w:rFonts w:hint="eastAsia"/>
                      <w:sz w:val="18"/>
                      <w:szCs w:val="18"/>
                      <w:highlight w:val="none"/>
                      <w:lang w:val="en-US" w:eastAsia="zh-CN"/>
                    </w:rPr>
                    <w:t>104</w:t>
                  </w:r>
                </w:p>
              </w:tc>
              <w:tc>
                <w:tcPr>
                  <w:tcW w:w="1087" w:type="dxa"/>
                  <w:vMerge w:val="continue"/>
                  <w:noWrap w:val="0"/>
                  <w:vAlign w:val="center"/>
                </w:tcPr>
                <w:p w14:paraId="547BD901">
                  <w:pPr>
                    <w:keepNext w:val="0"/>
                    <w:keepLines w:val="0"/>
                    <w:suppressLineNumbers w:val="0"/>
                    <w:adjustRightInd w:val="0"/>
                    <w:snapToGrid w:val="0"/>
                    <w:spacing w:before="0" w:beforeAutospacing="0" w:after="0" w:afterAutospacing="0"/>
                    <w:ind w:left="0" w:right="0"/>
                    <w:jc w:val="center"/>
                    <w:rPr>
                      <w:rFonts w:hint="default"/>
                      <w:highlight w:val="none"/>
                    </w:rPr>
                  </w:pPr>
                </w:p>
              </w:tc>
              <w:tc>
                <w:tcPr>
                  <w:tcW w:w="788" w:type="dxa"/>
                  <w:vMerge w:val="continue"/>
                  <w:noWrap w:val="0"/>
                  <w:vAlign w:val="center"/>
                </w:tcPr>
                <w:p w14:paraId="1260EECF">
                  <w:pPr>
                    <w:keepNext w:val="0"/>
                    <w:keepLines w:val="0"/>
                    <w:suppressLineNumbers w:val="0"/>
                    <w:adjustRightInd w:val="0"/>
                    <w:snapToGrid w:val="0"/>
                    <w:spacing w:before="0" w:beforeAutospacing="0" w:after="0" w:afterAutospacing="0"/>
                    <w:ind w:left="0" w:right="0"/>
                    <w:jc w:val="center"/>
                    <w:rPr>
                      <w:rFonts w:hint="default"/>
                      <w:highlight w:val="none"/>
                    </w:rPr>
                  </w:pPr>
                </w:p>
              </w:tc>
              <w:tc>
                <w:tcPr>
                  <w:tcW w:w="729" w:type="dxa"/>
                  <w:vMerge w:val="continue"/>
                  <w:noWrap w:val="0"/>
                  <w:vAlign w:val="center"/>
                </w:tcPr>
                <w:p w14:paraId="7E302F93">
                  <w:pPr>
                    <w:keepNext w:val="0"/>
                    <w:keepLines w:val="0"/>
                    <w:suppressLineNumbers w:val="0"/>
                    <w:adjustRightInd w:val="0"/>
                    <w:snapToGrid w:val="0"/>
                    <w:spacing w:before="0" w:beforeAutospacing="0" w:after="0" w:afterAutospacing="0"/>
                    <w:ind w:left="0" w:right="0"/>
                    <w:jc w:val="center"/>
                    <w:rPr>
                      <w:rFonts w:hint="default"/>
                      <w:highlight w:val="none"/>
                    </w:rPr>
                  </w:pPr>
                </w:p>
              </w:tc>
            </w:tr>
          </w:tbl>
          <w:p w14:paraId="1027A936">
            <w:pPr>
              <w:keepNext w:val="0"/>
              <w:keepLines w:val="0"/>
              <w:suppressLineNumbers w:val="0"/>
              <w:spacing w:before="0" w:beforeAutospacing="0" w:after="0" w:afterAutospacing="0" w:line="360" w:lineRule="auto"/>
              <w:ind w:left="0" w:right="0" w:firstLine="420" w:firstLineChars="200"/>
              <w:rPr>
                <w:rFonts w:hint="default"/>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由上表可以看出，本项目TSP24小时平均浓度值满足《环境空气质量标准》（GB3095-2012）及其修改单二级标准要求，区域环境空气质量良好。</w:t>
            </w:r>
          </w:p>
          <w:p w14:paraId="3EEECAC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b/>
                <w:bCs/>
                <w:color w:val="000000" w:themeColor="text1"/>
                <w:sz w:val="21"/>
                <w:highlight w:val="none"/>
                <w14:textFill>
                  <w14:solidFill>
                    <w14:schemeClr w14:val="tx1"/>
                  </w14:solidFill>
                </w14:textFill>
              </w:rPr>
            </w:pPr>
            <w:r>
              <w:rPr>
                <w:rFonts w:hint="default"/>
                <w:b/>
                <w:bCs/>
                <w:color w:val="000000" w:themeColor="text1"/>
                <w:sz w:val="21"/>
                <w:highlight w:val="none"/>
                <w14:textFill>
                  <w14:solidFill>
                    <w14:schemeClr w14:val="tx1"/>
                  </w14:solidFill>
                </w14:textFill>
              </w:rPr>
              <w:t>2、地表水环境</w:t>
            </w:r>
          </w:p>
          <w:p w14:paraId="12A6C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FF0000"/>
                <w:sz w:val="21"/>
                <w:szCs w:val="21"/>
                <w:highlight w:val="none"/>
                <w:lang w:val="en-US" w:eastAsia="zh-CN"/>
              </w:rPr>
            </w:pPr>
            <w:r>
              <w:rPr>
                <w:rFonts w:hint="eastAsia"/>
                <w:color w:val="000000" w:themeColor="text1"/>
                <w:kern w:val="0"/>
                <w:szCs w:val="21"/>
                <w:highlight w:val="none"/>
                <w14:textFill>
                  <w14:solidFill>
                    <w14:schemeClr w14:val="tx1"/>
                  </w14:solidFill>
                </w14:textFill>
              </w:rPr>
              <w:t>本项目</w:t>
            </w:r>
            <w:r>
              <w:rPr>
                <w:rFonts w:hint="eastAsia"/>
                <w:color w:val="000000" w:themeColor="text1"/>
                <w:kern w:val="0"/>
                <w:szCs w:val="21"/>
                <w:highlight w:val="none"/>
                <w:lang w:val="en-US" w:eastAsia="zh-CN"/>
                <w14:textFill>
                  <w14:solidFill>
                    <w14:schemeClr w14:val="tx1"/>
                  </w14:solidFill>
                </w14:textFill>
              </w:rPr>
              <w:t>最近</w:t>
            </w:r>
            <w:r>
              <w:rPr>
                <w:rFonts w:hint="default"/>
                <w:color w:val="000000" w:themeColor="text1"/>
                <w:kern w:val="0"/>
                <w:szCs w:val="21"/>
                <w:highlight w:val="none"/>
                <w14:textFill>
                  <w14:solidFill>
                    <w14:schemeClr w14:val="tx1"/>
                  </w14:solidFill>
                </w14:textFill>
              </w:rPr>
              <w:t>水体</w:t>
            </w:r>
            <w:r>
              <w:rPr>
                <w:rFonts w:hint="eastAsia"/>
                <w:color w:val="000000" w:themeColor="text1"/>
                <w:kern w:val="0"/>
                <w:szCs w:val="21"/>
                <w:highlight w:val="none"/>
                <w14:textFill>
                  <w14:solidFill>
                    <w14:schemeClr w14:val="tx1"/>
                  </w14:solidFill>
                </w14:textFill>
              </w:rPr>
              <w:t>为</w:t>
            </w:r>
            <w:r>
              <w:rPr>
                <w:rFonts w:hint="eastAsia"/>
                <w:color w:val="000000" w:themeColor="text1"/>
                <w:kern w:val="0"/>
                <w:szCs w:val="21"/>
                <w:highlight w:val="none"/>
                <w:lang w:val="en-US" w:eastAsia="zh-CN"/>
                <w14:textFill>
                  <w14:solidFill>
                    <w14:schemeClr w14:val="tx1"/>
                  </w14:solidFill>
                </w14:textFill>
              </w:rPr>
              <w:t>穆棱河</w:t>
            </w:r>
            <w:r>
              <w:rPr>
                <w:rFonts w:hint="default"/>
                <w:color w:val="000000" w:themeColor="text1"/>
                <w:kern w:val="0"/>
                <w:szCs w:val="21"/>
                <w:highlight w:val="none"/>
                <w14:textFill>
                  <w14:solidFill>
                    <w14:schemeClr w14:val="tx1"/>
                  </w14:solidFill>
                </w14:textFill>
              </w:rPr>
              <w:t>，</w:t>
            </w:r>
            <w:r>
              <w:rPr>
                <w:rFonts w:hint="default" w:ascii="Times New Roman" w:hAnsi="Times New Roman" w:cs="Times New Roman"/>
                <w:color w:val="000000" w:themeColor="text1"/>
                <w:szCs w:val="24"/>
                <w:highlight w:val="none"/>
                <w14:textFill>
                  <w14:solidFill>
                    <w14:schemeClr w14:val="tx1"/>
                  </w14:solidFill>
                </w14:textFill>
              </w:rPr>
              <w:t>根据《全国重要江河湖泊水功能区划（2011~2030）》（水资源[2012]131号），</w:t>
            </w:r>
            <w:r>
              <w:rPr>
                <w:rFonts w:hint="eastAsia" w:cs="Times New Roman"/>
                <w:color w:val="000000" w:themeColor="text1"/>
                <w:szCs w:val="24"/>
                <w:highlight w:val="none"/>
                <w:lang w:val="en-US" w:eastAsia="zh-CN"/>
                <w14:textFill>
                  <w14:solidFill>
                    <w14:schemeClr w14:val="tx1"/>
                  </w14:solidFill>
                </w14:textFill>
              </w:rPr>
              <w:t>本项目位于“穆棱河鸡东县、密山市农业用水”断面</w:t>
            </w:r>
            <w:r>
              <w:rPr>
                <w:rFonts w:hint="default" w:ascii="Times New Roman" w:hAnsi="Times New Roman" w:cs="Times New Roman"/>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起始断面为鸡古路西100m，终止断面为凯北站，</w:t>
            </w:r>
            <w:r>
              <w:rPr>
                <w:rFonts w:hint="default" w:ascii="Times New Roman" w:hAnsi="Times New Roman" w:cs="Times New Roman"/>
                <w:color w:val="000000" w:themeColor="text1"/>
                <w:szCs w:val="24"/>
                <w:highlight w:val="none"/>
                <w14:textFill>
                  <w14:solidFill>
                    <w14:schemeClr w14:val="tx1"/>
                  </w14:solidFill>
                </w14:textFill>
              </w:rPr>
              <w:t>水质</w:t>
            </w:r>
            <w:r>
              <w:rPr>
                <w:rFonts w:hint="eastAsia" w:cs="Times New Roman"/>
                <w:color w:val="000000" w:themeColor="text1"/>
                <w:szCs w:val="24"/>
                <w:highlight w:val="none"/>
                <w:lang w:val="en-US" w:eastAsia="zh-CN"/>
                <w14:textFill>
                  <w14:solidFill>
                    <w14:schemeClr w14:val="tx1"/>
                  </w14:solidFill>
                </w14:textFill>
              </w:rPr>
              <w:t>标准</w:t>
            </w:r>
            <w:r>
              <w:rPr>
                <w:rFonts w:hint="default" w:ascii="Times New Roman" w:hAnsi="Times New Roman" w:cs="Times New Roman"/>
                <w:color w:val="000000" w:themeColor="text1"/>
                <w:szCs w:val="24"/>
                <w:highlight w:val="none"/>
                <w14:textFill>
                  <w14:solidFill>
                    <w14:schemeClr w14:val="tx1"/>
                  </w14:solidFill>
                </w14:textFill>
              </w:rPr>
              <w:t>为</w:t>
            </w:r>
            <w:r>
              <w:rPr>
                <w:rFonts w:hint="default" w:ascii="Times New Roman" w:hAnsi="Times New Roman" w:cs="Times New Roman"/>
                <w:color w:val="000000" w:themeColor="text1"/>
                <w:spacing w:val="12"/>
                <w:highlight w:val="none"/>
                <w14:textFill>
                  <w14:solidFill>
                    <w14:schemeClr w14:val="tx1"/>
                  </w14:solidFill>
                </w14:textFill>
              </w:rPr>
              <w:t>Ⅲ</w:t>
            </w:r>
            <w:r>
              <w:rPr>
                <w:rFonts w:hint="default" w:ascii="Times New Roman" w:hAnsi="Times New Roman" w:cs="Times New Roman"/>
                <w:color w:val="000000" w:themeColor="text1"/>
                <w:szCs w:val="24"/>
                <w:highlight w:val="none"/>
                <w14:textFill>
                  <w14:solidFill>
                    <w14:schemeClr w14:val="tx1"/>
                  </w14:solidFill>
                </w14:textFill>
              </w:rPr>
              <w:t>类，执行《地表水环境质量标准》（GB3838-2002）</w:t>
            </w:r>
            <w:r>
              <w:rPr>
                <w:rFonts w:hint="default" w:ascii="Times New Roman" w:hAnsi="Times New Roman" w:cs="Times New Roman"/>
                <w:color w:val="000000" w:themeColor="text1"/>
                <w:spacing w:val="12"/>
                <w:highlight w:val="none"/>
                <w14:textFill>
                  <w14:solidFill>
                    <w14:schemeClr w14:val="tx1"/>
                  </w14:solidFill>
                </w14:textFill>
              </w:rPr>
              <w:t>Ⅲ</w:t>
            </w:r>
            <w:r>
              <w:rPr>
                <w:rFonts w:hint="default" w:ascii="Times New Roman" w:hAnsi="Times New Roman" w:cs="Times New Roman"/>
                <w:color w:val="000000" w:themeColor="text1"/>
                <w:szCs w:val="24"/>
                <w:highlight w:val="none"/>
                <w14:textFill>
                  <w14:solidFill>
                    <w14:schemeClr w14:val="tx1"/>
                  </w14:solidFill>
                </w14:textFill>
              </w:rPr>
              <w:t>类标准。</w:t>
            </w:r>
            <w:r>
              <w:rPr>
                <w:rFonts w:hint="default" w:ascii="Times New Roman" w:hAnsi="Times New Roman" w:cs="Times New Roman"/>
                <w:color w:val="FF0000"/>
                <w:szCs w:val="24"/>
                <w:highlight w:val="none"/>
              </w:rPr>
              <w:t>根据鸡西市人民政府发布的《202</w:t>
            </w:r>
            <w:r>
              <w:rPr>
                <w:rFonts w:hint="default" w:ascii="Times New Roman" w:hAnsi="Times New Roman" w:cs="Times New Roman"/>
                <w:color w:val="FF0000"/>
                <w:szCs w:val="24"/>
                <w:highlight w:val="none"/>
                <w:lang w:val="en-US" w:eastAsia="zh-CN"/>
              </w:rPr>
              <w:t>4</w:t>
            </w:r>
            <w:r>
              <w:rPr>
                <w:rFonts w:hint="default" w:ascii="Times New Roman" w:hAnsi="Times New Roman" w:cs="Times New Roman"/>
                <w:color w:val="FF0000"/>
                <w:szCs w:val="24"/>
                <w:highlight w:val="none"/>
              </w:rPr>
              <w:t>年黑龙江省生态环境</w:t>
            </w:r>
            <w:r>
              <w:rPr>
                <w:rFonts w:hint="default" w:ascii="Times New Roman" w:hAnsi="Times New Roman" w:cs="Times New Roman"/>
                <w:color w:val="FF0000"/>
                <w:szCs w:val="24"/>
                <w:highlight w:val="none"/>
                <w:lang w:val="en-US" w:eastAsia="zh-CN"/>
              </w:rPr>
              <w:t>质量</w:t>
            </w:r>
            <w:r>
              <w:rPr>
                <w:rFonts w:hint="default" w:ascii="Times New Roman" w:hAnsi="Times New Roman" w:cs="Times New Roman"/>
                <w:color w:val="FF0000"/>
                <w:szCs w:val="24"/>
                <w:highlight w:val="none"/>
              </w:rPr>
              <w:t>状况》（202</w:t>
            </w:r>
            <w:r>
              <w:rPr>
                <w:rFonts w:hint="default" w:ascii="Times New Roman" w:hAnsi="Times New Roman" w:cs="Times New Roman"/>
                <w:color w:val="FF0000"/>
                <w:szCs w:val="24"/>
                <w:highlight w:val="none"/>
                <w:lang w:val="en-US" w:eastAsia="zh-CN"/>
              </w:rPr>
              <w:t>5</w:t>
            </w:r>
            <w:r>
              <w:rPr>
                <w:rFonts w:hint="default" w:ascii="Times New Roman" w:hAnsi="Times New Roman" w:cs="Times New Roman"/>
                <w:color w:val="FF0000"/>
                <w:szCs w:val="24"/>
                <w:highlight w:val="none"/>
              </w:rPr>
              <w:t>年</w:t>
            </w:r>
            <w:r>
              <w:rPr>
                <w:rFonts w:hint="default" w:ascii="Times New Roman" w:hAnsi="Times New Roman" w:cs="Times New Roman"/>
                <w:color w:val="FF0000"/>
                <w:szCs w:val="24"/>
                <w:highlight w:val="none"/>
                <w:lang w:val="en-US" w:eastAsia="zh-CN"/>
              </w:rPr>
              <w:t>1</w:t>
            </w:r>
            <w:r>
              <w:rPr>
                <w:rFonts w:hint="default" w:ascii="Times New Roman" w:hAnsi="Times New Roman" w:cs="Times New Roman"/>
                <w:color w:val="FF0000"/>
                <w:szCs w:val="24"/>
                <w:highlight w:val="none"/>
              </w:rPr>
              <w:t>月），</w:t>
            </w:r>
            <w:r>
              <w:rPr>
                <w:rFonts w:hint="default" w:ascii="Times New Roman" w:hAnsi="Times New Roman" w:cs="Times New Roman"/>
                <w:color w:val="FF0000"/>
                <w:szCs w:val="24"/>
                <w:highlight w:val="none"/>
                <w:lang w:val="en-US" w:eastAsia="zh-CN"/>
              </w:rPr>
              <w:t>鸡古路西100m、凯北站断面均达到Ⅲ类水质类别标准</w:t>
            </w:r>
            <w:r>
              <w:rPr>
                <w:rFonts w:hint="default" w:ascii="Times New Roman" w:hAnsi="Times New Roman" w:cs="Times New Roman"/>
                <w:color w:val="FF0000"/>
                <w:szCs w:val="24"/>
                <w:highlight w:val="none"/>
              </w:rPr>
              <w:t>。</w:t>
            </w:r>
          </w:p>
          <w:p w14:paraId="39DC7C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b/>
                <w:bCs/>
                <w:color w:val="000000" w:themeColor="text1"/>
                <w:sz w:val="21"/>
                <w:highlight w:val="none"/>
                <w14:textFill>
                  <w14:solidFill>
                    <w14:schemeClr w14:val="tx1"/>
                  </w14:solidFill>
                </w14:textFill>
              </w:rPr>
            </w:pPr>
            <w:r>
              <w:rPr>
                <w:rFonts w:hint="default"/>
                <w:b/>
                <w:bCs/>
                <w:color w:val="000000" w:themeColor="text1"/>
                <w:sz w:val="21"/>
                <w:highlight w:val="none"/>
                <w14:textFill>
                  <w14:solidFill>
                    <w14:schemeClr w14:val="tx1"/>
                  </w14:solidFill>
                </w14:textFill>
              </w:rPr>
              <w:t>3、声环境</w:t>
            </w:r>
          </w:p>
          <w:p w14:paraId="4F40F7F3">
            <w:pPr>
              <w:pStyle w:val="148"/>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FF0000"/>
                <w:highlight w:val="none"/>
                <w:lang w:val="en-US" w:eastAsia="zh-CN"/>
              </w:rPr>
              <w:t>根据《2024年黑龙江省生态环境质量状况》（2025年1月），鸡西市区域昼间声环境质量为二级，等效声级为53.6dB（A），道路交通昼间声环境质量为一级，等效声级为65.8dB（A），功能区昼间达标率100%，功能区夜间达标率100%。</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厂界外周边50米范围内声环境保护目标</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为厂区北侧敬老中心楼及西南侧银东村委会。</w:t>
            </w:r>
            <w:r>
              <w:rPr>
                <w:rFonts w:hint="default" w:ascii="Times New Roman" w:hAnsi="Times New Roman" w:eastAsia="宋体" w:cs="Times New Roman"/>
                <w:b w:val="0"/>
                <w:bCs/>
                <w:caps w:val="0"/>
                <w:color w:val="000000" w:themeColor="text1"/>
                <w:kern w:val="0"/>
                <w:sz w:val="21"/>
                <w:szCs w:val="21"/>
                <w:highlight w:val="none"/>
                <w:lang w:val="en-US" w:eastAsia="zh-CN" w:bidi="ar-SA"/>
                <w14:textFill>
                  <w14:solidFill>
                    <w14:schemeClr w14:val="tx1"/>
                  </w14:solidFill>
                </w14:textFill>
              </w:rPr>
              <w:t>结合鸡东县中心城区声环境功能区划分方案及现有工程环评批复，</w:t>
            </w:r>
            <w:r>
              <w:rPr>
                <w:rFonts w:hint="default" w:ascii="Times New Roman" w:hAnsi="Times New Roman" w:eastAsia="宋体" w:cs="Times New Roman"/>
                <w:color w:val="000000" w:themeColor="text1"/>
                <w:sz w:val="21"/>
                <w:szCs w:val="21"/>
                <w:highlight w:val="none"/>
                <w14:textFill>
                  <w14:solidFill>
                    <w14:schemeClr w14:val="tx1"/>
                  </w14:solidFill>
                </w14:textFill>
              </w:rPr>
              <w:t>厂界及敏感点处声环境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《声环境质量标准》(GB3096-2008)中2类区标准</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5054E2D">
            <w:pPr>
              <w:pStyle w:val="148"/>
              <w:keepNext w:val="0"/>
              <w:keepLines w:val="0"/>
              <w:suppressLineNumbers w:val="0"/>
              <w:spacing w:before="0" w:beforeAutospacing="0" w:after="0" w:afterAutospacing="0"/>
              <w:ind w:left="0" w:right="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（1）监测点布设</w:t>
            </w:r>
          </w:p>
          <w:p w14:paraId="72EAD409">
            <w:pPr>
              <w:pStyle w:val="148"/>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本项目厂界四周50m范围内有居民住宅声环境敏感点，本评价在声环境保护目标处进行监测，设置</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个监测点位，监测点位见表3-</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及图3-2。</w:t>
            </w:r>
          </w:p>
          <w:p w14:paraId="2BE3859E">
            <w:pPr>
              <w:pStyle w:val="70"/>
              <w:keepNext/>
              <w:keepLines w:val="0"/>
              <w:suppressLineNumbers w:val="0"/>
              <w:spacing w:before="0" w:beforeAutospacing="0" w:after="0" w:afterAutospacing="0" w:line="400" w:lineRule="exact"/>
              <w:ind w:left="0" w:right="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表3-</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声环境质量现状监测点位</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2"/>
              <w:gridCol w:w="3735"/>
              <w:gridCol w:w="2169"/>
            </w:tblGrid>
            <w:tr w14:paraId="6714F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7020A27B">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监测点位</w:t>
                  </w:r>
                </w:p>
              </w:tc>
              <w:tc>
                <w:tcPr>
                  <w:tcW w:w="2323" w:type="pct"/>
                  <w:vAlign w:val="center"/>
                </w:tcPr>
                <w:p w14:paraId="4E7C0863">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点位位置</w:t>
                  </w:r>
                </w:p>
              </w:tc>
              <w:tc>
                <w:tcPr>
                  <w:tcW w:w="1349" w:type="pct"/>
                  <w:vAlign w:val="center"/>
                </w:tcPr>
                <w:p w14:paraId="00818B0B">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监测内容</w:t>
                  </w:r>
                </w:p>
              </w:tc>
            </w:tr>
            <w:tr w14:paraId="003290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6513627A">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r>
                    <w:rPr>
                      <w:rFonts w:hint="default"/>
                      <w:color w:val="000000" w:themeColor="text1"/>
                      <w:sz w:val="18"/>
                      <w:szCs w:val="18"/>
                      <w:highlight w:val="none"/>
                      <w14:textFill>
                        <w14:solidFill>
                          <w14:schemeClr w14:val="tx1"/>
                        </w14:solidFill>
                      </w14:textFill>
                    </w:rPr>
                    <w:t>#</w:t>
                  </w:r>
                </w:p>
              </w:tc>
              <w:tc>
                <w:tcPr>
                  <w:tcW w:w="2323" w:type="pct"/>
                  <w:vAlign w:val="center"/>
                </w:tcPr>
                <w:p w14:paraId="47AB2245">
                  <w:pPr>
                    <w:keepNext w:val="0"/>
                    <w:keepLines w:val="0"/>
                    <w:suppressLineNumbers w:val="0"/>
                    <w:spacing w:before="0" w:beforeAutospacing="0" w:after="0" w:afterAutospacing="0"/>
                    <w:ind w:left="0" w:right="0"/>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银东村委会</w:t>
                  </w:r>
                </w:p>
              </w:tc>
              <w:tc>
                <w:tcPr>
                  <w:tcW w:w="1349" w:type="pct"/>
                  <w:vMerge w:val="restart"/>
                  <w:vAlign w:val="center"/>
                </w:tcPr>
                <w:p w14:paraId="4E2BC148">
                  <w:pPr>
                    <w:pStyle w:val="146"/>
                    <w:keepNext w:val="0"/>
                    <w:keepLines w:val="0"/>
                    <w:suppressLineNumbers w:val="0"/>
                    <w:spacing w:before="0" w:beforeAutospacing="0" w:after="0" w:afterAutospacing="0"/>
                    <w:ind w:left="0" w:right="0"/>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噪声</w:t>
                  </w:r>
                </w:p>
              </w:tc>
            </w:tr>
            <w:tr w14:paraId="6F8554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1326" w:type="pct"/>
                  <w:vAlign w:val="center"/>
                </w:tcPr>
                <w:p w14:paraId="3167AE24">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r>
                    <w:rPr>
                      <w:rFonts w:hint="eastAsia"/>
                      <w:color w:val="000000" w:themeColor="text1"/>
                      <w:sz w:val="18"/>
                      <w:szCs w:val="18"/>
                      <w:highlight w:val="none"/>
                      <w14:textFill>
                        <w14:solidFill>
                          <w14:schemeClr w14:val="tx1"/>
                        </w14:solidFill>
                      </w14:textFill>
                    </w:rPr>
                    <w:t>#</w:t>
                  </w:r>
                </w:p>
              </w:tc>
              <w:tc>
                <w:tcPr>
                  <w:tcW w:w="2323" w:type="pct"/>
                  <w:vAlign w:val="center"/>
                </w:tcPr>
                <w:p w14:paraId="5EC2C6F5">
                  <w:pPr>
                    <w:keepNext w:val="0"/>
                    <w:keepLines w:val="0"/>
                    <w:suppressLineNumbers w:val="0"/>
                    <w:spacing w:before="0" w:beforeAutospacing="0" w:after="0" w:afterAutospacing="0"/>
                    <w:ind w:left="0" w:right="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敬老中心楼</w:t>
                  </w:r>
                </w:p>
              </w:tc>
              <w:tc>
                <w:tcPr>
                  <w:tcW w:w="1349" w:type="pct"/>
                  <w:vMerge w:val="continue"/>
                  <w:vAlign w:val="center"/>
                </w:tcPr>
                <w:p w14:paraId="7868AC41">
                  <w:pPr>
                    <w:pStyle w:val="146"/>
                    <w:keepNext w:val="0"/>
                    <w:keepLines w:val="0"/>
                    <w:suppressLineNumbers w:val="0"/>
                    <w:spacing w:before="0" w:beforeAutospacing="0" w:after="0" w:afterAutospacing="0"/>
                    <w:ind w:left="0" w:right="0"/>
                    <w:rPr>
                      <w:rFonts w:hint="default"/>
                      <w:color w:val="000000" w:themeColor="text1"/>
                      <w:highlight w:val="none"/>
                      <w14:textFill>
                        <w14:solidFill>
                          <w14:schemeClr w14:val="tx1"/>
                        </w14:solidFill>
                      </w14:textFill>
                    </w:rPr>
                  </w:pPr>
                </w:p>
              </w:tc>
            </w:tr>
          </w:tbl>
          <w:p w14:paraId="31DC8478">
            <w:pPr>
              <w:pStyle w:val="148"/>
              <w:keepNext w:val="0"/>
              <w:keepLines w:val="0"/>
              <w:suppressLineNumbers w:val="0"/>
              <w:spacing w:before="0" w:beforeAutospacing="0" w:after="0" w:afterAutospacing="0"/>
              <w:ind w:left="0" w:right="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（2）监测时间与频率</w:t>
            </w:r>
          </w:p>
          <w:p w14:paraId="5EDD1484">
            <w:pPr>
              <w:pStyle w:val="148"/>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t>鸡西晟源环境检测有限公司</w:t>
            </w:r>
            <w:r>
              <w:rPr>
                <w:rFonts w:hint="default" w:ascii="Times New Roman" w:hAnsi="Times New Roman" w:eastAsia="宋体" w:cs="Times New Roman"/>
                <w:color w:val="000000" w:themeColor="text1"/>
                <w:highlight w:val="none"/>
                <w14:textFill>
                  <w14:solidFill>
                    <w14:schemeClr w14:val="tx1"/>
                  </w14:solidFill>
                </w14:textFill>
              </w:rPr>
              <w:t>于202</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年</w:t>
            </w:r>
            <w:r>
              <w:rPr>
                <w:rFonts w:hint="default"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highlight w:val="none"/>
                <w14:textFill>
                  <w14:solidFill>
                    <w14:schemeClr w14:val="tx1"/>
                  </w14:solidFill>
                </w14:textFill>
              </w:rPr>
              <w:t>日监测一天，昼夜各监测</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次。</w:t>
            </w:r>
          </w:p>
          <w:p w14:paraId="172A1353">
            <w:pPr>
              <w:pStyle w:val="148"/>
              <w:keepNext w:val="0"/>
              <w:keepLines w:val="0"/>
              <w:suppressLineNumbers w:val="0"/>
              <w:spacing w:before="0" w:beforeAutospacing="0" w:after="0" w:afterAutospacing="0" w:line="240" w:lineRule="auto"/>
              <w:ind w:left="0" w:right="0" w:firstLine="0" w:firstLineChars="0"/>
              <w:jc w:val="center"/>
              <w:rPr>
                <w:rFonts w:hint="default"/>
                <w:color w:val="000000" w:themeColor="text1"/>
                <w:highlight w:val="none"/>
                <w14:textFill>
                  <w14:solidFill>
                    <w14:schemeClr w14:val="tx1"/>
                  </w14:solidFill>
                </w14:textFill>
              </w:rPr>
            </w:pPr>
            <w:r>
              <w:rPr>
                <w:rFonts w:hint="default"/>
                <w:highlight w:val="none"/>
              </w:rPr>
              <w:drawing>
                <wp:anchor distT="0" distB="0" distL="114300" distR="114300" simplePos="0" relativeHeight="251680768" behindDoc="0" locked="0" layoutInCell="1" allowOverlap="1">
                  <wp:simplePos x="0" y="0"/>
                  <wp:positionH relativeFrom="column">
                    <wp:posOffset>1417320</wp:posOffset>
                  </wp:positionH>
                  <wp:positionV relativeFrom="paragraph">
                    <wp:posOffset>280035</wp:posOffset>
                  </wp:positionV>
                  <wp:extent cx="142240" cy="132715"/>
                  <wp:effectExtent l="0" t="0" r="10160" b="635"/>
                  <wp:wrapNone/>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12"/>
                          <a:stretch>
                            <a:fillRect/>
                          </a:stretch>
                        </pic:blipFill>
                        <pic:spPr>
                          <a:xfrm>
                            <a:off x="0" y="0"/>
                            <a:ext cx="142240" cy="132715"/>
                          </a:xfrm>
                          <a:prstGeom prst="rect">
                            <a:avLst/>
                          </a:prstGeom>
                          <a:noFill/>
                          <a:ln>
                            <a:noFill/>
                          </a:ln>
                        </pic:spPr>
                      </pic:pic>
                    </a:graphicData>
                  </a:graphic>
                </wp:anchor>
              </w:drawing>
            </w:r>
            <w:r>
              <w:rPr>
                <w:rFonts w:hint="default"/>
                <w:highlight w:val="none"/>
              </w:rPr>
              <w:drawing>
                <wp:anchor distT="0" distB="0" distL="114300" distR="114300" simplePos="0" relativeHeight="251681792" behindDoc="0" locked="0" layoutInCell="1" allowOverlap="1">
                  <wp:simplePos x="0" y="0"/>
                  <wp:positionH relativeFrom="column">
                    <wp:posOffset>1398270</wp:posOffset>
                  </wp:positionH>
                  <wp:positionV relativeFrom="paragraph">
                    <wp:posOffset>1829435</wp:posOffset>
                  </wp:positionV>
                  <wp:extent cx="208915" cy="194945"/>
                  <wp:effectExtent l="0" t="0" r="635" b="14605"/>
                  <wp:wrapNone/>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12"/>
                          <a:stretch>
                            <a:fillRect/>
                          </a:stretch>
                        </pic:blipFill>
                        <pic:spPr>
                          <a:xfrm>
                            <a:off x="0" y="0"/>
                            <a:ext cx="208915" cy="194945"/>
                          </a:xfrm>
                          <a:prstGeom prst="rect">
                            <a:avLst/>
                          </a:prstGeom>
                          <a:noFill/>
                          <a:ln>
                            <a:noFill/>
                          </a:ln>
                        </pic:spPr>
                      </pic:pic>
                    </a:graphicData>
                  </a:graphic>
                </wp:anchor>
              </w:drawing>
            </w:r>
            <w:r>
              <w:rPr>
                <w:rFonts w:hint="default"/>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3957320</wp:posOffset>
                      </wp:positionH>
                      <wp:positionV relativeFrom="paragraph">
                        <wp:posOffset>2059305</wp:posOffset>
                      </wp:positionV>
                      <wp:extent cx="1130300" cy="855345"/>
                      <wp:effectExtent l="4445" t="4445" r="8255" b="16510"/>
                      <wp:wrapNone/>
                      <wp:docPr id="94" name="文本框 94"/>
                      <wp:cNvGraphicFramePr/>
                      <a:graphic xmlns:a="http://schemas.openxmlformats.org/drawingml/2006/main">
                        <a:graphicData uri="http://schemas.microsoft.com/office/word/2010/wordprocessingShape">
                          <wps:wsp>
                            <wps:cNvSpPr txBox="1"/>
                            <wps:spPr>
                              <a:xfrm>
                                <a:off x="0" y="0"/>
                                <a:ext cx="1130300" cy="855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5C3414">
                                  <w:pPr>
                                    <w:jc w:val="center"/>
                                    <w:rPr>
                                      <w:rFonts w:hint="eastAsia"/>
                                      <w:lang w:val="en-US" w:eastAsia="zh-CN"/>
                                    </w:rPr>
                                  </w:pPr>
                                  <w:r>
                                    <w:rPr>
                                      <w:rFonts w:hint="eastAsia"/>
                                      <w:lang w:val="en-US" w:eastAsia="zh-CN"/>
                                    </w:rPr>
                                    <w:t>图例</w:t>
                                  </w:r>
                                </w:p>
                                <w:p w14:paraId="78A18CB3">
                                  <w:pPr>
                                    <w:jc w:val="both"/>
                                    <w:rPr>
                                      <w:rFonts w:hint="default"/>
                                      <w:lang w:val="en-US" w:eastAsia="zh-CN"/>
                                    </w:rPr>
                                  </w:pPr>
                                  <w:r>
                                    <w:rPr>
                                      <w:rFonts w:hint="eastAsia"/>
                                      <w:color w:val="FF0000"/>
                                      <w:lang w:val="en-US" w:eastAsia="zh-CN"/>
                                    </w:rPr>
                                    <w:t>□</w:t>
                                  </w:r>
                                  <w:r>
                                    <w:rPr>
                                      <w:rFonts w:hint="eastAsia"/>
                                      <w:lang w:val="en-US" w:eastAsia="zh-CN"/>
                                    </w:rPr>
                                    <w:t>项目位置</w:t>
                                  </w:r>
                                </w:p>
                                <w:p w14:paraId="7593069D">
                                  <w:pPr>
                                    <w:jc w:val="both"/>
                                    <w:rPr>
                                      <w:rFonts w:hint="eastAsia" w:eastAsia="宋体"/>
                                      <w:lang w:val="en-US" w:eastAsia="zh-CN"/>
                                    </w:rPr>
                                  </w:pPr>
                                  <w:r>
                                    <w:drawing>
                                      <wp:inline distT="0" distB="0" distL="114300" distR="114300">
                                        <wp:extent cx="302895" cy="282575"/>
                                        <wp:effectExtent l="0" t="0" r="1905" b="317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12"/>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wps:txbx>
                            <wps:bodyPr upright="1"/>
                          </wps:wsp>
                        </a:graphicData>
                      </a:graphic>
                    </wp:anchor>
                  </w:drawing>
                </mc:Choice>
                <mc:Fallback>
                  <w:pict>
                    <v:shape id="_x0000_s1026" o:spid="_x0000_s1026" o:spt="202" type="#_x0000_t202" style="position:absolute;left:0pt;margin-left:311.6pt;margin-top:162.15pt;height:67.35pt;width:89pt;z-index:251660288;mso-width-relative:page;mso-height-relative:page;" fillcolor="#FFFFFF" filled="t" stroked="t" coordsize="21600,21600" o:gfxdata="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UZ+I9oAAAALAQAADwAAAAAAAAABACAA&#10;AAAiAAAAZHJzL2Rvd25yZXYueG1sUEsBAhQAFAAAAAgAh07iQLJ59CALAgAAOAQAAA4AAAAAAAAA&#10;AQAgAAAAKQEAAGRycy9lMm9Eb2MueG1sUEsFBgAAAAAGAAYAWQEAAKYFAAAAAA==&#10;">
                      <v:fill on="t" focussize="0,0"/>
                      <v:stroke color="#000000" joinstyle="miter"/>
                      <v:imagedata o:title=""/>
                      <o:lock v:ext="edit" aspectratio="f"/>
                      <v:textbox>
                        <w:txbxContent>
                          <w:p w14:paraId="655C3414">
                            <w:pPr>
                              <w:jc w:val="center"/>
                              <w:rPr>
                                <w:rFonts w:hint="eastAsia"/>
                                <w:lang w:val="en-US" w:eastAsia="zh-CN"/>
                              </w:rPr>
                            </w:pPr>
                            <w:r>
                              <w:rPr>
                                <w:rFonts w:hint="eastAsia"/>
                                <w:lang w:val="en-US" w:eastAsia="zh-CN"/>
                              </w:rPr>
                              <w:t>图例</w:t>
                            </w:r>
                          </w:p>
                          <w:p w14:paraId="78A18CB3">
                            <w:pPr>
                              <w:jc w:val="both"/>
                              <w:rPr>
                                <w:rFonts w:hint="default"/>
                                <w:lang w:val="en-US" w:eastAsia="zh-CN"/>
                              </w:rPr>
                            </w:pPr>
                            <w:r>
                              <w:rPr>
                                <w:rFonts w:hint="eastAsia"/>
                                <w:color w:val="FF0000"/>
                                <w:lang w:val="en-US" w:eastAsia="zh-CN"/>
                              </w:rPr>
                              <w:t>□</w:t>
                            </w:r>
                            <w:r>
                              <w:rPr>
                                <w:rFonts w:hint="eastAsia"/>
                                <w:lang w:val="en-US" w:eastAsia="zh-CN"/>
                              </w:rPr>
                              <w:t>项目位置</w:t>
                            </w:r>
                          </w:p>
                          <w:p w14:paraId="7593069D">
                            <w:pPr>
                              <w:jc w:val="both"/>
                              <w:rPr>
                                <w:rFonts w:hint="eastAsia" w:eastAsia="宋体"/>
                                <w:lang w:val="en-US" w:eastAsia="zh-CN"/>
                              </w:rPr>
                            </w:pPr>
                            <w:r>
                              <w:drawing>
                                <wp:inline distT="0" distB="0" distL="114300" distR="114300">
                                  <wp:extent cx="302895" cy="282575"/>
                                  <wp:effectExtent l="0" t="0" r="1905" b="3175"/>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12"/>
                                          <a:stretch>
                                            <a:fillRect/>
                                          </a:stretch>
                                        </pic:blipFill>
                                        <pic:spPr>
                                          <a:xfrm>
                                            <a:off x="0" y="0"/>
                                            <a:ext cx="302895" cy="282575"/>
                                          </a:xfrm>
                                          <a:prstGeom prst="rect">
                                            <a:avLst/>
                                          </a:prstGeom>
                                          <a:noFill/>
                                          <a:ln>
                                            <a:noFill/>
                                          </a:ln>
                                        </pic:spPr>
                                      </pic:pic>
                                    </a:graphicData>
                                  </a:graphic>
                                </wp:inline>
                              </w:drawing>
                            </w:r>
                            <w:r>
                              <w:rPr>
                                <w:rFonts w:hint="eastAsia"/>
                                <w:lang w:val="en-US" w:eastAsia="zh-CN"/>
                              </w:rPr>
                              <w:t>监测点位</w:t>
                            </w:r>
                          </w:p>
                        </w:txbxContent>
                      </v:textbox>
                    </v:shape>
                  </w:pict>
                </mc:Fallback>
              </mc:AlternateContent>
            </w:r>
            <w:r>
              <w:rPr>
                <w:rFonts w:hint="default"/>
                <w:color w:val="000000" w:themeColor="text1"/>
                <w:highlight w:val="none"/>
                <w14:textFill>
                  <w14:solidFill>
                    <w14:schemeClr w14:val="tx1"/>
                  </w14:solidFill>
                </w14:textFill>
              </w:rPr>
              <w:drawing>
                <wp:inline distT="0" distB="0" distL="114300" distR="114300">
                  <wp:extent cx="5095240" cy="2814320"/>
                  <wp:effectExtent l="0" t="0" r="10160" b="508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5095240" cy="2814320"/>
                          </a:xfrm>
                          <a:prstGeom prst="rect">
                            <a:avLst/>
                          </a:prstGeom>
                          <a:noFill/>
                          <a:ln>
                            <a:noFill/>
                          </a:ln>
                        </pic:spPr>
                      </pic:pic>
                    </a:graphicData>
                  </a:graphic>
                </wp:inline>
              </w:drawing>
            </w:r>
          </w:p>
          <w:p w14:paraId="3D27CFC6">
            <w:pPr>
              <w:pStyle w:val="70"/>
              <w:keepNext/>
              <w:keepLines w:val="0"/>
              <w:suppressLineNumbers w:val="0"/>
              <w:spacing w:before="0" w:beforeAutospacing="0" w:after="0" w:afterAutospacing="0" w:line="400" w:lineRule="exact"/>
              <w:ind w:left="0" w:right="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图3-2  声环境监测点位示意图</w:t>
            </w:r>
          </w:p>
          <w:p w14:paraId="17379A58">
            <w:pPr>
              <w:pStyle w:val="14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（3）监测结果</w:t>
            </w:r>
          </w:p>
          <w:p w14:paraId="772095AB">
            <w:pPr>
              <w:pStyle w:val="14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监测结果见表3-</w:t>
            </w:r>
            <w:r>
              <w:rPr>
                <w:rFonts w:hint="eastAsia"/>
                <w:color w:val="000000" w:themeColor="text1"/>
                <w:highlight w:val="none"/>
                <w:lang w:val="en-US" w:eastAsia="zh-CN"/>
                <w14:textFill>
                  <w14:solidFill>
                    <w14:schemeClr w14:val="tx1"/>
                  </w14:solidFill>
                </w14:textFill>
              </w:rPr>
              <w:t>5</w:t>
            </w:r>
            <w:r>
              <w:rPr>
                <w:rFonts w:hint="default"/>
                <w:color w:val="000000" w:themeColor="text1"/>
                <w:highlight w:val="none"/>
                <w14:textFill>
                  <w14:solidFill>
                    <w14:schemeClr w14:val="tx1"/>
                  </w14:solidFill>
                </w14:textFill>
              </w:rPr>
              <w:t>。</w:t>
            </w:r>
          </w:p>
          <w:p w14:paraId="7B17F05F">
            <w:pPr>
              <w:pStyle w:val="70"/>
              <w:keepNext/>
              <w:keepLines w:val="0"/>
              <w:suppressLineNumbers w:val="0"/>
              <w:spacing w:before="0" w:beforeAutospacing="0" w:after="0" w:afterAutospacing="0" w:line="400" w:lineRule="exact"/>
              <w:ind w:left="0" w:right="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 xml:space="preserve">  声环境现状监测值</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5"/>
              <w:gridCol w:w="2366"/>
              <w:gridCol w:w="2005"/>
              <w:gridCol w:w="1771"/>
              <w:gridCol w:w="1223"/>
            </w:tblGrid>
            <w:tr w14:paraId="7E15F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Merge w:val="restart"/>
                  <w:vAlign w:val="center"/>
                </w:tcPr>
                <w:p w14:paraId="39AD853A">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序号</w:t>
                  </w:r>
                </w:p>
              </w:tc>
              <w:tc>
                <w:tcPr>
                  <w:tcW w:w="1473" w:type="pct"/>
                  <w:vMerge w:val="restart"/>
                  <w:vAlign w:val="center"/>
                </w:tcPr>
                <w:p w14:paraId="2820FA3E">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检测地点</w:t>
                  </w:r>
                </w:p>
              </w:tc>
              <w:tc>
                <w:tcPr>
                  <w:tcW w:w="2350" w:type="pct"/>
                  <w:gridSpan w:val="2"/>
                  <w:vAlign w:val="center"/>
                </w:tcPr>
                <w:p w14:paraId="47DF74EF">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检测结果</w:t>
                  </w:r>
                </w:p>
              </w:tc>
              <w:tc>
                <w:tcPr>
                  <w:tcW w:w="761" w:type="pct"/>
                  <w:vMerge w:val="restart"/>
                  <w:vAlign w:val="center"/>
                </w:tcPr>
                <w:p w14:paraId="13CCE06B">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单位</w:t>
                  </w:r>
                </w:p>
              </w:tc>
            </w:tr>
            <w:tr w14:paraId="389B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Merge w:val="continue"/>
                  <w:vAlign w:val="center"/>
                </w:tcPr>
                <w:p w14:paraId="32B11857">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1473" w:type="pct"/>
                  <w:vMerge w:val="continue"/>
                  <w:vAlign w:val="center"/>
                </w:tcPr>
                <w:p w14:paraId="60115065">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1248" w:type="pct"/>
                  <w:vAlign w:val="center"/>
                </w:tcPr>
                <w:p w14:paraId="4691C7AE">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昼间</w:t>
                  </w:r>
                </w:p>
              </w:tc>
              <w:tc>
                <w:tcPr>
                  <w:tcW w:w="1102" w:type="pct"/>
                  <w:vAlign w:val="center"/>
                </w:tcPr>
                <w:p w14:paraId="088EF006">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夜间</w:t>
                  </w:r>
                </w:p>
              </w:tc>
              <w:tc>
                <w:tcPr>
                  <w:tcW w:w="761" w:type="pct"/>
                  <w:vMerge w:val="continue"/>
                  <w:vAlign w:val="center"/>
                </w:tcPr>
                <w:p w14:paraId="5FC5150A">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r>
            <w:tr w14:paraId="6B495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Align w:val="center"/>
                </w:tcPr>
                <w:p w14:paraId="431B433E">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r>
                    <w:rPr>
                      <w:rFonts w:hint="default"/>
                      <w:color w:val="000000" w:themeColor="text1"/>
                      <w:sz w:val="18"/>
                      <w:szCs w:val="18"/>
                      <w:highlight w:val="none"/>
                      <w14:textFill>
                        <w14:solidFill>
                          <w14:schemeClr w14:val="tx1"/>
                        </w14:solidFill>
                      </w14:textFill>
                    </w:rPr>
                    <w:t>#</w:t>
                  </w:r>
                </w:p>
              </w:tc>
              <w:tc>
                <w:tcPr>
                  <w:tcW w:w="2366" w:type="dxa"/>
                  <w:vAlign w:val="center"/>
                </w:tcPr>
                <w:p w14:paraId="6BB97C92">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银东村委会</w:t>
                  </w:r>
                </w:p>
              </w:tc>
              <w:tc>
                <w:tcPr>
                  <w:tcW w:w="1248" w:type="pct"/>
                  <w:vAlign w:val="center"/>
                </w:tcPr>
                <w:p w14:paraId="46362507">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46.2</w:t>
                  </w:r>
                </w:p>
              </w:tc>
              <w:tc>
                <w:tcPr>
                  <w:tcW w:w="1102" w:type="pct"/>
                  <w:vAlign w:val="center"/>
                </w:tcPr>
                <w:p w14:paraId="28B7C29B">
                  <w:pPr>
                    <w:pStyle w:val="146"/>
                    <w:keepNext w:val="0"/>
                    <w:keepLines w:val="0"/>
                    <w:suppressLineNumbers w:val="0"/>
                    <w:spacing w:before="0" w:beforeAutospacing="0" w:after="0" w:afterAutospacing="0"/>
                    <w:ind w:left="0" w:right="0"/>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39.4</w:t>
                  </w:r>
                </w:p>
              </w:tc>
              <w:tc>
                <w:tcPr>
                  <w:tcW w:w="761" w:type="pct"/>
                  <w:vAlign w:val="center"/>
                </w:tcPr>
                <w:p w14:paraId="52AF1FEE">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dB（A）</w:t>
                  </w:r>
                </w:p>
              </w:tc>
            </w:tr>
            <w:tr w14:paraId="24CA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4" w:type="pct"/>
                  <w:vAlign w:val="center"/>
                </w:tcPr>
                <w:p w14:paraId="25CC48A5">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r>
                    <w:rPr>
                      <w:rFonts w:hint="eastAsia"/>
                      <w:color w:val="000000" w:themeColor="text1"/>
                      <w:sz w:val="18"/>
                      <w:szCs w:val="18"/>
                      <w:highlight w:val="none"/>
                      <w14:textFill>
                        <w14:solidFill>
                          <w14:schemeClr w14:val="tx1"/>
                        </w14:solidFill>
                      </w14:textFill>
                    </w:rPr>
                    <w:t>#</w:t>
                  </w:r>
                </w:p>
              </w:tc>
              <w:tc>
                <w:tcPr>
                  <w:tcW w:w="2366" w:type="dxa"/>
                  <w:vAlign w:val="center"/>
                </w:tcPr>
                <w:p w14:paraId="0A5F7760">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敬老中心楼</w:t>
                  </w:r>
                </w:p>
              </w:tc>
              <w:tc>
                <w:tcPr>
                  <w:tcW w:w="1248" w:type="pct"/>
                  <w:vAlign w:val="center"/>
                </w:tcPr>
                <w:p w14:paraId="25BAE065">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42.5</w:t>
                  </w:r>
                </w:p>
              </w:tc>
              <w:tc>
                <w:tcPr>
                  <w:tcW w:w="1102" w:type="pct"/>
                  <w:vAlign w:val="center"/>
                </w:tcPr>
                <w:p w14:paraId="7A606830">
                  <w:pPr>
                    <w:pStyle w:val="146"/>
                    <w:keepNext w:val="0"/>
                    <w:keepLines w:val="0"/>
                    <w:suppressLineNumbers w:val="0"/>
                    <w:spacing w:before="0" w:beforeAutospacing="0" w:after="0" w:afterAutospacing="0"/>
                    <w:ind w:left="0" w:right="0"/>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40.6</w:t>
                  </w:r>
                </w:p>
              </w:tc>
              <w:tc>
                <w:tcPr>
                  <w:tcW w:w="761" w:type="pct"/>
                  <w:vAlign w:val="center"/>
                </w:tcPr>
                <w:p w14:paraId="01D57A85">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dB（A）</w:t>
                  </w:r>
                </w:p>
              </w:tc>
            </w:tr>
          </w:tbl>
          <w:p w14:paraId="162D91B4">
            <w:pPr>
              <w:pStyle w:val="14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）评价结论</w:t>
            </w:r>
          </w:p>
          <w:p w14:paraId="2ECF5701">
            <w:pPr>
              <w:pStyle w:val="148"/>
              <w:keepNext w:val="0"/>
              <w:keepLines w:val="0"/>
              <w:suppressLineNumbers w:val="0"/>
              <w:spacing w:before="0" w:beforeAutospacing="0" w:after="0" w:afterAutospacing="0"/>
              <w:ind w:left="0" w:right="0" w:firstLine="480"/>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default"/>
                <w:color w:val="000000" w:themeColor="text1"/>
                <w:highlight w:val="none"/>
                <w14:textFill>
                  <w14:solidFill>
                    <w14:schemeClr w14:val="tx1"/>
                  </w14:solidFill>
                </w14:textFill>
              </w:rPr>
              <w:t>将环境噪声现状监测结果与标准比较，</w:t>
            </w:r>
            <w:r>
              <w:rPr>
                <w:rFonts w:hint="eastAsia"/>
                <w:color w:val="000000" w:themeColor="text1"/>
                <w:highlight w:val="none"/>
                <w14:textFill>
                  <w14:solidFill>
                    <w14:schemeClr w14:val="tx1"/>
                  </w14:solidFill>
                </w14:textFill>
              </w:rPr>
              <w:t>厂界及敏感点处</w:t>
            </w:r>
            <w:r>
              <w:rPr>
                <w:rFonts w:hint="default"/>
                <w:color w:val="000000" w:themeColor="text1"/>
                <w:szCs w:val="24"/>
                <w:highlight w:val="none"/>
                <w14:textFill>
                  <w14:solidFill>
                    <w14:schemeClr w14:val="tx1"/>
                  </w14:solidFill>
                </w14:textFill>
              </w:rPr>
              <w:t>声环境</w:t>
            </w:r>
            <w:r>
              <w:rPr>
                <w:rFonts w:hint="default"/>
                <w:color w:val="000000" w:themeColor="text1"/>
                <w:highlight w:val="none"/>
                <w14:textFill>
                  <w14:solidFill>
                    <w14:schemeClr w14:val="tx1"/>
                  </w14:solidFill>
                </w14:textFill>
              </w:rPr>
              <w:t>满足《声环境质量标准》(GB3096-2008)中2类区标准，项目所在区域声环境质量较好。</w:t>
            </w:r>
          </w:p>
          <w:p w14:paraId="395FAE37">
            <w:pPr>
              <w:pStyle w:val="4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22"/>
              <w:jc w:val="both"/>
              <w:textAlignment w:val="auto"/>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4、生态环境</w:t>
            </w:r>
          </w:p>
          <w:p w14:paraId="07830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000000" w:themeColor="text1"/>
                <w:kern w:val="0"/>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本项目用地范围内无生态环境保护目标，因此不进行生态现状调查。</w:t>
            </w:r>
          </w:p>
          <w:p w14:paraId="3D526567">
            <w:pPr>
              <w:pStyle w:val="4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22"/>
              <w:jc w:val="both"/>
              <w:textAlignment w:val="auto"/>
              <w:rPr>
                <w:rFonts w:hint="default"/>
                <w:b/>
                <w:color w:val="000000" w:themeColor="text1"/>
                <w:sz w:val="21"/>
                <w:szCs w:val="21"/>
                <w:highlight w:val="none"/>
                <w14:textFill>
                  <w14:solidFill>
                    <w14:schemeClr w14:val="tx1"/>
                  </w14:solidFill>
                </w14:textFill>
              </w:rPr>
            </w:pPr>
            <w:r>
              <w:rPr>
                <w:rFonts w:hint="default"/>
                <w:b/>
                <w:color w:val="000000" w:themeColor="text1"/>
                <w:sz w:val="21"/>
                <w:szCs w:val="21"/>
                <w:highlight w:val="none"/>
                <w14:textFill>
                  <w14:solidFill>
                    <w14:schemeClr w14:val="tx1"/>
                  </w14:solidFill>
                </w14:textFill>
              </w:rPr>
              <w:t>5、地下水、土壤环境</w:t>
            </w:r>
          </w:p>
          <w:p w14:paraId="3D14E8B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highlight w:val="none"/>
                <w:lang w:val="en-US"/>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本项目属于</w:t>
            </w:r>
            <w:r>
              <w:rPr>
                <w:rFonts w:hint="eastAsia"/>
                <w:color w:val="000000" w:themeColor="text1"/>
                <w:kern w:val="0"/>
                <w:sz w:val="21"/>
                <w:szCs w:val="21"/>
                <w:highlight w:val="none"/>
                <w:lang w:val="en-US" w:eastAsia="zh-CN"/>
                <w14:textFill>
                  <w14:solidFill>
                    <w14:schemeClr w14:val="tx1"/>
                  </w14:solidFill>
                </w14:textFill>
              </w:rPr>
              <w:t>农产品初加工</w:t>
            </w:r>
            <w:r>
              <w:rPr>
                <w:rFonts w:hint="default"/>
                <w:color w:val="000000" w:themeColor="text1"/>
                <w:kern w:val="0"/>
                <w:sz w:val="21"/>
                <w:szCs w:val="21"/>
                <w:highlight w:val="none"/>
                <w14:textFill>
                  <w14:solidFill>
                    <w14:schemeClr w14:val="tx1"/>
                  </w14:solidFill>
                </w14:textFill>
              </w:rPr>
              <w:t>项目，不存在土壤、地下水污染途径，因此，不进行土壤、地下水环境质量现状监测。</w:t>
            </w:r>
          </w:p>
        </w:tc>
      </w:tr>
      <w:tr w14:paraId="44C65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pct"/>
            <w:vAlign w:val="center"/>
          </w:tcPr>
          <w:p w14:paraId="066F78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环境保护目标</w:t>
            </w:r>
          </w:p>
        </w:tc>
        <w:tc>
          <w:tcPr>
            <w:tcW w:w="4547" w:type="pct"/>
            <w:vAlign w:val="center"/>
          </w:tcPr>
          <w:p w14:paraId="2361006F">
            <w:pPr>
              <w:keepNext w:val="0"/>
              <w:keepLines w:val="0"/>
              <w:suppressLineNumbers w:val="0"/>
              <w:spacing w:before="0" w:beforeAutospacing="0" w:after="0" w:afterAutospacing="0"/>
              <w:ind w:left="0" w:right="0" w:firstLine="420" w:firstLineChars="200"/>
              <w:jc w:val="left"/>
              <w:rPr>
                <w:rFonts w:hint="eastAsia"/>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本项目所在地无国家级、省、市级自然保护区、风景名胜区、文物保护区、饮用水源保护区，本项目500m范围内无地下水保护目标，附近银东村已拆迁，无居民水源地。总体上不因本项目的实施而改变区域环境现有功能，因此环境保护目标为一般环境保护区域，详见下表。</w:t>
            </w:r>
          </w:p>
          <w:p w14:paraId="0D83C23D">
            <w:pPr>
              <w:pStyle w:val="14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1、大气环境保护目标</w:t>
            </w:r>
          </w:p>
          <w:p w14:paraId="03B5BA8A">
            <w:pPr>
              <w:pStyle w:val="80"/>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表</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3-6</w:t>
            </w:r>
            <w:r>
              <w:rPr>
                <w:rFonts w:hint="default" w:ascii="Times New Roman" w:hAnsi="Times New Roman" w:cs="Times New Roman"/>
                <w:b/>
                <w:color w:val="000000" w:themeColor="text1"/>
                <w:sz w:val="21"/>
                <w:szCs w:val="21"/>
                <w:highlight w:val="none"/>
                <w14:textFill>
                  <w14:solidFill>
                    <w14:schemeClr w14:val="tx1"/>
                  </w14:solidFill>
                </w14:textFill>
              </w:rPr>
              <w:t xml:space="preserve"> 大气环境保护目标一览表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1021"/>
              <w:gridCol w:w="1279"/>
              <w:gridCol w:w="1267"/>
              <w:gridCol w:w="990"/>
              <w:gridCol w:w="727"/>
              <w:gridCol w:w="725"/>
              <w:gridCol w:w="730"/>
              <w:gridCol w:w="874"/>
            </w:tblGrid>
            <w:tr w14:paraId="17696E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7" w:type="pct"/>
                  <w:gridSpan w:val="2"/>
                  <w:vMerge w:val="restart"/>
                  <w:vAlign w:val="center"/>
                </w:tcPr>
                <w:p w14:paraId="663037D3">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名称</w:t>
                  </w:r>
                </w:p>
              </w:tc>
              <w:tc>
                <w:tcPr>
                  <w:tcW w:w="1584" w:type="pct"/>
                  <w:gridSpan w:val="2"/>
                  <w:tcBorders>
                    <w:bottom w:val="single" w:color="auto" w:sz="4" w:space="0"/>
                  </w:tcBorders>
                  <w:vAlign w:val="center"/>
                </w:tcPr>
                <w:p w14:paraId="4781499F">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中心坐标/</w:t>
                  </w:r>
                  <w:r>
                    <w:rPr>
                      <w:rFonts w:hint="eastAsia"/>
                      <w:color w:val="000000" w:themeColor="text1"/>
                      <w:sz w:val="18"/>
                      <w:szCs w:val="18"/>
                      <w:highlight w:val="none"/>
                      <w14:textFill>
                        <w14:solidFill>
                          <w14:schemeClr w14:val="tx1"/>
                        </w14:solidFill>
                      </w14:textFill>
                    </w:rPr>
                    <w:t>°</w:t>
                  </w:r>
                </w:p>
              </w:tc>
              <w:tc>
                <w:tcPr>
                  <w:tcW w:w="616" w:type="pct"/>
                  <w:vMerge w:val="restart"/>
                  <w:vAlign w:val="center"/>
                </w:tcPr>
                <w:p w14:paraId="57870F54">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保护对象</w:t>
                  </w:r>
                </w:p>
              </w:tc>
              <w:tc>
                <w:tcPr>
                  <w:tcW w:w="452" w:type="pct"/>
                  <w:vMerge w:val="restart"/>
                  <w:vAlign w:val="center"/>
                </w:tcPr>
                <w:p w14:paraId="6EC7EFC6">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保护内容</w:t>
                  </w:r>
                </w:p>
              </w:tc>
              <w:tc>
                <w:tcPr>
                  <w:tcW w:w="451" w:type="pct"/>
                  <w:vMerge w:val="restart"/>
                  <w:vAlign w:val="center"/>
                </w:tcPr>
                <w:p w14:paraId="39E3C484">
                  <w:pPr>
                    <w:keepNext w:val="0"/>
                    <w:keepLines w:val="0"/>
                    <w:suppressLineNumbers w:val="0"/>
                    <w:spacing w:before="0" w:beforeAutospacing="0" w:after="0" w:afterAutospacing="0"/>
                    <w:ind w:left="0" w:right="0"/>
                    <w:jc w:val="center"/>
                    <w:rPr>
                      <w:rFonts w:hint="default"/>
                      <w:color w:val="000000" w:themeColor="text1"/>
                      <w:spacing w:val="-11"/>
                      <w:sz w:val="18"/>
                      <w:szCs w:val="18"/>
                      <w:highlight w:val="none"/>
                      <w14:textFill>
                        <w14:solidFill>
                          <w14:schemeClr w14:val="tx1"/>
                        </w14:solidFill>
                      </w14:textFill>
                    </w:rPr>
                  </w:pPr>
                  <w:r>
                    <w:rPr>
                      <w:rFonts w:hint="default"/>
                      <w:color w:val="000000" w:themeColor="text1"/>
                      <w:spacing w:val="-11"/>
                      <w:sz w:val="18"/>
                      <w:szCs w:val="18"/>
                      <w:highlight w:val="none"/>
                      <w14:textFill>
                        <w14:solidFill>
                          <w14:schemeClr w14:val="tx1"/>
                        </w14:solidFill>
                      </w14:textFill>
                    </w:rPr>
                    <w:t>环境功能区</w:t>
                  </w:r>
                </w:p>
              </w:tc>
              <w:tc>
                <w:tcPr>
                  <w:tcW w:w="454" w:type="pct"/>
                  <w:vMerge w:val="restart"/>
                  <w:vAlign w:val="center"/>
                </w:tcPr>
                <w:p w14:paraId="0CE28A96">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相对厂</w:t>
                  </w:r>
                </w:p>
                <w:p w14:paraId="7093D404">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址方位</w:t>
                  </w:r>
                </w:p>
              </w:tc>
              <w:tc>
                <w:tcPr>
                  <w:tcW w:w="543" w:type="pct"/>
                  <w:vMerge w:val="restart"/>
                  <w:vAlign w:val="center"/>
                </w:tcPr>
                <w:p w14:paraId="2F7D23E4">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相对厂界</w:t>
                  </w:r>
                </w:p>
                <w:p w14:paraId="5B2120D5">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距离/m</w:t>
                  </w:r>
                </w:p>
              </w:tc>
            </w:tr>
            <w:tr w14:paraId="73FF5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7" w:type="pct"/>
                  <w:gridSpan w:val="2"/>
                  <w:vMerge w:val="continue"/>
                  <w:vAlign w:val="center"/>
                </w:tcPr>
                <w:p w14:paraId="56034F4C">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c>
                <w:tcPr>
                  <w:tcW w:w="795" w:type="pct"/>
                  <w:tcBorders>
                    <w:top w:val="single" w:color="auto" w:sz="4" w:space="0"/>
                  </w:tcBorders>
                  <w:vAlign w:val="center"/>
                </w:tcPr>
                <w:p w14:paraId="55DAC79E">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经度</w:t>
                  </w:r>
                </w:p>
              </w:tc>
              <w:tc>
                <w:tcPr>
                  <w:tcW w:w="788" w:type="pct"/>
                  <w:tcBorders>
                    <w:top w:val="single" w:color="auto" w:sz="4" w:space="0"/>
                  </w:tcBorders>
                  <w:vAlign w:val="center"/>
                </w:tcPr>
                <w:p w14:paraId="3D0467CF">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纬度</w:t>
                  </w:r>
                </w:p>
              </w:tc>
              <w:tc>
                <w:tcPr>
                  <w:tcW w:w="616" w:type="pct"/>
                  <w:vMerge w:val="continue"/>
                  <w:vAlign w:val="center"/>
                </w:tcPr>
                <w:p w14:paraId="18023462">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c>
                <w:tcPr>
                  <w:tcW w:w="452" w:type="pct"/>
                  <w:vMerge w:val="continue"/>
                  <w:vAlign w:val="center"/>
                </w:tcPr>
                <w:p w14:paraId="2D86EAAC">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c>
                <w:tcPr>
                  <w:tcW w:w="451" w:type="pct"/>
                  <w:vMerge w:val="continue"/>
                  <w:vAlign w:val="center"/>
                </w:tcPr>
                <w:p w14:paraId="3301A6A0">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c>
                <w:tcPr>
                  <w:tcW w:w="454" w:type="pct"/>
                  <w:vMerge w:val="continue"/>
                  <w:vAlign w:val="center"/>
                </w:tcPr>
                <w:p w14:paraId="126BDBBA">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c>
                <w:tcPr>
                  <w:tcW w:w="543" w:type="pct"/>
                  <w:vMerge w:val="continue"/>
                  <w:vAlign w:val="center"/>
                </w:tcPr>
                <w:p w14:paraId="7AECB72A">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p>
              </w:tc>
            </w:tr>
            <w:tr w14:paraId="1D3B96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262" w:type="pct"/>
                  <w:tcBorders>
                    <w:right w:val="single" w:color="auto" w:sz="4" w:space="0"/>
                  </w:tcBorders>
                  <w:vAlign w:val="center"/>
                </w:tcPr>
                <w:p w14:paraId="53779D52">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635" w:type="pct"/>
                  <w:tcBorders>
                    <w:left w:val="single" w:color="auto" w:sz="4" w:space="0"/>
                  </w:tcBorders>
                  <w:vAlign w:val="center"/>
                </w:tcPr>
                <w:p w14:paraId="2C64AB6F">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敬老中心楼</w:t>
                  </w:r>
                </w:p>
              </w:tc>
              <w:tc>
                <w:tcPr>
                  <w:tcW w:w="795" w:type="pct"/>
                  <w:vAlign w:val="center"/>
                </w:tcPr>
                <w:p w14:paraId="6F3671BB">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131.15223169</w:t>
                  </w:r>
                </w:p>
              </w:tc>
              <w:tc>
                <w:tcPr>
                  <w:tcW w:w="788" w:type="pct"/>
                  <w:vAlign w:val="center"/>
                </w:tcPr>
                <w:p w14:paraId="1E625B99">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45.24087128</w:t>
                  </w:r>
                </w:p>
              </w:tc>
              <w:tc>
                <w:tcPr>
                  <w:tcW w:w="616" w:type="pct"/>
                  <w:shd w:val="clear" w:color="auto" w:fill="auto"/>
                  <w:vAlign w:val="center"/>
                </w:tcPr>
                <w:p w14:paraId="774679A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14:textFill>
                        <w14:solidFill>
                          <w14:schemeClr w14:val="tx1"/>
                        </w14:solidFill>
                      </w14:textFill>
                    </w:rPr>
                    <w:t>农村人群区</w:t>
                  </w:r>
                </w:p>
              </w:tc>
              <w:tc>
                <w:tcPr>
                  <w:tcW w:w="452" w:type="pct"/>
                  <w:vAlign w:val="center"/>
                </w:tcPr>
                <w:p w14:paraId="6D8D29DE">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人群</w:t>
                  </w:r>
                </w:p>
              </w:tc>
              <w:tc>
                <w:tcPr>
                  <w:tcW w:w="451" w:type="pct"/>
                  <w:vAlign w:val="center"/>
                </w:tcPr>
                <w:p w14:paraId="7476C2E0">
                  <w:pPr>
                    <w:keepNext w:val="0"/>
                    <w:keepLines w:val="0"/>
                    <w:suppressLineNumbers w:val="0"/>
                    <w:spacing w:before="0" w:beforeAutospacing="0" w:after="0" w:afterAutospacing="0"/>
                    <w:ind w:left="0" w:right="0"/>
                    <w:jc w:val="center"/>
                    <w:rPr>
                      <w:rFonts w:hint="default"/>
                      <w:color w:val="000000" w:themeColor="text1"/>
                      <w:spacing w:val="-11"/>
                      <w:sz w:val="18"/>
                      <w:szCs w:val="18"/>
                      <w:highlight w:val="none"/>
                      <w14:textFill>
                        <w14:solidFill>
                          <w14:schemeClr w14:val="tx1"/>
                        </w14:solidFill>
                      </w14:textFill>
                    </w:rPr>
                  </w:pPr>
                  <w:r>
                    <w:rPr>
                      <w:rFonts w:hint="default"/>
                      <w:color w:val="000000" w:themeColor="text1"/>
                      <w:spacing w:val="-11"/>
                      <w:sz w:val="18"/>
                      <w:szCs w:val="18"/>
                      <w:highlight w:val="none"/>
                      <w14:textFill>
                        <w14:solidFill>
                          <w14:schemeClr w14:val="tx1"/>
                        </w14:solidFill>
                      </w14:textFill>
                    </w:rPr>
                    <w:t>二类区</w:t>
                  </w:r>
                </w:p>
              </w:tc>
              <w:tc>
                <w:tcPr>
                  <w:tcW w:w="454" w:type="pct"/>
                  <w:vAlign w:val="center"/>
                </w:tcPr>
                <w:p w14:paraId="666E263E">
                  <w:pPr>
                    <w:pStyle w:val="47"/>
                    <w:keepNext w:val="0"/>
                    <w:keepLines w:val="0"/>
                    <w:suppressLineNumbers w:val="0"/>
                    <w:spacing w:before="0" w:beforeAutospacing="0" w:after="0" w:afterAutospacing="0"/>
                    <w:ind w:left="0" w:right="0"/>
                    <w:jc w:val="center"/>
                    <w:rPr>
                      <w:rFonts w:hint="eastAsia" w:asci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cs="Times New Roman"/>
                      <w:color w:val="000000" w:themeColor="text1"/>
                      <w:sz w:val="18"/>
                      <w:szCs w:val="18"/>
                      <w:highlight w:val="none"/>
                      <w:lang w:val="en-US" w:eastAsia="zh-CN"/>
                      <w14:textFill>
                        <w14:solidFill>
                          <w14:schemeClr w14:val="tx1"/>
                        </w14:solidFill>
                      </w14:textFill>
                    </w:rPr>
                    <w:t>N</w:t>
                  </w:r>
                </w:p>
              </w:tc>
              <w:tc>
                <w:tcPr>
                  <w:tcW w:w="543" w:type="pct"/>
                  <w:vAlign w:val="center"/>
                </w:tcPr>
                <w:p w14:paraId="5A1E7329">
                  <w:pPr>
                    <w:pStyle w:val="4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35</w:t>
                  </w:r>
                </w:p>
              </w:tc>
            </w:tr>
            <w:tr w14:paraId="26511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8FBCCCD">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635" w:type="pct"/>
                  <w:tcBorders>
                    <w:left w:val="single" w:color="auto" w:sz="4" w:space="0"/>
                  </w:tcBorders>
                  <w:vAlign w:val="center"/>
                </w:tcPr>
                <w:p w14:paraId="4115C429">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银东村委会</w:t>
                  </w:r>
                </w:p>
              </w:tc>
              <w:tc>
                <w:tcPr>
                  <w:tcW w:w="795" w:type="pct"/>
                  <w:vAlign w:val="center"/>
                </w:tcPr>
                <w:p w14:paraId="3628A9F6">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131.15248919</w:t>
                  </w:r>
                </w:p>
              </w:tc>
              <w:tc>
                <w:tcPr>
                  <w:tcW w:w="788" w:type="pct"/>
                  <w:vAlign w:val="center"/>
                </w:tcPr>
                <w:p w14:paraId="6B2AF2D8">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45.23713925</w:t>
                  </w:r>
                </w:p>
              </w:tc>
              <w:tc>
                <w:tcPr>
                  <w:tcW w:w="616" w:type="pct"/>
                  <w:vAlign w:val="center"/>
                </w:tcPr>
                <w:p w14:paraId="69341757">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行政区域</w:t>
                  </w:r>
                </w:p>
              </w:tc>
              <w:tc>
                <w:tcPr>
                  <w:tcW w:w="452" w:type="pct"/>
                  <w:vAlign w:val="center"/>
                </w:tcPr>
                <w:p w14:paraId="7C77FFE4">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人群</w:t>
                  </w:r>
                </w:p>
              </w:tc>
              <w:tc>
                <w:tcPr>
                  <w:tcW w:w="451" w:type="pct"/>
                  <w:vAlign w:val="center"/>
                </w:tcPr>
                <w:p w14:paraId="156B7618">
                  <w:pPr>
                    <w:keepNext w:val="0"/>
                    <w:keepLines w:val="0"/>
                    <w:suppressLineNumbers w:val="0"/>
                    <w:spacing w:before="0" w:beforeAutospacing="0" w:after="0" w:afterAutospacing="0"/>
                    <w:ind w:left="0" w:right="0"/>
                    <w:jc w:val="center"/>
                    <w:rPr>
                      <w:rFonts w:hint="default"/>
                      <w:color w:val="000000" w:themeColor="text1"/>
                      <w:spacing w:val="-11"/>
                      <w:sz w:val="18"/>
                      <w:szCs w:val="18"/>
                      <w:highlight w:val="none"/>
                      <w14:textFill>
                        <w14:solidFill>
                          <w14:schemeClr w14:val="tx1"/>
                        </w14:solidFill>
                      </w14:textFill>
                    </w:rPr>
                  </w:pPr>
                  <w:r>
                    <w:rPr>
                      <w:rFonts w:hint="default"/>
                      <w:color w:val="000000" w:themeColor="text1"/>
                      <w:spacing w:val="-11"/>
                      <w:sz w:val="18"/>
                      <w:szCs w:val="18"/>
                      <w:highlight w:val="none"/>
                      <w14:textFill>
                        <w14:solidFill>
                          <w14:schemeClr w14:val="tx1"/>
                        </w14:solidFill>
                      </w14:textFill>
                    </w:rPr>
                    <w:t>二类区</w:t>
                  </w:r>
                </w:p>
              </w:tc>
              <w:tc>
                <w:tcPr>
                  <w:tcW w:w="454" w:type="pct"/>
                  <w:vAlign w:val="center"/>
                </w:tcPr>
                <w:p w14:paraId="48DF330C">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SW</w:t>
                  </w:r>
                </w:p>
              </w:tc>
              <w:tc>
                <w:tcPr>
                  <w:tcW w:w="543" w:type="pct"/>
                  <w:vAlign w:val="center"/>
                </w:tcPr>
                <w:p w14:paraId="4C5603AB">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紧邻</w:t>
                  </w:r>
                </w:p>
              </w:tc>
            </w:tr>
            <w:tr w14:paraId="29619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19381DC">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w:t>
                  </w:r>
                </w:p>
              </w:tc>
              <w:tc>
                <w:tcPr>
                  <w:tcW w:w="635" w:type="pct"/>
                  <w:tcBorders>
                    <w:left w:val="single" w:color="auto" w:sz="4" w:space="0"/>
                  </w:tcBorders>
                  <w:vAlign w:val="center"/>
                </w:tcPr>
                <w:p w14:paraId="11354EEA">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东北侧居民区</w:t>
                  </w:r>
                </w:p>
              </w:tc>
              <w:tc>
                <w:tcPr>
                  <w:tcW w:w="795" w:type="pct"/>
                  <w:vAlign w:val="center"/>
                </w:tcPr>
                <w:p w14:paraId="4CD29D2D">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131.15766048</w:t>
                  </w:r>
                </w:p>
              </w:tc>
              <w:tc>
                <w:tcPr>
                  <w:tcW w:w="788" w:type="pct"/>
                  <w:vAlign w:val="center"/>
                </w:tcPr>
                <w:p w14:paraId="53167482">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45.24289584</w:t>
                  </w:r>
                </w:p>
              </w:tc>
              <w:tc>
                <w:tcPr>
                  <w:tcW w:w="616" w:type="pct"/>
                  <w:vAlign w:val="center"/>
                </w:tcPr>
                <w:p w14:paraId="6268C464">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农村人群区</w:t>
                  </w:r>
                </w:p>
              </w:tc>
              <w:tc>
                <w:tcPr>
                  <w:tcW w:w="452" w:type="pct"/>
                  <w:vAlign w:val="center"/>
                </w:tcPr>
                <w:p w14:paraId="34593659">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人群</w:t>
                  </w:r>
                </w:p>
              </w:tc>
              <w:tc>
                <w:tcPr>
                  <w:tcW w:w="451" w:type="pct"/>
                  <w:vAlign w:val="center"/>
                </w:tcPr>
                <w:p w14:paraId="534DE237">
                  <w:pPr>
                    <w:keepNext w:val="0"/>
                    <w:keepLines w:val="0"/>
                    <w:suppressLineNumbers w:val="0"/>
                    <w:spacing w:before="0" w:beforeAutospacing="0" w:after="0" w:afterAutospacing="0"/>
                    <w:ind w:left="0" w:right="0"/>
                    <w:jc w:val="center"/>
                    <w:rPr>
                      <w:rFonts w:hint="default"/>
                      <w:color w:val="000000" w:themeColor="text1"/>
                      <w:spacing w:val="-11"/>
                      <w:sz w:val="18"/>
                      <w:szCs w:val="18"/>
                      <w:highlight w:val="none"/>
                      <w14:textFill>
                        <w14:solidFill>
                          <w14:schemeClr w14:val="tx1"/>
                        </w14:solidFill>
                      </w14:textFill>
                    </w:rPr>
                  </w:pPr>
                  <w:r>
                    <w:rPr>
                      <w:rFonts w:hint="default"/>
                      <w:color w:val="000000" w:themeColor="text1"/>
                      <w:spacing w:val="-11"/>
                      <w:sz w:val="18"/>
                      <w:szCs w:val="18"/>
                      <w:highlight w:val="none"/>
                      <w14:textFill>
                        <w14:solidFill>
                          <w14:schemeClr w14:val="tx1"/>
                        </w14:solidFill>
                      </w14:textFill>
                    </w:rPr>
                    <w:t>二类区</w:t>
                  </w:r>
                </w:p>
              </w:tc>
              <w:tc>
                <w:tcPr>
                  <w:tcW w:w="454" w:type="pct"/>
                  <w:vAlign w:val="center"/>
                </w:tcPr>
                <w:p w14:paraId="67118499">
                  <w:pPr>
                    <w:keepNext w:val="0"/>
                    <w:keepLines w:val="0"/>
                    <w:suppressLineNumbers w:val="0"/>
                    <w:spacing w:before="0" w:beforeAutospacing="0" w:after="0" w:afterAutospacing="0"/>
                    <w:ind w:left="0" w:right="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N</w:t>
                  </w:r>
                  <w:r>
                    <w:rPr>
                      <w:rFonts w:hint="eastAsia"/>
                      <w:color w:val="000000" w:themeColor="text1"/>
                      <w:sz w:val="18"/>
                      <w:szCs w:val="18"/>
                      <w:highlight w:val="none"/>
                      <w:lang w:val="en-US" w:eastAsia="zh-CN"/>
                      <w14:textFill>
                        <w14:solidFill>
                          <w14:schemeClr w14:val="tx1"/>
                        </w14:solidFill>
                      </w14:textFill>
                    </w:rPr>
                    <w:t>E</w:t>
                  </w:r>
                </w:p>
              </w:tc>
              <w:tc>
                <w:tcPr>
                  <w:tcW w:w="543" w:type="pct"/>
                  <w:vAlign w:val="center"/>
                </w:tcPr>
                <w:p w14:paraId="19ECE84F">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396</w:t>
                  </w:r>
                </w:p>
              </w:tc>
            </w:tr>
            <w:tr w14:paraId="2C17D5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2" w:type="pct"/>
                  <w:tcBorders>
                    <w:right w:val="single" w:color="auto" w:sz="4" w:space="0"/>
                  </w:tcBorders>
                  <w:vAlign w:val="center"/>
                </w:tcPr>
                <w:p w14:paraId="724EEB8D">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w:t>
                  </w:r>
                </w:p>
              </w:tc>
              <w:tc>
                <w:tcPr>
                  <w:tcW w:w="635" w:type="pct"/>
                  <w:tcBorders>
                    <w:left w:val="single" w:color="auto" w:sz="4" w:space="0"/>
                  </w:tcBorders>
                  <w:vAlign w:val="center"/>
                </w:tcPr>
                <w:p w14:paraId="6F5CF8B9">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北侧居民区</w:t>
                  </w:r>
                </w:p>
              </w:tc>
              <w:tc>
                <w:tcPr>
                  <w:tcW w:w="795" w:type="pct"/>
                  <w:vAlign w:val="center"/>
                </w:tcPr>
                <w:p w14:paraId="39E8D4AB">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131.15066528</w:t>
                  </w:r>
                </w:p>
              </w:tc>
              <w:tc>
                <w:tcPr>
                  <w:tcW w:w="788" w:type="pct"/>
                  <w:vAlign w:val="center"/>
                </w:tcPr>
                <w:p w14:paraId="5B59A7A4">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45.24534335</w:t>
                  </w:r>
                </w:p>
              </w:tc>
              <w:tc>
                <w:tcPr>
                  <w:tcW w:w="616" w:type="pct"/>
                  <w:vAlign w:val="center"/>
                </w:tcPr>
                <w:p w14:paraId="45F30C26">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农村人群区</w:t>
                  </w:r>
                </w:p>
              </w:tc>
              <w:tc>
                <w:tcPr>
                  <w:tcW w:w="452" w:type="pct"/>
                  <w:vAlign w:val="center"/>
                </w:tcPr>
                <w:p w14:paraId="5B782CC0">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人群</w:t>
                  </w:r>
                </w:p>
              </w:tc>
              <w:tc>
                <w:tcPr>
                  <w:tcW w:w="451" w:type="pct"/>
                  <w:vAlign w:val="center"/>
                </w:tcPr>
                <w:p w14:paraId="2DECFD3B">
                  <w:pPr>
                    <w:keepNext w:val="0"/>
                    <w:keepLines w:val="0"/>
                    <w:suppressLineNumbers w:val="0"/>
                    <w:spacing w:before="0" w:beforeAutospacing="0" w:after="0" w:afterAutospacing="0"/>
                    <w:ind w:left="0" w:right="0"/>
                    <w:jc w:val="center"/>
                    <w:rPr>
                      <w:rFonts w:hint="default"/>
                      <w:color w:val="000000" w:themeColor="text1"/>
                      <w:spacing w:val="-11"/>
                      <w:sz w:val="18"/>
                      <w:szCs w:val="18"/>
                      <w:highlight w:val="none"/>
                      <w14:textFill>
                        <w14:solidFill>
                          <w14:schemeClr w14:val="tx1"/>
                        </w14:solidFill>
                      </w14:textFill>
                    </w:rPr>
                  </w:pPr>
                  <w:r>
                    <w:rPr>
                      <w:rFonts w:hint="default"/>
                      <w:color w:val="000000" w:themeColor="text1"/>
                      <w:spacing w:val="-11"/>
                      <w:sz w:val="18"/>
                      <w:szCs w:val="18"/>
                      <w:highlight w:val="none"/>
                      <w14:textFill>
                        <w14:solidFill>
                          <w14:schemeClr w14:val="tx1"/>
                        </w14:solidFill>
                      </w14:textFill>
                    </w:rPr>
                    <w:t>二类区</w:t>
                  </w:r>
                </w:p>
              </w:tc>
              <w:tc>
                <w:tcPr>
                  <w:tcW w:w="454" w:type="pct"/>
                  <w:vAlign w:val="center"/>
                </w:tcPr>
                <w:p w14:paraId="619DBAE0">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N</w:t>
                  </w:r>
                </w:p>
              </w:tc>
              <w:tc>
                <w:tcPr>
                  <w:tcW w:w="543" w:type="pct"/>
                  <w:vAlign w:val="center"/>
                </w:tcPr>
                <w:p w14:paraId="56572EA0">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397</w:t>
                  </w:r>
                </w:p>
              </w:tc>
            </w:tr>
          </w:tbl>
          <w:p w14:paraId="033F7D2D">
            <w:pPr>
              <w:pStyle w:val="148"/>
              <w:keepNext w:val="0"/>
              <w:keepLines w:val="0"/>
              <w:suppressLineNumbers w:val="0"/>
              <w:spacing w:before="0" w:beforeAutospacing="0" w:after="0" w:afterAutospacing="0"/>
              <w:ind w:left="0" w:right="0" w:firstLine="480"/>
              <w:rPr>
                <w:rFonts w:hint="default"/>
                <w:color w:val="000000" w:themeColor="text1"/>
                <w:szCs w:val="24"/>
                <w:highlight w:val="none"/>
                <w14:textFill>
                  <w14:solidFill>
                    <w14:schemeClr w14:val="tx1"/>
                  </w14:solidFill>
                </w14:textFill>
              </w:rPr>
            </w:pPr>
            <w:r>
              <w:rPr>
                <w:rFonts w:hint="default"/>
                <w:color w:val="000000" w:themeColor="text1"/>
                <w:szCs w:val="24"/>
                <w:highlight w:val="none"/>
                <w14:textFill>
                  <w14:solidFill>
                    <w14:schemeClr w14:val="tx1"/>
                  </w14:solidFill>
                </w14:textFill>
              </w:rPr>
              <w:t>2、声环境保护目标</w:t>
            </w:r>
          </w:p>
          <w:p w14:paraId="7C11778B">
            <w:pPr>
              <w:pStyle w:val="70"/>
              <w:keepNext w:val="0"/>
              <w:keepLines w:val="0"/>
              <w:suppressLineNumbers w:val="0"/>
              <w:spacing w:before="0" w:beforeAutospacing="0" w:after="0" w:afterAutospacing="0" w:line="400" w:lineRule="exact"/>
              <w:ind w:left="0" w:right="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声环境保护目标一览表</w:t>
            </w:r>
          </w:p>
          <w:tbl>
            <w:tblPr>
              <w:tblStyle w:val="33"/>
              <w:tblW w:w="478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7"/>
              <w:gridCol w:w="1137"/>
              <w:gridCol w:w="1427"/>
              <w:gridCol w:w="1503"/>
              <w:gridCol w:w="1015"/>
              <w:gridCol w:w="531"/>
              <w:gridCol w:w="1343"/>
            </w:tblGrid>
            <w:tr w14:paraId="7AF3C1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5" w:hRule="atLeast"/>
                <w:jc w:val="center"/>
              </w:trPr>
              <w:tc>
                <w:tcPr>
                  <w:tcW w:w="473" w:type="pct"/>
                  <w:vMerge w:val="restart"/>
                  <w:vAlign w:val="center"/>
                </w:tcPr>
                <w:p w14:paraId="3EC34380">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序号</w:t>
                  </w:r>
                </w:p>
              </w:tc>
              <w:tc>
                <w:tcPr>
                  <w:tcW w:w="739" w:type="pct"/>
                  <w:vMerge w:val="restart"/>
                  <w:vAlign w:val="center"/>
                </w:tcPr>
                <w:p w14:paraId="0E259C1B">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声环境保护目标</w:t>
                  </w:r>
                  <w:r>
                    <w:rPr>
                      <w:rFonts w:hint="default"/>
                      <w:color w:val="000000" w:themeColor="text1"/>
                      <w:sz w:val="18"/>
                      <w:szCs w:val="18"/>
                      <w:highlight w:val="none"/>
                      <w14:textFill>
                        <w14:solidFill>
                          <w14:schemeClr w14:val="tx1"/>
                        </w14:solidFill>
                      </w14:textFill>
                    </w:rPr>
                    <w:t>名称</w:t>
                  </w:r>
                </w:p>
              </w:tc>
              <w:tc>
                <w:tcPr>
                  <w:tcW w:w="1906" w:type="pct"/>
                  <w:gridSpan w:val="2"/>
                  <w:vAlign w:val="center"/>
                </w:tcPr>
                <w:p w14:paraId="47B8ED08">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中心坐标/</w:t>
                  </w:r>
                  <w:r>
                    <w:rPr>
                      <w:rFonts w:hint="eastAsia"/>
                      <w:color w:val="000000" w:themeColor="text1"/>
                      <w:sz w:val="18"/>
                      <w:szCs w:val="18"/>
                      <w:highlight w:val="none"/>
                      <w14:textFill>
                        <w14:solidFill>
                          <w14:schemeClr w14:val="tx1"/>
                        </w14:solidFill>
                      </w14:textFill>
                    </w:rPr>
                    <w:t>°</w:t>
                  </w:r>
                </w:p>
              </w:tc>
              <w:tc>
                <w:tcPr>
                  <w:tcW w:w="660" w:type="pct"/>
                  <w:vMerge w:val="restart"/>
                  <w:vAlign w:val="center"/>
                </w:tcPr>
                <w:p w14:paraId="0304E135">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距</w:t>
                  </w:r>
                  <w:r>
                    <w:rPr>
                      <w:rFonts w:hint="default"/>
                      <w:color w:val="000000" w:themeColor="text1"/>
                      <w:sz w:val="18"/>
                      <w:szCs w:val="18"/>
                      <w:highlight w:val="none"/>
                      <w14:textFill>
                        <w14:solidFill>
                          <w14:schemeClr w14:val="tx1"/>
                        </w14:solidFill>
                      </w14:textFill>
                    </w:rPr>
                    <w:t>厂界</w:t>
                  </w:r>
                  <w:r>
                    <w:rPr>
                      <w:rFonts w:hint="eastAsia"/>
                      <w:color w:val="000000" w:themeColor="text1"/>
                      <w:sz w:val="18"/>
                      <w:szCs w:val="18"/>
                      <w:highlight w:val="none"/>
                      <w14:textFill>
                        <w14:solidFill>
                          <w14:schemeClr w14:val="tx1"/>
                        </w14:solidFill>
                      </w14:textFill>
                    </w:rPr>
                    <w:t>相对</w:t>
                  </w:r>
                  <w:r>
                    <w:rPr>
                      <w:rFonts w:hint="default"/>
                      <w:color w:val="000000" w:themeColor="text1"/>
                      <w:sz w:val="18"/>
                      <w:szCs w:val="18"/>
                      <w:highlight w:val="none"/>
                      <w14:textFill>
                        <w14:solidFill>
                          <w14:schemeClr w14:val="tx1"/>
                        </w14:solidFill>
                      </w14:textFill>
                    </w:rPr>
                    <w:t>距离/m</w:t>
                  </w:r>
                </w:p>
              </w:tc>
              <w:tc>
                <w:tcPr>
                  <w:tcW w:w="345" w:type="pct"/>
                  <w:vMerge w:val="restart"/>
                  <w:vAlign w:val="center"/>
                </w:tcPr>
                <w:p w14:paraId="45B95ABD">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方位</w:t>
                  </w:r>
                </w:p>
              </w:tc>
              <w:tc>
                <w:tcPr>
                  <w:tcW w:w="874" w:type="pct"/>
                  <w:vMerge w:val="restart"/>
                  <w:vAlign w:val="center"/>
                </w:tcPr>
                <w:p w14:paraId="5C5B5DA3">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环境</w:t>
                  </w:r>
                </w:p>
                <w:p w14:paraId="0B48A785">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功能区</w:t>
                  </w:r>
                </w:p>
              </w:tc>
            </w:tr>
            <w:tr w14:paraId="2A885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473" w:type="pct"/>
                  <w:vMerge w:val="continue"/>
                  <w:vAlign w:val="center"/>
                </w:tcPr>
                <w:p w14:paraId="14D703B1">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739" w:type="pct"/>
                  <w:vMerge w:val="continue"/>
                  <w:vAlign w:val="center"/>
                </w:tcPr>
                <w:p w14:paraId="5538F19B">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928" w:type="pct"/>
                  <w:vAlign w:val="center"/>
                </w:tcPr>
                <w:p w14:paraId="4456DC1B">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经度</w:t>
                  </w:r>
                </w:p>
              </w:tc>
              <w:tc>
                <w:tcPr>
                  <w:tcW w:w="978" w:type="pct"/>
                  <w:vAlign w:val="center"/>
                </w:tcPr>
                <w:p w14:paraId="59A14517">
                  <w:pPr>
                    <w:keepNext w:val="0"/>
                    <w:keepLines w:val="0"/>
                    <w:suppressLineNumbers w:val="0"/>
                    <w:spacing w:before="0" w:beforeAutospacing="0" w:after="0" w:afterAutospacing="0"/>
                    <w:ind w:left="-105" w:leftChars="-50" w:right="-105" w:rightChars="-5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纬度</w:t>
                  </w:r>
                </w:p>
              </w:tc>
              <w:tc>
                <w:tcPr>
                  <w:tcW w:w="660" w:type="pct"/>
                  <w:vMerge w:val="continue"/>
                  <w:vAlign w:val="center"/>
                </w:tcPr>
                <w:p w14:paraId="4EF02CAF">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345" w:type="pct"/>
                  <w:vMerge w:val="continue"/>
                  <w:vAlign w:val="center"/>
                </w:tcPr>
                <w:p w14:paraId="3443BCA9">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c>
                <w:tcPr>
                  <w:tcW w:w="874" w:type="pct"/>
                  <w:vMerge w:val="continue"/>
                  <w:vAlign w:val="center"/>
                </w:tcPr>
                <w:p w14:paraId="68CC279A">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p>
              </w:tc>
            </w:tr>
            <w:tr w14:paraId="487D88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3" w:type="pct"/>
                  <w:tcBorders>
                    <w:right w:val="single" w:color="auto" w:sz="4" w:space="0"/>
                  </w:tcBorders>
                  <w:vAlign w:val="center"/>
                </w:tcPr>
                <w:p w14:paraId="7D10CD11">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w:t>
                  </w:r>
                </w:p>
              </w:tc>
              <w:tc>
                <w:tcPr>
                  <w:tcW w:w="739" w:type="pct"/>
                  <w:tcBorders>
                    <w:left w:val="single" w:color="auto" w:sz="4" w:space="0"/>
                  </w:tcBorders>
                  <w:vAlign w:val="center"/>
                </w:tcPr>
                <w:p w14:paraId="6E80F416">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敬老中心楼</w:t>
                  </w:r>
                </w:p>
              </w:tc>
              <w:tc>
                <w:tcPr>
                  <w:tcW w:w="928" w:type="pct"/>
                  <w:vAlign w:val="center"/>
                </w:tcPr>
                <w:p w14:paraId="48486A7C">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131.15223169</w:t>
                  </w:r>
                </w:p>
              </w:tc>
              <w:tc>
                <w:tcPr>
                  <w:tcW w:w="978" w:type="pct"/>
                  <w:vAlign w:val="center"/>
                </w:tcPr>
                <w:p w14:paraId="16EA1277">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14:textFill>
                        <w14:solidFill>
                          <w14:schemeClr w14:val="tx1"/>
                        </w14:solidFill>
                      </w14:textFill>
                    </w:rPr>
                    <w:t>45.24087128</w:t>
                  </w:r>
                </w:p>
              </w:tc>
              <w:tc>
                <w:tcPr>
                  <w:tcW w:w="660" w:type="pct"/>
                  <w:vAlign w:val="center"/>
                </w:tcPr>
                <w:p w14:paraId="5BDFC31C">
                  <w:pPr>
                    <w:pStyle w:val="146"/>
                    <w:keepNext w:val="0"/>
                    <w:keepLines w:val="0"/>
                    <w:suppressLineNumbers w:val="0"/>
                    <w:spacing w:before="0" w:beforeAutospacing="0" w:after="0" w:afterAutospacing="0"/>
                    <w:ind w:left="0" w:right="0"/>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35</w:t>
                  </w:r>
                </w:p>
              </w:tc>
              <w:tc>
                <w:tcPr>
                  <w:tcW w:w="345" w:type="pct"/>
                  <w:vAlign w:val="center"/>
                </w:tcPr>
                <w:p w14:paraId="25971843">
                  <w:pPr>
                    <w:keepNext w:val="0"/>
                    <w:keepLines w:val="0"/>
                    <w:suppressLineNumbers w:val="0"/>
                    <w:spacing w:before="0" w:beforeAutospacing="0" w:after="0" w:afterAutospacing="0"/>
                    <w:ind w:left="0" w:right="0"/>
                    <w:jc w:val="center"/>
                    <w:rPr>
                      <w:rFonts w:hint="eastAsia" w:eastAsia="宋体"/>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14:textFill>
                        <w14:solidFill>
                          <w14:schemeClr w14:val="tx1"/>
                        </w14:solidFill>
                      </w14:textFill>
                    </w:rPr>
                    <w:t>N</w:t>
                  </w:r>
                </w:p>
              </w:tc>
              <w:tc>
                <w:tcPr>
                  <w:tcW w:w="874" w:type="pct"/>
                  <w:vAlign w:val="center"/>
                </w:tcPr>
                <w:p w14:paraId="015D617E">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2类</w:t>
                  </w:r>
                </w:p>
              </w:tc>
            </w:tr>
            <w:tr w14:paraId="5A00C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3" w:type="pct"/>
                  <w:tcBorders>
                    <w:right w:val="single" w:color="auto" w:sz="4" w:space="0"/>
                  </w:tcBorders>
                  <w:vAlign w:val="center"/>
                </w:tcPr>
                <w:p w14:paraId="04D30137">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w:t>
                  </w:r>
                </w:p>
              </w:tc>
              <w:tc>
                <w:tcPr>
                  <w:tcW w:w="739" w:type="pct"/>
                  <w:tcBorders>
                    <w:left w:val="single" w:color="auto" w:sz="4" w:space="0"/>
                  </w:tcBorders>
                  <w:vAlign w:val="center"/>
                </w:tcPr>
                <w:p w14:paraId="0CFF4D0D">
                  <w:pPr>
                    <w:keepNext w:val="0"/>
                    <w:keepLines w:val="0"/>
                    <w:suppressLineNumbers w:val="0"/>
                    <w:spacing w:before="0" w:beforeAutospacing="0" w:after="0" w:afterAutospacing="0"/>
                    <w:ind w:left="0" w:right="0"/>
                    <w:jc w:val="center"/>
                    <w:rPr>
                      <w:rFonts w:hint="default"/>
                      <w:color w:val="000000" w:themeColor="text1"/>
                      <w:sz w:val="18"/>
                      <w:szCs w:val="18"/>
                      <w:highlight w:val="none"/>
                      <w:lang w:val="en-US"/>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银东村委会</w:t>
                  </w:r>
                </w:p>
              </w:tc>
              <w:tc>
                <w:tcPr>
                  <w:tcW w:w="928" w:type="pct"/>
                  <w:vAlign w:val="center"/>
                </w:tcPr>
                <w:p w14:paraId="6C7AF5CD">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131.15248919</w:t>
                  </w:r>
                </w:p>
              </w:tc>
              <w:tc>
                <w:tcPr>
                  <w:tcW w:w="978" w:type="pct"/>
                  <w:vAlign w:val="center"/>
                </w:tcPr>
                <w:p w14:paraId="4EA688C9">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45.23713925</w:t>
                  </w:r>
                </w:p>
              </w:tc>
              <w:tc>
                <w:tcPr>
                  <w:tcW w:w="660" w:type="pct"/>
                  <w:vAlign w:val="center"/>
                </w:tcPr>
                <w:p w14:paraId="5C22644D">
                  <w:pPr>
                    <w:pStyle w:val="146"/>
                    <w:keepNext w:val="0"/>
                    <w:keepLines w:val="0"/>
                    <w:suppressLineNumbers w:val="0"/>
                    <w:spacing w:before="0" w:beforeAutospacing="0" w:after="0" w:afterAutospacing="0"/>
                    <w:ind w:left="0" w:right="0"/>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紧邻</w:t>
                  </w:r>
                </w:p>
              </w:tc>
              <w:tc>
                <w:tcPr>
                  <w:tcW w:w="345" w:type="pct"/>
                  <w:vAlign w:val="center"/>
                </w:tcPr>
                <w:p w14:paraId="64C1A42C">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SW</w:t>
                  </w:r>
                </w:p>
              </w:tc>
              <w:tc>
                <w:tcPr>
                  <w:tcW w:w="874" w:type="pct"/>
                  <w:vAlign w:val="center"/>
                </w:tcPr>
                <w:p w14:paraId="0548710A">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2类</w:t>
                  </w:r>
                </w:p>
              </w:tc>
            </w:tr>
          </w:tbl>
          <w:p w14:paraId="2438DAEE">
            <w:pPr>
              <w:pStyle w:val="2"/>
              <w:keepNext w:val="0"/>
              <w:keepLines w:val="0"/>
              <w:suppressLineNumbers w:val="0"/>
              <w:spacing w:beforeAutospacing="0" w:afterAutospacing="0"/>
              <w:ind w:left="0"/>
              <w:rPr>
                <w:rFonts w:hint="eastAsia"/>
                <w:color w:val="000000" w:themeColor="text1"/>
                <w:highlight w:val="none"/>
                <w:lang w:val="en-US" w:eastAsia="zh-CN"/>
                <w14:textFill>
                  <w14:solidFill>
                    <w14:schemeClr w14:val="tx1"/>
                  </w14:solidFill>
                </w14:textFill>
              </w:rPr>
            </w:pPr>
          </w:p>
        </w:tc>
      </w:tr>
      <w:tr w14:paraId="58785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452" w:type="pct"/>
            <w:vAlign w:val="center"/>
          </w:tcPr>
          <w:p w14:paraId="3A5643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污染物排放控制标准</w:t>
            </w:r>
          </w:p>
        </w:tc>
        <w:tc>
          <w:tcPr>
            <w:tcW w:w="4547" w:type="pct"/>
            <w:vAlign w:val="center"/>
          </w:tcPr>
          <w:p w14:paraId="210A10A4">
            <w:pPr>
              <w:pStyle w:val="93"/>
              <w:keepNext w:val="0"/>
              <w:keepLines w:val="0"/>
              <w:numPr>
                <w:ilvl w:val="0"/>
                <w:numId w:val="6"/>
              </w:numPr>
              <w:suppressLineNumbers w:val="0"/>
              <w:spacing w:before="0" w:beforeAutospacing="0" w:after="0" w:afterAutospacing="0" w:line="360" w:lineRule="auto"/>
              <w:ind w:left="0" w:right="0" w:firstLine="422" w:firstLineChars="200"/>
              <w:jc w:val="both"/>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废气</w:t>
            </w:r>
          </w:p>
          <w:p w14:paraId="294792A6">
            <w:pPr>
              <w:keepNext w:val="0"/>
              <w:keepLines w:val="0"/>
              <w:suppressLineNumbers w:val="0"/>
              <w:spacing w:before="0" w:beforeAutospacing="0" w:after="0" w:afterAutospacing="0" w:line="360" w:lineRule="auto"/>
              <w:ind w:left="0" w:right="0" w:firstLine="420" w:firstLineChars="200"/>
              <w:rPr>
                <w:rFonts w:hint="eastAsia"/>
                <w:color w:val="000000" w:themeColor="text1"/>
                <w:kern w:val="0"/>
                <w:sz w:val="24"/>
                <w:szCs w:val="20"/>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施工期</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废气</w:t>
            </w:r>
            <w:r>
              <w:rPr>
                <w:rFonts w:hint="eastAsia"/>
                <w:color w:val="000000" w:themeColor="text1"/>
                <w:kern w:val="0"/>
                <w:szCs w:val="21"/>
                <w:highlight w:val="none"/>
                <w14:textFill>
                  <w14:solidFill>
                    <w14:schemeClr w14:val="tx1"/>
                  </w14:solidFill>
                </w14:textFill>
              </w:rPr>
              <w:t>执行《大气污染物综合排放标准》（GB16297-1996）表2中无组织排放浓度限值要求，见表3-</w:t>
            </w:r>
            <w:r>
              <w:rPr>
                <w:rFonts w:hint="eastAsia"/>
                <w:color w:val="000000" w:themeColor="text1"/>
                <w:kern w:val="0"/>
                <w:szCs w:val="21"/>
                <w:highlight w:val="none"/>
                <w:lang w:val="en-US" w:eastAsia="zh-CN"/>
                <w14:textFill>
                  <w14:solidFill>
                    <w14:schemeClr w14:val="tx1"/>
                  </w14:solidFill>
                </w14:textFill>
              </w:rPr>
              <w:t>8</w:t>
            </w:r>
            <w:r>
              <w:rPr>
                <w:rFonts w:hint="eastAsia"/>
                <w:color w:val="000000" w:themeColor="text1"/>
                <w:kern w:val="0"/>
                <w:szCs w:val="21"/>
                <w:highlight w:val="none"/>
                <w14:textFill>
                  <w14:solidFill>
                    <w14:schemeClr w14:val="tx1"/>
                  </w14:solidFill>
                </w14:textFill>
              </w:rPr>
              <w:t>。</w:t>
            </w:r>
          </w:p>
          <w:p w14:paraId="1545539B">
            <w:pPr>
              <w:keepNext w:val="0"/>
              <w:keepLines w:val="0"/>
              <w:widowControl/>
              <w:suppressLineNumbers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lang w:bidi="ar"/>
                <w14:textFill>
                  <w14:solidFill>
                    <w14:schemeClr w14:val="tx1"/>
                  </w14:solidFill>
                </w14:textFill>
              </w:rPr>
              <w:t>表</w:t>
            </w:r>
            <w:r>
              <w:rPr>
                <w:rFonts w:hint="default"/>
                <w:b/>
                <w:bCs/>
                <w:color w:val="000000" w:themeColor="text1"/>
                <w:kern w:val="0"/>
                <w:szCs w:val="21"/>
                <w:highlight w:val="none"/>
                <w:lang w:bidi="ar"/>
                <w14:textFill>
                  <w14:solidFill>
                    <w14:schemeClr w14:val="tx1"/>
                  </w14:solidFill>
                </w14:textFill>
              </w:rPr>
              <w:t>3-</w:t>
            </w:r>
            <w:r>
              <w:rPr>
                <w:rFonts w:hint="eastAsia"/>
                <w:b/>
                <w:bCs/>
                <w:color w:val="000000" w:themeColor="text1"/>
                <w:kern w:val="0"/>
                <w:szCs w:val="21"/>
                <w:highlight w:val="none"/>
                <w:lang w:val="en-US" w:eastAsia="zh-CN" w:bidi="ar"/>
                <w14:textFill>
                  <w14:solidFill>
                    <w14:schemeClr w14:val="tx1"/>
                  </w14:solidFill>
                </w14:textFill>
              </w:rPr>
              <w:t>8</w:t>
            </w:r>
            <w:r>
              <w:rPr>
                <w:rFonts w:hint="default"/>
                <w:b/>
                <w:bCs/>
                <w:color w:val="000000" w:themeColor="text1"/>
                <w:kern w:val="0"/>
                <w:szCs w:val="21"/>
                <w:highlight w:val="none"/>
                <w:lang w:bidi="ar"/>
                <w14:textFill>
                  <w14:solidFill>
                    <w14:schemeClr w14:val="tx1"/>
                  </w14:solidFill>
                </w14:textFill>
              </w:rPr>
              <w:t xml:space="preserve"> </w:t>
            </w:r>
            <w:r>
              <w:rPr>
                <w:rFonts w:hint="eastAsia" w:ascii="宋体" w:hAnsi="宋体" w:cs="宋体"/>
                <w:b/>
                <w:bCs/>
                <w:color w:val="000000" w:themeColor="text1"/>
                <w:kern w:val="0"/>
                <w:szCs w:val="21"/>
                <w:highlight w:val="none"/>
                <w:lang w:bidi="ar"/>
                <w14:textFill>
                  <w14:solidFill>
                    <w14:schemeClr w14:val="tx1"/>
                  </w14:solidFill>
                </w14:textFill>
              </w:rPr>
              <w:t>颗粒物排放标准（单位：</w:t>
            </w:r>
            <w:r>
              <w:rPr>
                <w:rFonts w:hint="default"/>
                <w:b/>
                <w:bCs/>
                <w:color w:val="000000" w:themeColor="text1"/>
                <w:kern w:val="0"/>
                <w:szCs w:val="21"/>
                <w:highlight w:val="none"/>
                <w:lang w:bidi="ar"/>
                <w14:textFill>
                  <w14:solidFill>
                    <w14:schemeClr w14:val="tx1"/>
                  </w14:solidFill>
                </w14:textFill>
              </w:rPr>
              <w:t>mg/m</w:t>
            </w:r>
            <w:r>
              <w:rPr>
                <w:rFonts w:hint="default"/>
                <w:b/>
                <w:bCs/>
                <w:color w:val="000000" w:themeColor="text1"/>
                <w:kern w:val="0"/>
                <w:szCs w:val="21"/>
                <w:highlight w:val="none"/>
                <w:vertAlign w:val="superscript"/>
                <w:lang w:bidi="ar"/>
                <w14:textFill>
                  <w14:solidFill>
                    <w14:schemeClr w14:val="tx1"/>
                  </w14:solidFill>
                </w14:textFill>
              </w:rPr>
              <w:t>3</w:t>
            </w:r>
            <w:r>
              <w:rPr>
                <w:rFonts w:hint="eastAsia" w:ascii="宋体" w:hAnsi="宋体" w:cs="宋体"/>
                <w:b/>
                <w:bCs/>
                <w:color w:val="000000" w:themeColor="text1"/>
                <w:kern w:val="0"/>
                <w:szCs w:val="21"/>
                <w:highlight w:val="none"/>
                <w:lang w:bidi="ar"/>
                <w14:textFill>
                  <w14:solidFill>
                    <w14:schemeClr w14:val="tx1"/>
                  </w14:solidFill>
                </w14:textFill>
              </w:rPr>
              <w:t>）</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3249"/>
              <w:gridCol w:w="2546"/>
            </w:tblGrid>
            <w:tr w14:paraId="623EAC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7EACC336">
                  <w:pPr>
                    <w:keepNext w:val="0"/>
                    <w:keepLines w:val="0"/>
                    <w:suppressLineNumbers w:val="0"/>
                    <w:adjustRightInd w:val="0"/>
                    <w:snapToGrid w:val="0"/>
                    <w:spacing w:before="0" w:beforeAutospacing="0" w:after="0" w:afterAutospacing="0"/>
                    <w:ind w:left="0" w:right="0"/>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污染物</w:t>
                  </w:r>
                </w:p>
              </w:tc>
              <w:tc>
                <w:tcPr>
                  <w:tcW w:w="3220" w:type="dxa"/>
                  <w:tcBorders>
                    <w:tl2br w:val="nil"/>
                    <w:tr2bl w:val="nil"/>
                  </w:tcBorders>
                  <w:noWrap w:val="0"/>
                  <w:vAlign w:val="center"/>
                </w:tcPr>
                <w:p w14:paraId="120D4B8A">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无组织排放监控浓度限值</w:t>
                  </w:r>
                </w:p>
              </w:tc>
              <w:tc>
                <w:tcPr>
                  <w:tcW w:w="2523" w:type="dxa"/>
                  <w:tcBorders>
                    <w:tl2br w:val="nil"/>
                    <w:tr2bl w:val="nil"/>
                  </w:tcBorders>
                  <w:noWrap w:val="0"/>
                  <w:vAlign w:val="center"/>
                </w:tcPr>
                <w:p w14:paraId="38C3A97E">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最高允许排放浓度</w:t>
                  </w:r>
                </w:p>
              </w:tc>
            </w:tr>
            <w:tr w14:paraId="49C505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7630AD49">
                  <w:pPr>
                    <w:keepNext w:val="0"/>
                    <w:keepLines w:val="0"/>
                    <w:suppressLineNumbers w:val="0"/>
                    <w:adjustRightInd w:val="0"/>
                    <w:snapToGrid w:val="0"/>
                    <w:spacing w:before="0" w:beforeAutospacing="0" w:after="0" w:afterAutospacing="0"/>
                    <w:ind w:left="0" w:right="0"/>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颗粒物</w:t>
                  </w:r>
                </w:p>
              </w:tc>
              <w:tc>
                <w:tcPr>
                  <w:tcW w:w="3220" w:type="dxa"/>
                  <w:tcBorders>
                    <w:tl2br w:val="nil"/>
                    <w:tr2bl w:val="nil"/>
                  </w:tcBorders>
                  <w:noWrap w:val="0"/>
                  <w:vAlign w:val="center"/>
                </w:tcPr>
                <w:p w14:paraId="170C7431">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周界外浓度最高点</w:t>
                  </w:r>
                </w:p>
              </w:tc>
              <w:tc>
                <w:tcPr>
                  <w:tcW w:w="2523" w:type="dxa"/>
                  <w:tcBorders>
                    <w:tl2br w:val="nil"/>
                    <w:tr2bl w:val="nil"/>
                  </w:tcBorders>
                  <w:noWrap w:val="0"/>
                  <w:vAlign w:val="center"/>
                </w:tcPr>
                <w:p w14:paraId="6C64D4B5">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r>
          </w:tbl>
          <w:p w14:paraId="674ECA93">
            <w:pPr>
              <w:pStyle w:val="9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baseline"/>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热风炉废气：</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SO</w:t>
            </w:r>
            <w:r>
              <w:rPr>
                <w:rFonts w:hint="default" w:ascii="Times New Roman" w:hAnsi="Times New Roman" w:eastAsia="宋体" w:cs="Times New Roman"/>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排放浓度执行《工业炉窑大气污染物排放标准》（GB9078-1996）中的表4中的二级标准，</w:t>
            </w:r>
            <w:r>
              <w:rPr>
                <w:rFonts w:hint="eastAsia" w:cs="Times New Roman"/>
                <w:color w:val="000000" w:themeColor="text1"/>
                <w:kern w:val="0"/>
                <w:sz w:val="21"/>
                <w:szCs w:val="21"/>
                <w:highlight w:val="none"/>
                <w:lang w:eastAsia="zh-CN"/>
                <w14:textFill>
                  <w14:solidFill>
                    <w14:schemeClr w14:val="tx1"/>
                  </w14:solidFill>
                </w14:textFill>
              </w:rPr>
              <w:t>颗粒物</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排放浓度及烟气黑度</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执行《工业炉窑大气污染物排放标准》（GB9078-1996）中的表2中的二级标准。</w:t>
            </w:r>
            <w:r>
              <w:rPr>
                <w:rFonts w:hint="eastAsia" w:cs="Times New Roman"/>
                <w:color w:val="000000" w:themeColor="text1"/>
                <w:kern w:val="0"/>
                <w:sz w:val="21"/>
                <w:szCs w:val="21"/>
                <w:highlight w:val="none"/>
                <w:lang w:val="en-US" w:eastAsia="zh-CN"/>
                <w14:textFill>
                  <w14:solidFill>
                    <w14:schemeClr w14:val="tx1"/>
                  </w14:solidFill>
                </w14:textFill>
              </w:rPr>
              <w:t>热风炉周边无组织排放颗粒物浓度执行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《工业炉窑大气污染物排放标准》（GB9078-1996）中的表</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F9A2F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表3-</w:t>
            </w:r>
            <w:r>
              <w:rPr>
                <w:rFonts w:hint="eastAsia" w:cs="Times New Roman"/>
                <w:b/>
                <w:bCs/>
                <w:color w:val="000000" w:themeColor="text1"/>
                <w:kern w:val="0"/>
                <w:szCs w:val="21"/>
                <w:highlight w:val="none"/>
                <w:lang w:val="en-US" w:eastAsia="zh-CN"/>
                <w14:textFill>
                  <w14:solidFill>
                    <w14:schemeClr w14:val="tx1"/>
                  </w14:solidFill>
                </w14:textFill>
              </w:rPr>
              <w:t>9</w:t>
            </w:r>
            <w:r>
              <w:rPr>
                <w:rFonts w:hint="eastAsia" w:ascii="Times New Roman" w:hAnsi="Times New Roman" w:eastAsia="宋体" w:cs="Times New Roman"/>
                <w:b/>
                <w:bCs/>
                <w:color w:val="000000" w:themeColor="text1"/>
                <w:ker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工业炉窑大气污染物排放标准</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568"/>
              <w:gridCol w:w="2230"/>
              <w:gridCol w:w="2666"/>
            </w:tblGrid>
            <w:tr w14:paraId="3F640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10EDB269">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污染物项目</w:t>
                  </w:r>
                </w:p>
              </w:tc>
              <w:tc>
                <w:tcPr>
                  <w:tcW w:w="1388" w:type="pct"/>
                  <w:noWrap w:val="0"/>
                  <w:vAlign w:val="center"/>
                </w:tcPr>
                <w:p w14:paraId="04895F2D">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二级</w:t>
                  </w: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1659" w:type="pct"/>
                  <w:noWrap w:val="0"/>
                  <w:vAlign w:val="center"/>
                </w:tcPr>
                <w:p w14:paraId="35987BE8">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污染物排放监控位置</w:t>
                  </w:r>
                </w:p>
              </w:tc>
            </w:tr>
            <w:tr w14:paraId="7B327E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09B4970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颗粒物</w:t>
                  </w:r>
                </w:p>
              </w:tc>
              <w:tc>
                <w:tcPr>
                  <w:tcW w:w="1388" w:type="pct"/>
                  <w:noWrap w:val="0"/>
                  <w:vAlign w:val="center"/>
                </w:tcPr>
                <w:p w14:paraId="6536358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200</w:t>
                  </w:r>
                </w:p>
              </w:tc>
              <w:tc>
                <w:tcPr>
                  <w:tcW w:w="1659" w:type="pct"/>
                  <w:vMerge w:val="restart"/>
                  <w:noWrap w:val="0"/>
                  <w:vAlign w:val="center"/>
                </w:tcPr>
                <w:p w14:paraId="6BC37FD4">
                  <w:pPr>
                    <w:keepNext w:val="0"/>
                    <w:keepLines w:val="0"/>
                    <w:widowControl/>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bCs/>
                      <w:color w:val="000000" w:themeColor="text1"/>
                      <w:kern w:val="0"/>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烟囱</w:t>
                  </w:r>
                </w:p>
              </w:tc>
            </w:tr>
            <w:tr w14:paraId="271B4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1B765845">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二氧化硫</w:t>
                  </w:r>
                </w:p>
              </w:tc>
              <w:tc>
                <w:tcPr>
                  <w:tcW w:w="1388" w:type="pct"/>
                  <w:noWrap w:val="0"/>
                  <w:vAlign w:val="center"/>
                </w:tcPr>
                <w:p w14:paraId="6CDFCAA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850</w:t>
                  </w:r>
                </w:p>
              </w:tc>
              <w:tc>
                <w:tcPr>
                  <w:tcW w:w="1659" w:type="pct"/>
                  <w:vMerge w:val="continue"/>
                  <w:noWrap w:val="0"/>
                  <w:vAlign w:val="center"/>
                </w:tcPr>
                <w:p w14:paraId="3C82BC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r>
            <w:tr w14:paraId="00D7C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7CA4F87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eastAsia="zh-CN"/>
                      <w14:textFill>
                        <w14:solidFill>
                          <w14:schemeClr w14:val="tx1"/>
                        </w14:solidFill>
                      </w14:textFill>
                    </w:rPr>
                    <w:t>氮氧化物</w:t>
                  </w:r>
                </w:p>
              </w:tc>
              <w:tc>
                <w:tcPr>
                  <w:tcW w:w="1388" w:type="pct"/>
                  <w:noWrap w:val="0"/>
                  <w:vAlign w:val="center"/>
                </w:tcPr>
                <w:p w14:paraId="121D363F">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lang w:val="en-US" w:eastAsia="zh-CN"/>
                      <w14:textFill>
                        <w14:solidFill>
                          <w14:schemeClr w14:val="tx1"/>
                        </w14:solidFill>
                      </w14:textFill>
                    </w:rPr>
                    <w:t>-</w:t>
                  </w:r>
                </w:p>
              </w:tc>
              <w:tc>
                <w:tcPr>
                  <w:tcW w:w="1659" w:type="pct"/>
                  <w:vMerge w:val="continue"/>
                  <w:noWrap w:val="0"/>
                  <w:vAlign w:val="center"/>
                </w:tcPr>
                <w:p w14:paraId="558792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r>
            <w:tr w14:paraId="23A3BD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2" w:type="pct"/>
                  <w:gridSpan w:val="2"/>
                  <w:noWrap w:val="0"/>
                  <w:vAlign w:val="center"/>
                </w:tcPr>
                <w:p w14:paraId="69EF958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烟气黑度（</w:t>
                  </w:r>
                  <w:r>
                    <w:rPr>
                      <w:rFonts w:hint="eastAsia" w:ascii="Times New Roman" w:hAnsi="Times New Roman" w:eastAsia="宋体" w:cs="Times New Roman"/>
                      <w:bCs/>
                      <w:color w:val="000000" w:themeColor="text1"/>
                      <w:kern w:val="0"/>
                      <w:sz w:val="18"/>
                      <w:szCs w:val="18"/>
                      <w:highlight w:val="none"/>
                      <w:lang w:eastAsia="zh-CN"/>
                      <w14:textFill>
                        <w14:solidFill>
                          <w14:schemeClr w14:val="tx1"/>
                        </w14:solidFill>
                      </w14:textFill>
                    </w:rPr>
                    <w:t>林格曼黑度</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，级）</w:t>
                  </w:r>
                </w:p>
              </w:tc>
              <w:tc>
                <w:tcPr>
                  <w:tcW w:w="1388" w:type="pct"/>
                  <w:noWrap w:val="0"/>
                  <w:vAlign w:val="center"/>
                </w:tcPr>
                <w:p w14:paraId="279301D3">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≤1</w:t>
                  </w:r>
                </w:p>
              </w:tc>
              <w:tc>
                <w:tcPr>
                  <w:tcW w:w="1659" w:type="pct"/>
                  <w:noWrap w:val="0"/>
                  <w:vAlign w:val="center"/>
                </w:tcPr>
                <w:p w14:paraId="2934340C">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t>排放口</w:t>
                  </w:r>
                </w:p>
              </w:tc>
            </w:tr>
            <w:tr w14:paraId="3D3B0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Merge w:val="restart"/>
                  <w:noWrap w:val="0"/>
                  <w:vAlign w:val="center"/>
                </w:tcPr>
                <w:p w14:paraId="6A3148E3">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工业炉窑无组织排放颗粒物</w:t>
                  </w:r>
                </w:p>
              </w:tc>
              <w:tc>
                <w:tcPr>
                  <w:tcW w:w="1568" w:type="dxa"/>
                  <w:noWrap w:val="0"/>
                  <w:vAlign w:val="center"/>
                </w:tcPr>
                <w:p w14:paraId="77AF5CFB">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设置方式</w:t>
                  </w:r>
                </w:p>
              </w:tc>
              <w:tc>
                <w:tcPr>
                  <w:tcW w:w="2230" w:type="dxa"/>
                  <w:noWrap w:val="0"/>
                  <w:vAlign w:val="center"/>
                </w:tcPr>
                <w:p w14:paraId="6C34F0DC">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炉窑类别</w:t>
                  </w:r>
                </w:p>
              </w:tc>
              <w:tc>
                <w:tcPr>
                  <w:tcW w:w="2666" w:type="dxa"/>
                  <w:noWrap w:val="0"/>
                  <w:vAlign w:val="center"/>
                </w:tcPr>
                <w:p w14:paraId="7EDAAA08">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eastAsia"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无组织排放颗粒物最高允许浓度</w:t>
                  </w:r>
                  <w:r>
                    <w:rPr>
                      <w:rFonts w:hint="default" w:ascii="Times New Roman" w:hAnsi="Times New Roman" w:eastAsia="宋体" w:cs="Times New Roman"/>
                      <w:color w:val="000000" w:themeColor="text1"/>
                      <w:sz w:val="18"/>
                      <w:szCs w:val="18"/>
                      <w:highlight w:val="none"/>
                      <w14:textFill>
                        <w14:solidFill>
                          <w14:schemeClr w14:val="tx1"/>
                        </w14:solidFill>
                      </w14:textFill>
                    </w:rPr>
                    <w:t>（mg/m</w:t>
                  </w:r>
                  <w:r>
                    <w:rPr>
                      <w:rFonts w:hint="default" w:ascii="Times New Roman" w:hAnsi="Times New Roman" w:eastAsia="宋体" w:cs="Times New Roman"/>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r>
            <w:tr w14:paraId="416E3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8" w:type="dxa"/>
                  <w:vMerge w:val="continue"/>
                  <w:noWrap w:val="0"/>
                  <w:vAlign w:val="center"/>
                </w:tcPr>
                <w:p w14:paraId="2E90DE5F">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p>
              </w:tc>
              <w:tc>
                <w:tcPr>
                  <w:tcW w:w="1568" w:type="dxa"/>
                  <w:noWrap w:val="0"/>
                  <w:vAlign w:val="center"/>
                </w:tcPr>
                <w:p w14:paraId="5B3B39F6">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有车间厂房</w:t>
                  </w:r>
                </w:p>
              </w:tc>
              <w:tc>
                <w:tcPr>
                  <w:tcW w:w="2230" w:type="dxa"/>
                  <w:noWrap w:val="0"/>
                  <w:vAlign w:val="center"/>
                </w:tcPr>
                <w:p w14:paraId="3EDC324F">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bCs/>
                      <w:color w:val="000000" w:themeColor="text1"/>
                      <w:kern w:val="0"/>
                      <w:sz w:val="18"/>
                      <w:szCs w:val="18"/>
                      <w:highlight w:val="none"/>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其他炉窑</w:t>
                  </w:r>
                </w:p>
              </w:tc>
              <w:tc>
                <w:tcPr>
                  <w:tcW w:w="2666" w:type="dxa"/>
                  <w:noWrap w:val="0"/>
                  <w:vAlign w:val="center"/>
                </w:tcPr>
                <w:p w14:paraId="5D10A37D">
                  <w:pPr>
                    <w:keepNext w:val="0"/>
                    <w:keepLines w:val="0"/>
                    <w:widowControl/>
                    <w:suppressLineNumbers w:val="0"/>
                    <w:adjustRightInd w:val="0"/>
                    <w:snapToGrid w:val="0"/>
                    <w:spacing w:before="0" w:beforeAutospacing="0" w:after="0" w:afterAutospacing="0"/>
                    <w:ind w:left="0" w:leftChars="0" w:right="0" w:rightChars="0"/>
                    <w:jc w:val="center"/>
                    <w:textAlignment w:val="baseline"/>
                    <w:rPr>
                      <w:rFonts w:hint="eastAsia"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5</w:t>
                  </w:r>
                </w:p>
              </w:tc>
            </w:tr>
          </w:tbl>
          <w:p w14:paraId="0709B85A">
            <w:pPr>
              <w:pStyle w:val="9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rPr>
                <w:rStyle w:val="151"/>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spacing w:val="0"/>
                <w:kern w:val="0"/>
                <w:sz w:val="21"/>
                <w:szCs w:val="21"/>
                <w:highlight w:val="none"/>
                <w14:textFill>
                  <w14:solidFill>
                    <w14:schemeClr w14:val="tx1"/>
                  </w14:solidFill>
                </w14:textFill>
              </w:rPr>
              <w:t>厂界无组织颗粒物执行《大气污染物综合排放标准》（GB16297-1996）表2中无组织排放监控浓度限值</w:t>
            </w:r>
            <w:r>
              <w:rPr>
                <w:rFonts w:hint="default" w:ascii="Times New Roman" w:hAnsi="Times New Roman" w:cs="Times New Roman"/>
                <w:bCs/>
                <w:color w:val="000000" w:themeColor="text1"/>
                <w:spacing w:val="0"/>
                <w:sz w:val="21"/>
                <w:szCs w:val="21"/>
                <w:highlight w:val="none"/>
                <w14:textFill>
                  <w14:solidFill>
                    <w14:schemeClr w14:val="tx1"/>
                  </w14:solidFill>
                </w14:textFill>
              </w:rPr>
              <w:t>。</w:t>
            </w:r>
          </w:p>
          <w:p w14:paraId="3C29C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highlight w:val="none"/>
                <w14:textFill>
                  <w14:solidFill>
                    <w14:schemeClr w14:val="tx1"/>
                  </w14:solidFill>
                </w14:textFill>
              </w:rPr>
              <w:t>-</w:t>
            </w:r>
            <w:r>
              <w:rPr>
                <w:rFonts w:hint="eastAsia" w:cs="Times New Roman"/>
                <w:b/>
                <w:bCs/>
                <w:color w:val="000000" w:themeColor="text1"/>
                <w:kern w:val="0"/>
                <w:highlight w:val="none"/>
                <w:lang w:val="en-US" w:eastAsia="zh-CN"/>
                <w14:textFill>
                  <w14:solidFill>
                    <w14:schemeClr w14:val="tx1"/>
                  </w14:solidFill>
                </w14:textFill>
              </w:rPr>
              <w:t xml:space="preserve">10 </w:t>
            </w:r>
            <w:r>
              <w:rPr>
                <w:rFonts w:hint="default" w:ascii="Times New Roman" w:hAnsi="Times New Roman" w:eastAsia="宋体" w:cs="Times New Roman"/>
                <w:b/>
                <w:bCs/>
                <w:color w:val="000000" w:themeColor="text1"/>
                <w:kern w:val="0"/>
                <w:highlight w:val="none"/>
                <w14:textFill>
                  <w14:solidFill>
                    <w14:schemeClr w14:val="tx1"/>
                  </w14:solidFill>
                </w14:textFill>
              </w:rPr>
              <w:t>大气污染物综合排放标准</w:t>
            </w:r>
          </w:p>
          <w:tbl>
            <w:tblPr>
              <w:tblStyle w:val="3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3249"/>
              <w:gridCol w:w="2546"/>
            </w:tblGrid>
            <w:tr w14:paraId="7EAAF7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2220" w:type="dxa"/>
                  <w:tcBorders>
                    <w:tl2br w:val="nil"/>
                    <w:tr2bl w:val="nil"/>
                  </w:tcBorders>
                  <w:noWrap w:val="0"/>
                  <w:vAlign w:val="center"/>
                </w:tcPr>
                <w:p w14:paraId="4186BC09">
                  <w:pPr>
                    <w:keepNext w:val="0"/>
                    <w:keepLines w:val="0"/>
                    <w:suppressLineNumbers w:val="0"/>
                    <w:adjustRightInd w:val="0"/>
                    <w:snapToGrid w:val="0"/>
                    <w:spacing w:before="0" w:beforeAutospacing="0" w:after="0" w:afterAutospacing="0"/>
                    <w:ind w:left="0" w:right="0"/>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污染物</w:t>
                  </w:r>
                </w:p>
              </w:tc>
              <w:tc>
                <w:tcPr>
                  <w:tcW w:w="3220" w:type="dxa"/>
                  <w:tcBorders>
                    <w:tl2br w:val="nil"/>
                    <w:tr2bl w:val="nil"/>
                  </w:tcBorders>
                  <w:noWrap w:val="0"/>
                  <w:vAlign w:val="center"/>
                </w:tcPr>
                <w:p w14:paraId="0F45586B">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无组织排放监控浓度限值</w:t>
                  </w:r>
                </w:p>
              </w:tc>
              <w:tc>
                <w:tcPr>
                  <w:tcW w:w="2523" w:type="dxa"/>
                  <w:tcBorders>
                    <w:tl2br w:val="nil"/>
                    <w:tr2bl w:val="nil"/>
                  </w:tcBorders>
                  <w:noWrap w:val="0"/>
                  <w:vAlign w:val="center"/>
                </w:tcPr>
                <w:p w14:paraId="2188FE84">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最高允许排放浓度</w:t>
                  </w:r>
                </w:p>
              </w:tc>
            </w:tr>
            <w:tr w14:paraId="1E02D8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20" w:type="dxa"/>
                  <w:tcBorders>
                    <w:tl2br w:val="nil"/>
                    <w:tr2bl w:val="nil"/>
                  </w:tcBorders>
                  <w:noWrap w:val="0"/>
                  <w:vAlign w:val="center"/>
                </w:tcPr>
                <w:p w14:paraId="04FCB433">
                  <w:pPr>
                    <w:keepNext w:val="0"/>
                    <w:keepLines w:val="0"/>
                    <w:suppressLineNumbers w:val="0"/>
                    <w:adjustRightInd w:val="0"/>
                    <w:snapToGrid w:val="0"/>
                    <w:spacing w:before="0" w:beforeAutospacing="0" w:after="0" w:afterAutospacing="0"/>
                    <w:ind w:left="0" w:right="0"/>
                    <w:jc w:val="center"/>
                    <w:rPr>
                      <w:rFonts w:hint="eastAsia"/>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颗粒物</w:t>
                  </w:r>
                </w:p>
              </w:tc>
              <w:tc>
                <w:tcPr>
                  <w:tcW w:w="3220" w:type="dxa"/>
                  <w:tcBorders>
                    <w:tl2br w:val="nil"/>
                    <w:tr2bl w:val="nil"/>
                  </w:tcBorders>
                  <w:noWrap w:val="0"/>
                  <w:vAlign w:val="center"/>
                </w:tcPr>
                <w:p w14:paraId="1926D090">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周界外浓度最高点</w:t>
                  </w:r>
                </w:p>
              </w:tc>
              <w:tc>
                <w:tcPr>
                  <w:tcW w:w="2523" w:type="dxa"/>
                  <w:tcBorders>
                    <w:tl2br w:val="nil"/>
                    <w:tr2bl w:val="nil"/>
                  </w:tcBorders>
                  <w:noWrap w:val="0"/>
                  <w:vAlign w:val="center"/>
                </w:tcPr>
                <w:p w14:paraId="6779B8BA">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1.0</w:t>
                  </w:r>
                </w:p>
              </w:tc>
            </w:tr>
          </w:tbl>
          <w:p w14:paraId="0C124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2、废水</w:t>
            </w:r>
          </w:p>
          <w:p w14:paraId="0231D79B">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宋体" w:hAnsi="宋体" w:eastAsia="宋体" w:cs="宋体"/>
                <w:color w:val="000000" w:themeColor="text1"/>
                <w:spacing w:val="0"/>
                <w:kern w:val="24"/>
                <w:sz w:val="21"/>
                <w:szCs w:val="21"/>
                <w:highlight w:val="none"/>
                <w:lang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本项目生产过程中无废水产生，项目不新增员工，因此无新增废水。</w:t>
            </w:r>
          </w:p>
          <w:p w14:paraId="61716948">
            <w:pPr>
              <w:keepNext w:val="0"/>
              <w:keepLines w:val="0"/>
              <w:numPr>
                <w:ilvl w:val="0"/>
                <w:numId w:val="0"/>
              </w:numPr>
              <w:suppressLineNumbers w:val="0"/>
              <w:spacing w:before="0" w:beforeAutospacing="0" w:after="0" w:afterAutospacing="0" w:line="360" w:lineRule="auto"/>
              <w:ind w:left="0" w:right="0" w:rightChars="0" w:firstLine="422" w:firstLineChars="200"/>
              <w:rPr>
                <w:rFonts w:hint="default"/>
                <w:color w:val="000000" w:themeColor="text1"/>
                <w:highlight w:val="none"/>
                <w14:textFill>
                  <w14:solidFill>
                    <w14:schemeClr w14:val="tx1"/>
                  </w14:solidFill>
                </w14:textFill>
              </w:rPr>
            </w:pPr>
            <w:r>
              <w:rPr>
                <w:rFonts w:hint="eastAsia" w:cs="Times New Roman"/>
                <w:b/>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color w:val="000000" w:themeColor="text1"/>
                <w:szCs w:val="21"/>
                <w:highlight w:val="none"/>
                <w14:textFill>
                  <w14:solidFill>
                    <w14:schemeClr w14:val="tx1"/>
                  </w14:solidFill>
                </w14:textFill>
              </w:rPr>
              <w:t>噪声</w:t>
            </w:r>
          </w:p>
          <w:p w14:paraId="4C30AFF5">
            <w:pPr>
              <w:keepNext w:val="0"/>
              <w:keepLines w:val="0"/>
              <w:suppressLineNumbers w:val="0"/>
              <w:spacing w:before="0" w:beforeAutospacing="0" w:after="0" w:afterAutospacing="0" w:line="360" w:lineRule="auto"/>
              <w:ind w:left="0" w:right="0" w:firstLine="420" w:firstLineChars="200"/>
              <w:rPr>
                <w:rFonts w:hint="default"/>
                <w:b/>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施工期</w:t>
            </w:r>
            <w:r>
              <w:rPr>
                <w:rFonts w:hint="eastAsia"/>
                <w:color w:val="000000" w:themeColor="text1"/>
                <w:szCs w:val="21"/>
                <w:highlight w:val="none"/>
                <w:lang w:eastAsia="zh-CN"/>
                <w14:textFill>
                  <w14:solidFill>
                    <w14:schemeClr w14:val="tx1"/>
                  </w14:solidFill>
                </w14:textFill>
              </w:rPr>
              <w:t>：</w:t>
            </w:r>
            <w:r>
              <w:rPr>
                <w:rFonts w:hint="default"/>
                <w:color w:val="000000" w:themeColor="text1"/>
                <w:szCs w:val="21"/>
                <w:highlight w:val="none"/>
                <w14:textFill>
                  <w14:solidFill>
                    <w14:schemeClr w14:val="tx1"/>
                  </w14:solidFill>
                </w14:textFill>
              </w:rPr>
              <w:t>噪声执行《建筑施工场界环境噪声排放标准》（GB12523-2011）中噪声排放限值，具体标准见表3-</w:t>
            </w:r>
            <w:r>
              <w:rPr>
                <w:rFonts w:hint="eastAsia"/>
                <w:color w:val="000000" w:themeColor="text1"/>
                <w:szCs w:val="21"/>
                <w:highlight w:val="none"/>
                <w:lang w:val="en-US" w:eastAsia="zh-CN"/>
                <w14:textFill>
                  <w14:solidFill>
                    <w14:schemeClr w14:val="tx1"/>
                  </w14:solidFill>
                </w14:textFill>
              </w:rPr>
              <w:t>11</w:t>
            </w:r>
            <w:r>
              <w:rPr>
                <w:rFonts w:hint="default"/>
                <w:color w:val="000000" w:themeColor="text1"/>
                <w:szCs w:val="21"/>
                <w:highlight w:val="none"/>
                <w14:textFill>
                  <w14:solidFill>
                    <w14:schemeClr w14:val="tx1"/>
                  </w14:solidFill>
                </w14:textFill>
              </w:rPr>
              <w:t>。</w:t>
            </w:r>
          </w:p>
          <w:p w14:paraId="4E4AF8C1">
            <w:pPr>
              <w:keepNext w:val="0"/>
              <w:keepLines w:val="0"/>
              <w:suppressLineNumbers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b/>
                <w:color w:val="000000" w:themeColor="text1"/>
                <w:szCs w:val="21"/>
                <w:highlight w:val="none"/>
                <w14:textFill>
                  <w14:solidFill>
                    <w14:schemeClr w14:val="tx1"/>
                  </w14:solidFill>
                </w14:textFill>
              </w:rPr>
              <w:t>表3-</w:t>
            </w:r>
            <w:r>
              <w:rPr>
                <w:rFonts w:hint="eastAsia"/>
                <w:b/>
                <w:color w:val="000000" w:themeColor="text1"/>
                <w:szCs w:val="21"/>
                <w:highlight w:val="none"/>
                <w:lang w:val="en-US" w:eastAsia="zh-CN"/>
                <w14:textFill>
                  <w14:solidFill>
                    <w14:schemeClr w14:val="tx1"/>
                  </w14:solidFill>
                </w14:textFill>
              </w:rPr>
              <w:t xml:space="preserve">11 </w:t>
            </w:r>
            <w:r>
              <w:rPr>
                <w:rFonts w:hint="default"/>
                <w:b/>
                <w:color w:val="000000" w:themeColor="text1"/>
                <w:szCs w:val="21"/>
                <w:highlight w:val="none"/>
                <w14:textFill>
                  <w14:solidFill>
                    <w14:schemeClr w14:val="tx1"/>
                  </w14:solidFill>
                </w14:textFill>
              </w:rPr>
              <w:t>建筑施工场界环境噪声排放标准 单位：dB(A)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3992"/>
            </w:tblGrid>
            <w:tr w14:paraId="025EBE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7" w:type="dxa"/>
                  <w:tcBorders>
                    <w:tl2br w:val="nil"/>
                    <w:tr2bl w:val="nil"/>
                  </w:tcBorders>
                  <w:vAlign w:val="center"/>
                </w:tcPr>
                <w:p w14:paraId="751164F2">
                  <w:pPr>
                    <w:keepNext w:val="0"/>
                    <w:keepLines w:val="0"/>
                    <w:suppressLineNumbers w:val="0"/>
                    <w:adjustRightInd w:val="0"/>
                    <w:snapToGrid w:val="0"/>
                    <w:spacing w:before="0" w:beforeAutospacing="0" w:after="0" w:afterAutospacing="0"/>
                    <w:ind w:left="0" w:right="0"/>
                    <w:jc w:val="center"/>
                    <w:textAlignment w:val="baseline"/>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昼间</w:t>
                  </w:r>
                </w:p>
              </w:tc>
              <w:tc>
                <w:tcPr>
                  <w:tcW w:w="3789" w:type="dxa"/>
                  <w:tcBorders>
                    <w:tl2br w:val="nil"/>
                    <w:tr2bl w:val="nil"/>
                  </w:tcBorders>
                  <w:vAlign w:val="center"/>
                </w:tcPr>
                <w:p w14:paraId="4EA93F90">
                  <w:pPr>
                    <w:keepNext w:val="0"/>
                    <w:keepLines w:val="0"/>
                    <w:suppressLineNumbers w:val="0"/>
                    <w:adjustRightInd w:val="0"/>
                    <w:snapToGrid w:val="0"/>
                    <w:spacing w:before="0" w:beforeAutospacing="0" w:after="0" w:afterAutospacing="0"/>
                    <w:ind w:left="0" w:right="0"/>
                    <w:jc w:val="center"/>
                    <w:textAlignment w:val="baseline"/>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夜间</w:t>
                  </w:r>
                </w:p>
              </w:tc>
            </w:tr>
            <w:tr w14:paraId="0B309C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7" w:type="dxa"/>
                  <w:tcBorders>
                    <w:tl2br w:val="nil"/>
                    <w:tr2bl w:val="nil"/>
                  </w:tcBorders>
                  <w:vAlign w:val="center"/>
                </w:tcPr>
                <w:p w14:paraId="4B9D16C4">
                  <w:pPr>
                    <w:keepNext w:val="0"/>
                    <w:keepLines w:val="0"/>
                    <w:suppressLineNumbers w:val="0"/>
                    <w:adjustRightInd w:val="0"/>
                    <w:snapToGrid w:val="0"/>
                    <w:spacing w:before="0" w:beforeAutospacing="0" w:after="0" w:afterAutospacing="0"/>
                    <w:ind w:left="0" w:right="0"/>
                    <w:jc w:val="center"/>
                    <w:textAlignment w:val="baseline"/>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70</w:t>
                  </w:r>
                </w:p>
              </w:tc>
              <w:tc>
                <w:tcPr>
                  <w:tcW w:w="3789" w:type="dxa"/>
                  <w:tcBorders>
                    <w:tl2br w:val="nil"/>
                    <w:tr2bl w:val="nil"/>
                  </w:tcBorders>
                  <w:vAlign w:val="center"/>
                </w:tcPr>
                <w:p w14:paraId="3733D7B9">
                  <w:pPr>
                    <w:keepNext w:val="0"/>
                    <w:keepLines w:val="0"/>
                    <w:suppressLineNumbers w:val="0"/>
                    <w:adjustRightInd w:val="0"/>
                    <w:snapToGrid w:val="0"/>
                    <w:spacing w:before="0" w:beforeAutospacing="0" w:after="0" w:afterAutospacing="0"/>
                    <w:ind w:left="0" w:right="0"/>
                    <w:jc w:val="center"/>
                    <w:textAlignment w:val="baseline"/>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55</w:t>
                  </w:r>
                </w:p>
              </w:tc>
            </w:tr>
          </w:tbl>
          <w:p w14:paraId="6E8A80F9">
            <w:pPr>
              <w:pStyle w:val="104"/>
              <w:keepNext w:val="0"/>
              <w:keepLines w:val="0"/>
              <w:suppressLineNumbers w:val="0"/>
              <w:spacing w:before="0" w:beforeAutospacing="0" w:after="0" w:afterAutospacing="0"/>
              <w:ind w:left="0" w:leftChars="0" w:right="0" w:firstLine="420" w:firstLineChars="200"/>
              <w:jc w:val="both"/>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运营期：本项目属于2类声环境功能区（指以商业金融、集市贸易为主要功能，或者居住、商业、工业混杂，需要维护住宅安静的区域），故本项目运营期噪声排放</w:t>
            </w:r>
            <w:r>
              <w:rPr>
                <w:rFonts w:hint="default" w:ascii="Times New Roman" w:hAnsi="Times New Roman" w:cs="Times New Roman"/>
                <w:color w:val="000000" w:themeColor="text1"/>
                <w:szCs w:val="21"/>
                <w:highlight w:val="none"/>
                <w14:textFill>
                  <w14:solidFill>
                    <w14:schemeClr w14:val="tx1"/>
                  </w14:solidFill>
                </w14:textFill>
              </w:rPr>
              <w:t>执</w:t>
            </w:r>
            <w:r>
              <w:rPr>
                <w:rFonts w:hint="default" w:ascii="Times New Roman" w:hAnsi="Times New Roman" w:cs="Times New Roman"/>
                <w:color w:val="000000" w:themeColor="text1"/>
                <w:sz w:val="21"/>
                <w:szCs w:val="21"/>
                <w:highlight w:val="none"/>
                <w14:textFill>
                  <w14:solidFill>
                    <w14:schemeClr w14:val="tx1"/>
                  </w14:solidFill>
                </w14:textFill>
              </w:rPr>
              <w:t>行《</w:t>
            </w:r>
            <w:r>
              <w:rPr>
                <w:rFonts w:hint="default" w:ascii="Times New Roman" w:hAnsi="Times New Roman" w:cs="Times New Roman"/>
                <w:color w:val="000000" w:themeColor="text1"/>
                <w:szCs w:val="21"/>
                <w:highlight w:val="none"/>
                <w14:textFill>
                  <w14:solidFill>
                    <w14:schemeClr w14:val="tx1"/>
                  </w14:solidFill>
                </w14:textFill>
              </w:rPr>
              <w:t>工业企业厂界环境噪声排放标准》(GB12348-2008)表1中</w:t>
            </w:r>
            <w:r>
              <w:rPr>
                <w:rFonts w:hint="eastAsia" w:cs="Times New Roman"/>
                <w:color w:val="000000" w:themeColor="text1"/>
                <w:szCs w:val="21"/>
                <w:highlight w:val="none"/>
                <w:lang w:val="en-US" w:eastAsia="zh-CN"/>
                <w14:textFill>
                  <w14:solidFill>
                    <w14:schemeClr w14:val="tx1"/>
                  </w14:solidFill>
                </w14:textFill>
              </w:rPr>
              <w:t>2</w:t>
            </w:r>
            <w:r>
              <w:rPr>
                <w:rFonts w:hint="default"/>
                <w:color w:val="000000" w:themeColor="text1"/>
                <w:sz w:val="21"/>
                <w:szCs w:val="21"/>
                <w:highlight w:val="none"/>
                <w14:textFill>
                  <w14:solidFill>
                    <w14:schemeClr w14:val="tx1"/>
                  </w14:solidFill>
                </w14:textFill>
              </w:rPr>
              <w:t>类标准</w:t>
            </w:r>
            <w:r>
              <w:rPr>
                <w:rFonts w:hint="eastAsia"/>
                <w:color w:val="000000" w:themeColor="text1"/>
                <w:kern w:val="0"/>
                <w:szCs w:val="21"/>
                <w:highlight w:val="none"/>
                <w:lang w:val="en-US" w:eastAsia="zh-CN"/>
                <w14:textFill>
                  <w14:solidFill>
                    <w14:schemeClr w14:val="tx1"/>
                  </w14:solidFill>
                </w14:textFill>
              </w:rPr>
              <w:t>。</w:t>
            </w:r>
          </w:p>
          <w:p w14:paraId="30385FB5">
            <w:pPr>
              <w:pStyle w:val="69"/>
              <w:keepNext w:val="0"/>
              <w:keepLines w:val="0"/>
              <w:suppressLineNumbers w:val="0"/>
              <w:snapToGrid w:val="0"/>
              <w:spacing w:before="0" w:beforeLines="0" w:beforeAutospacing="0" w:after="0" w:afterLines="0" w:afterAutospacing="0" w:line="240" w:lineRule="auto"/>
              <w:ind w:left="0" w:right="0"/>
              <w:rPr>
                <w:rFonts w:hint="default" w:ascii="Times New Roman" w:hAnsi="Times New Roman" w:cs="Times New Roman"/>
                <w:snapToGrid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sz w:val="21"/>
                <w:szCs w:val="21"/>
                <w:highlight w:val="none"/>
                <w14:textFill>
                  <w14:solidFill>
                    <w14:schemeClr w14:val="tx1"/>
                  </w14:solidFill>
                </w14:textFill>
              </w:rPr>
              <w:t>表3-</w:t>
            </w:r>
            <w:r>
              <w:rPr>
                <w:rFonts w:hint="eastAsia" w:ascii="Times New Roman" w:hAnsi="Times New Roman" w:eastAsia="宋体" w:cs="Times New Roman"/>
                <w:b/>
                <w:bCs/>
                <w:snapToGrid w:val="0"/>
                <w:color w:val="000000" w:themeColor="text1"/>
                <w:spacing w:val="0"/>
                <w:sz w:val="21"/>
                <w:szCs w:val="21"/>
                <w:highlight w:val="none"/>
                <w:lang w:val="en-US" w:eastAsia="zh-CN"/>
                <w14:textFill>
                  <w14:solidFill>
                    <w14:schemeClr w14:val="tx1"/>
                  </w14:solidFill>
                </w14:textFill>
              </w:rPr>
              <w:t xml:space="preserve">12 </w:t>
            </w:r>
            <w:r>
              <w:rPr>
                <w:rFonts w:hint="default" w:ascii="Times New Roman" w:hAnsi="Times New Roman" w:eastAsia="宋体" w:cs="Times New Roman"/>
                <w:b/>
                <w:bCs/>
                <w:snapToGrid w:val="0"/>
                <w:color w:val="000000" w:themeColor="text1"/>
                <w:spacing w:val="0"/>
                <w:sz w:val="21"/>
                <w:szCs w:val="21"/>
                <w:highlight w:val="none"/>
                <w14:textFill>
                  <w14:solidFill>
                    <w14:schemeClr w14:val="tx1"/>
                  </w14:solidFill>
                </w14:textFill>
              </w:rPr>
              <w:t>工业企业厂界环境噪声排放标准</w:t>
            </w:r>
          </w:p>
          <w:tbl>
            <w:tblPr>
              <w:tblStyle w:val="3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2802"/>
              <w:gridCol w:w="2841"/>
            </w:tblGrid>
            <w:tr w14:paraId="508459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1487" w:type="pct"/>
                  <w:vMerge w:val="restart"/>
                  <w:tcBorders>
                    <w:tl2br w:val="nil"/>
                    <w:tr2bl w:val="nil"/>
                  </w:tcBorders>
                  <w:vAlign w:val="center"/>
                </w:tcPr>
                <w:p w14:paraId="25D99EE3">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类别</w:t>
                  </w:r>
                </w:p>
              </w:tc>
              <w:tc>
                <w:tcPr>
                  <w:tcW w:w="3512" w:type="pct"/>
                  <w:gridSpan w:val="2"/>
                  <w:tcBorders>
                    <w:tl2br w:val="nil"/>
                    <w:tr2bl w:val="nil"/>
                  </w:tcBorders>
                  <w:vAlign w:val="center"/>
                </w:tcPr>
                <w:p w14:paraId="171A61FC">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标准值（dB（A））</w:t>
                  </w:r>
                </w:p>
              </w:tc>
            </w:tr>
            <w:tr w14:paraId="044C1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pct"/>
                  <w:vMerge w:val="continue"/>
                  <w:tcBorders>
                    <w:tl2br w:val="nil"/>
                    <w:tr2bl w:val="nil"/>
                  </w:tcBorders>
                  <w:vAlign w:val="center"/>
                </w:tcPr>
                <w:p w14:paraId="4DA629C7">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p>
              </w:tc>
              <w:tc>
                <w:tcPr>
                  <w:tcW w:w="1744" w:type="pct"/>
                  <w:tcBorders>
                    <w:tl2br w:val="nil"/>
                    <w:tr2bl w:val="nil"/>
                  </w:tcBorders>
                  <w:vAlign w:val="center"/>
                </w:tcPr>
                <w:p w14:paraId="2065CC9C">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昼间</w:t>
                  </w:r>
                </w:p>
              </w:tc>
              <w:tc>
                <w:tcPr>
                  <w:tcW w:w="1768" w:type="pct"/>
                  <w:tcBorders>
                    <w:tl2br w:val="nil"/>
                    <w:tr2bl w:val="nil"/>
                  </w:tcBorders>
                  <w:vAlign w:val="center"/>
                </w:tcPr>
                <w:p w14:paraId="64057251">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夜间</w:t>
                  </w:r>
                </w:p>
              </w:tc>
            </w:tr>
            <w:tr w14:paraId="79750A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87" w:type="pct"/>
                  <w:tcBorders>
                    <w:tl2br w:val="nil"/>
                    <w:tr2bl w:val="nil"/>
                  </w:tcBorders>
                  <w:vAlign w:val="center"/>
                </w:tcPr>
                <w:p w14:paraId="19769BC3">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2类</w:t>
                  </w:r>
                </w:p>
              </w:tc>
              <w:tc>
                <w:tcPr>
                  <w:tcW w:w="1744" w:type="pct"/>
                  <w:tcBorders>
                    <w:tl2br w:val="nil"/>
                    <w:tr2bl w:val="nil"/>
                  </w:tcBorders>
                  <w:vAlign w:val="center"/>
                </w:tcPr>
                <w:p w14:paraId="2647DEA6">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60</w:t>
                  </w:r>
                </w:p>
              </w:tc>
              <w:tc>
                <w:tcPr>
                  <w:tcW w:w="1768" w:type="pct"/>
                  <w:tcBorders>
                    <w:tl2br w:val="nil"/>
                    <w:tr2bl w:val="nil"/>
                  </w:tcBorders>
                  <w:vAlign w:val="center"/>
                </w:tcPr>
                <w:p w14:paraId="11F4C0B2">
                  <w:pPr>
                    <w:pStyle w:val="83"/>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000000" w:themeColor="text1"/>
                      <w:sz w:val="18"/>
                      <w:szCs w:val="18"/>
                      <w:highlight w:val="none"/>
                      <w14:textFill>
                        <w14:solidFill>
                          <w14:schemeClr w14:val="tx1"/>
                        </w14:solidFill>
                      </w14:textFill>
                    </w:rPr>
                  </w:pPr>
                  <w:r>
                    <w:rPr>
                      <w:rFonts w:hint="default" w:ascii="Times New Roman" w:hAnsi="Times New Roman" w:cs="Times New Roman" w:eastAsiaTheme="minorEastAsia"/>
                      <w:color w:val="000000" w:themeColor="text1"/>
                      <w:sz w:val="18"/>
                      <w:szCs w:val="18"/>
                      <w:highlight w:val="none"/>
                      <w14:textFill>
                        <w14:solidFill>
                          <w14:schemeClr w14:val="tx1"/>
                        </w14:solidFill>
                      </w14:textFill>
                    </w:rPr>
                    <w:t>50</w:t>
                  </w:r>
                </w:p>
              </w:tc>
            </w:tr>
          </w:tbl>
          <w:p w14:paraId="52B87C25">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4、固体废物</w:t>
            </w:r>
          </w:p>
          <w:p w14:paraId="0EA0F3EB">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21"/>
                <w:szCs w:val="21"/>
                <w:highlight w:val="none"/>
                <w14:textFill>
                  <w14:solidFill>
                    <w14:schemeClr w14:val="tx1"/>
                  </w14:solidFill>
                </w14:textFill>
              </w:rPr>
              <w:t>一般固体废物处置执行《一般工业固体废物贮存和填埋污染控制标准》（GB18599-2020）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《固体废物分类与代码</w:t>
            </w:r>
            <w:r>
              <w:rPr>
                <w:rFonts w:hint="eastAsia"/>
                <w:bCs/>
                <w:color w:val="000000" w:themeColor="text1"/>
                <w:szCs w:val="21"/>
                <w:highlight w:val="none"/>
                <w:lang w:eastAsia="zh-CN"/>
                <w14:textFill>
                  <w14:solidFill>
                    <w14:schemeClr w14:val="tx1"/>
                  </w14:solidFill>
                </w14:textFill>
              </w:rPr>
              <w:t>目录</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eastAsia="zh-CN"/>
                <w14:textFill>
                  <w14:solidFill>
                    <w14:schemeClr w14:val="tx1"/>
                  </w14:solidFill>
                </w14:textFill>
              </w:rPr>
              <w:t>公告</w:t>
            </w:r>
            <w:r>
              <w:rPr>
                <w:rFonts w:hint="eastAsia"/>
                <w:bCs/>
                <w:color w:val="000000" w:themeColor="text1"/>
                <w:szCs w:val="21"/>
                <w:highlight w:val="none"/>
                <w:lang w:val="en-US" w:eastAsia="zh-CN"/>
                <w14:textFill>
                  <w14:solidFill>
                    <w14:schemeClr w14:val="tx1"/>
                  </w14:solidFill>
                </w14:textFill>
              </w:rPr>
              <w:t>2024年第4号</w:t>
            </w:r>
            <w:r>
              <w:rPr>
                <w:rFonts w:hint="eastAsia"/>
                <w:bCs/>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kern w:val="21"/>
                <w:szCs w:val="21"/>
                <w:highlight w:val="none"/>
                <w14:textFill>
                  <w14:solidFill>
                    <w14:schemeClr w14:val="tx1"/>
                  </w14:solidFill>
                </w14:textFill>
              </w:rPr>
              <w:t>。</w:t>
            </w:r>
          </w:p>
        </w:tc>
      </w:tr>
      <w:tr w14:paraId="6FC7E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7" w:hRule="atLeast"/>
          <w:jc w:val="center"/>
        </w:trPr>
        <w:tc>
          <w:tcPr>
            <w:tcW w:w="452" w:type="pct"/>
            <w:tcBorders>
              <w:bottom w:val="single" w:color="auto" w:sz="4" w:space="0"/>
            </w:tcBorders>
            <w:vAlign w:val="center"/>
          </w:tcPr>
          <w:p w14:paraId="72ADBB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总量控制指标</w:t>
            </w:r>
          </w:p>
        </w:tc>
        <w:tc>
          <w:tcPr>
            <w:tcW w:w="4547" w:type="pct"/>
            <w:tcBorders>
              <w:bottom w:val="single" w:color="auto" w:sz="4" w:space="0"/>
            </w:tcBorders>
            <w:vAlign w:val="center"/>
          </w:tcPr>
          <w:p w14:paraId="598492E1">
            <w:pPr>
              <w:keepNext w:val="0"/>
              <w:keepLines w:val="0"/>
              <w:suppressLineNumbers w:val="0"/>
              <w:tabs>
                <w:tab w:val="left" w:pos="5046"/>
              </w:tabs>
              <w:spacing w:before="0" w:beforeAutospacing="0" w:after="0" w:afterAutospacing="0"/>
              <w:ind w:left="0" w:right="0"/>
              <w:jc w:val="center"/>
              <w:rPr>
                <w:rFonts w:hint="eastAsia" w:cs="Times New Roman"/>
                <w:color w:val="000000" w:themeColor="text1"/>
                <w:kern w:val="0"/>
                <w:szCs w:val="21"/>
                <w:highlight w:val="none"/>
                <w:lang w:val="en-US" w:eastAsia="zh-CN"/>
                <w14:textFill>
                  <w14:solidFill>
                    <w14:schemeClr w14:val="tx1"/>
                  </w14:solidFill>
                </w14:textFill>
              </w:rPr>
            </w:pPr>
            <w:r>
              <w:rPr>
                <w:rFonts w:hint="eastAsia"/>
                <w:b/>
                <w:color w:val="000000" w:themeColor="text1"/>
                <w:szCs w:val="21"/>
                <w:highlight w:val="none"/>
                <w14:textFill>
                  <w14:solidFill>
                    <w14:schemeClr w14:val="tx1"/>
                  </w14:solidFill>
                </w14:textFill>
              </w:rPr>
              <w:t>表</w:t>
            </w:r>
            <w:r>
              <w:rPr>
                <w:rFonts w:hint="default"/>
                <w:b/>
                <w:color w:val="000000" w:themeColor="text1"/>
                <w:szCs w:val="21"/>
                <w:highlight w:val="none"/>
                <w14:textFill>
                  <w14:solidFill>
                    <w14:schemeClr w14:val="tx1"/>
                  </w14:solidFill>
                </w14:textFill>
              </w:rPr>
              <w:t>3</w:t>
            </w:r>
            <w:r>
              <w:rPr>
                <w:rFonts w:hint="eastAsia"/>
                <w:b/>
                <w:color w:val="000000" w:themeColor="text1"/>
                <w:szCs w:val="21"/>
                <w:highlight w:val="none"/>
                <w:lang w:val="en-US" w:eastAsia="zh-CN"/>
                <w14:textFill>
                  <w14:solidFill>
                    <w14:schemeClr w14:val="tx1"/>
                  </w14:solidFill>
                </w14:textFill>
              </w:rPr>
              <w:t>-13 污染物预测排放量及“三本帐”一览</w:t>
            </w:r>
            <w:r>
              <w:rPr>
                <w:rFonts w:hint="eastAsia"/>
                <w:b/>
                <w:color w:val="000000" w:themeColor="text1"/>
                <w:szCs w:val="21"/>
                <w:highlight w:val="none"/>
                <w14:textFill>
                  <w14:solidFill>
                    <w14:schemeClr w14:val="tx1"/>
                  </w14:solidFill>
                </w14:textFill>
              </w:rPr>
              <w:t>表</w:t>
            </w:r>
            <w:r>
              <w:rPr>
                <w:rFonts w:hint="default"/>
                <w:b/>
                <w:color w:val="000000" w:themeColor="text1"/>
                <w:szCs w:val="21"/>
                <w:highlight w:val="none"/>
                <w14:textFill>
                  <w14:solidFill>
                    <w14:schemeClr w14:val="tx1"/>
                  </w14:solidFill>
                </w14:textFill>
              </w:rPr>
              <w:t xml:space="preserve">  </w:t>
            </w:r>
            <w:r>
              <w:rPr>
                <w:rFonts w:hint="eastAsia"/>
                <w:b/>
                <w:color w:val="000000" w:themeColor="text1"/>
                <w:szCs w:val="21"/>
                <w:highlight w:val="none"/>
                <w14:textFill>
                  <w14:solidFill>
                    <w14:schemeClr w14:val="tx1"/>
                  </w14:solidFill>
                </w14:textFill>
              </w:rPr>
              <w:t>单位：</w:t>
            </w:r>
            <w:r>
              <w:rPr>
                <w:rFonts w:hint="default"/>
                <w:b/>
                <w:color w:val="000000" w:themeColor="text1"/>
                <w:szCs w:val="21"/>
                <w:highlight w:val="none"/>
                <w14:textFill>
                  <w14:solidFill>
                    <w14:schemeClr w14:val="tx1"/>
                  </w14:solidFill>
                </w14:textFill>
              </w:rPr>
              <w:t>t/a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35"/>
              <w:gridCol w:w="1140"/>
              <w:gridCol w:w="1275"/>
              <w:gridCol w:w="1560"/>
              <w:gridCol w:w="1556"/>
            </w:tblGrid>
            <w:tr w14:paraId="1E8046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0F2A82D4">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bCs/>
                      <w:color w:val="000000" w:themeColor="text1"/>
                      <w:sz w:val="18"/>
                      <w:szCs w:val="18"/>
                      <w:highlight w:val="none"/>
                      <w14:textFill>
                        <w14:solidFill>
                          <w14:schemeClr w14:val="tx1"/>
                        </w14:solidFill>
                      </w14:textFill>
                    </w:rPr>
                    <w:t>名称</w:t>
                  </w:r>
                </w:p>
              </w:tc>
              <w:tc>
                <w:tcPr>
                  <w:tcW w:w="1335" w:type="dxa"/>
                  <w:noWrap w:val="0"/>
                  <w:vAlign w:val="center"/>
                </w:tcPr>
                <w:p w14:paraId="790C54D3">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现有工程</w:t>
                  </w:r>
                  <w:r>
                    <w:rPr>
                      <w:rFonts w:hint="eastAsia"/>
                      <w:color w:val="000000" w:themeColor="text1"/>
                      <w:sz w:val="18"/>
                      <w:szCs w:val="18"/>
                      <w:highlight w:val="none"/>
                      <w14:textFill>
                        <w14:solidFill>
                          <w14:schemeClr w14:val="tx1"/>
                        </w14:solidFill>
                      </w14:textFill>
                    </w:rPr>
                    <w:t>实际排放量</w:t>
                  </w:r>
                  <w:r>
                    <w:rPr>
                      <w:rFonts w:hint="default"/>
                      <w:color w:val="000000" w:themeColor="text1"/>
                      <w:sz w:val="18"/>
                      <w:szCs w:val="18"/>
                      <w:highlight w:val="none"/>
                      <w14:textFill>
                        <w14:solidFill>
                          <w14:schemeClr w14:val="tx1"/>
                        </w14:solidFill>
                      </w14:textFill>
                    </w:rPr>
                    <w:t>（t/a）</w:t>
                  </w:r>
                </w:p>
              </w:tc>
              <w:tc>
                <w:tcPr>
                  <w:tcW w:w="1140" w:type="dxa"/>
                  <w:noWrap w:val="0"/>
                  <w:vAlign w:val="center"/>
                </w:tcPr>
                <w:p w14:paraId="3BC7056B">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本工程预测排放量（t/a）</w:t>
                  </w:r>
                </w:p>
              </w:tc>
              <w:tc>
                <w:tcPr>
                  <w:tcW w:w="1275" w:type="dxa"/>
                  <w:noWrap w:val="0"/>
                  <w:vAlign w:val="center"/>
                </w:tcPr>
                <w:p w14:paraId="4F2F6742">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“以新带老”</w:t>
                  </w:r>
                  <w:r>
                    <w:rPr>
                      <w:rFonts w:hint="default"/>
                      <w:color w:val="000000" w:themeColor="text1"/>
                      <w:sz w:val="18"/>
                      <w:szCs w:val="18"/>
                      <w:highlight w:val="none"/>
                      <w14:textFill>
                        <w14:solidFill>
                          <w14:schemeClr w14:val="tx1"/>
                        </w14:solidFill>
                      </w14:textFill>
                    </w:rPr>
                    <w:t>削减量（t/a）</w:t>
                  </w:r>
                </w:p>
              </w:tc>
              <w:tc>
                <w:tcPr>
                  <w:tcW w:w="1560" w:type="dxa"/>
                  <w:noWrap w:val="0"/>
                  <w:vAlign w:val="center"/>
                </w:tcPr>
                <w:p w14:paraId="41AE55AD">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总体工程预测排放总量（t/a）</w:t>
                  </w:r>
                </w:p>
              </w:tc>
              <w:tc>
                <w:tcPr>
                  <w:tcW w:w="1556" w:type="dxa"/>
                  <w:tcBorders>
                    <w:right w:val="nil"/>
                  </w:tcBorders>
                  <w:noWrap w:val="0"/>
                  <w:vAlign w:val="center"/>
                </w:tcPr>
                <w:p w14:paraId="7E19ADE1">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总体工程排放增减量（t/a）</w:t>
                  </w:r>
                </w:p>
              </w:tc>
            </w:tr>
            <w:tr w14:paraId="19B8B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797F3E7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颗粒物</w:t>
                  </w:r>
                </w:p>
              </w:tc>
              <w:tc>
                <w:tcPr>
                  <w:tcW w:w="1335" w:type="dxa"/>
                  <w:noWrap w:val="0"/>
                  <w:vAlign w:val="center"/>
                </w:tcPr>
                <w:p w14:paraId="478F14E9">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0.0864</w:t>
                  </w:r>
                </w:p>
              </w:tc>
              <w:tc>
                <w:tcPr>
                  <w:tcW w:w="1140" w:type="dxa"/>
                  <w:noWrap w:val="0"/>
                  <w:vAlign w:val="center"/>
                </w:tcPr>
                <w:p w14:paraId="3AB8E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olor w:val="000000" w:themeColor="text1"/>
                      <w:kern w:val="0"/>
                      <w:sz w:val="18"/>
                      <w:szCs w:val="18"/>
                      <w:highlight w:val="none"/>
                      <w:lang w:val="en-US"/>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0.317</w:t>
                  </w:r>
                </w:p>
              </w:tc>
              <w:tc>
                <w:tcPr>
                  <w:tcW w:w="1275" w:type="dxa"/>
                  <w:noWrap w:val="0"/>
                  <w:vAlign w:val="center"/>
                </w:tcPr>
                <w:p w14:paraId="0FD95868">
                  <w:pPr>
                    <w:keepNext w:val="0"/>
                    <w:keepLines w:val="0"/>
                    <w:suppressLineNumbers w:val="0"/>
                    <w:spacing w:before="0" w:beforeAutospacing="0" w:after="0" w:afterAutospacing="0" w:line="240" w:lineRule="auto"/>
                    <w:ind w:left="0" w:leftChars="0" w:right="0" w:rightChars="0" w:firstLine="0" w:firstLine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w:t>
                  </w:r>
                </w:p>
              </w:tc>
              <w:tc>
                <w:tcPr>
                  <w:tcW w:w="1560" w:type="dxa"/>
                  <w:noWrap w:val="0"/>
                  <w:vAlign w:val="center"/>
                </w:tcPr>
                <w:p w14:paraId="620C5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000000" w:themeColor="text1"/>
                      <w:sz w:val="18"/>
                      <w:szCs w:val="18"/>
                      <w:highlight w:val="none"/>
                      <w:lang w:val="en-US"/>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0.403</w:t>
                  </w:r>
                </w:p>
              </w:tc>
              <w:tc>
                <w:tcPr>
                  <w:tcW w:w="1556" w:type="dxa"/>
                  <w:noWrap w:val="0"/>
                  <w:vAlign w:val="center"/>
                </w:tcPr>
                <w:p w14:paraId="0E974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olor w:val="000000" w:themeColor="text1"/>
                      <w:sz w:val="18"/>
                      <w:szCs w:val="18"/>
                      <w:highlight w:val="none"/>
                      <w:lang w:val="en-US"/>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+0.317</w:t>
                  </w:r>
                </w:p>
              </w:tc>
            </w:tr>
            <w:tr w14:paraId="1CF98E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4D12FCF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SO</w:t>
                  </w:r>
                  <w:r>
                    <w:rPr>
                      <w:rFonts w:hint="default" w:ascii="Times New Roman" w:hAnsi="Times New Roman" w:eastAsia="宋体" w:cs="Times New Roman"/>
                      <w:color w:val="000000" w:themeColor="text1"/>
                      <w:spacing w:val="0"/>
                      <w:position w:val="0"/>
                      <w:sz w:val="18"/>
                      <w:szCs w:val="18"/>
                      <w:highlight w:val="none"/>
                      <w:vertAlign w:val="subscript"/>
                      <w14:textFill>
                        <w14:solidFill>
                          <w14:schemeClr w14:val="tx1"/>
                        </w14:solidFill>
                      </w14:textFill>
                    </w:rPr>
                    <w:t>2</w:t>
                  </w:r>
                </w:p>
              </w:tc>
              <w:tc>
                <w:tcPr>
                  <w:tcW w:w="1335" w:type="dxa"/>
                  <w:noWrap w:val="0"/>
                  <w:vAlign w:val="center"/>
                </w:tcPr>
                <w:p w14:paraId="6464640A">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0.00768</w:t>
                  </w:r>
                </w:p>
              </w:tc>
              <w:tc>
                <w:tcPr>
                  <w:tcW w:w="1140" w:type="dxa"/>
                  <w:noWrap w:val="0"/>
                  <w:vAlign w:val="center"/>
                </w:tcPr>
                <w:p w14:paraId="2E38A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0.379</w:t>
                  </w:r>
                </w:p>
              </w:tc>
              <w:tc>
                <w:tcPr>
                  <w:tcW w:w="1275" w:type="dxa"/>
                  <w:noWrap w:val="0"/>
                  <w:vAlign w:val="center"/>
                </w:tcPr>
                <w:p w14:paraId="77C4EFD2">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60" w:type="dxa"/>
                  <w:noWrap w:val="0"/>
                  <w:vAlign w:val="center"/>
                </w:tcPr>
                <w:p w14:paraId="15BD0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0.387</w:t>
                  </w:r>
                </w:p>
              </w:tc>
              <w:tc>
                <w:tcPr>
                  <w:tcW w:w="1556" w:type="dxa"/>
                  <w:noWrap w:val="0"/>
                  <w:vAlign w:val="center"/>
                </w:tcPr>
                <w:p w14:paraId="2980D1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+0.379</w:t>
                  </w:r>
                </w:p>
              </w:tc>
            </w:tr>
            <w:tr w14:paraId="5F4C1C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229B1A4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NO</w:t>
                  </w: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x</w:t>
                  </w:r>
                </w:p>
              </w:tc>
              <w:tc>
                <w:tcPr>
                  <w:tcW w:w="1335" w:type="dxa"/>
                  <w:noWrap w:val="0"/>
                  <w:vAlign w:val="center"/>
                </w:tcPr>
                <w:p w14:paraId="3B16D3AF">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0.476</w:t>
                  </w:r>
                </w:p>
              </w:tc>
              <w:tc>
                <w:tcPr>
                  <w:tcW w:w="1140" w:type="dxa"/>
                  <w:noWrap w:val="0"/>
                  <w:vAlign w:val="center"/>
                </w:tcPr>
                <w:p w14:paraId="4EBF2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1.662</w:t>
                  </w:r>
                </w:p>
              </w:tc>
              <w:tc>
                <w:tcPr>
                  <w:tcW w:w="1275" w:type="dxa"/>
                  <w:noWrap w:val="0"/>
                  <w:vAlign w:val="center"/>
                </w:tcPr>
                <w:p w14:paraId="1FEFACFD">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60" w:type="dxa"/>
                  <w:noWrap w:val="0"/>
                  <w:vAlign w:val="center"/>
                </w:tcPr>
                <w:p w14:paraId="5D635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2.143</w:t>
                  </w:r>
                </w:p>
              </w:tc>
              <w:tc>
                <w:tcPr>
                  <w:tcW w:w="1556" w:type="dxa"/>
                  <w:noWrap w:val="0"/>
                  <w:vAlign w:val="center"/>
                </w:tcPr>
                <w:p w14:paraId="77507C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+1.662</w:t>
                  </w:r>
                </w:p>
              </w:tc>
            </w:tr>
            <w:tr w14:paraId="21C9B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78DB7C01">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工业粉尘</w:t>
                  </w:r>
                </w:p>
              </w:tc>
              <w:tc>
                <w:tcPr>
                  <w:tcW w:w="1335" w:type="dxa"/>
                  <w:noWrap w:val="0"/>
                  <w:vAlign w:val="center"/>
                </w:tcPr>
                <w:p w14:paraId="6CBCAF4B">
                  <w:pPr>
                    <w:keepNext w:val="0"/>
                    <w:keepLines w:val="0"/>
                    <w:suppressLineNumbers w:val="0"/>
                    <w:spacing w:before="0" w:beforeAutospacing="0" w:after="0" w:afterAutospacing="0"/>
                    <w:ind w:left="0" w:leftChars="0" w:right="0" w:rightChars="0"/>
                    <w:jc w:val="center"/>
                    <w:rPr>
                      <w:rFonts w:hint="default"/>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3.1</w:t>
                  </w:r>
                </w:p>
              </w:tc>
              <w:tc>
                <w:tcPr>
                  <w:tcW w:w="1140" w:type="dxa"/>
                  <w:noWrap w:val="0"/>
                  <w:vAlign w:val="center"/>
                </w:tcPr>
                <w:p w14:paraId="42DBA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0.7</w:t>
                  </w:r>
                </w:p>
              </w:tc>
              <w:tc>
                <w:tcPr>
                  <w:tcW w:w="1275" w:type="dxa"/>
                  <w:noWrap w:val="0"/>
                  <w:vAlign w:val="center"/>
                </w:tcPr>
                <w:p w14:paraId="1BA7CFCE">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560" w:type="dxa"/>
                  <w:noWrap w:val="0"/>
                  <w:vAlign w:val="center"/>
                </w:tcPr>
                <w:p w14:paraId="3A0C3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3.8</w:t>
                  </w:r>
                </w:p>
              </w:tc>
              <w:tc>
                <w:tcPr>
                  <w:tcW w:w="1556" w:type="dxa"/>
                  <w:noWrap w:val="0"/>
                  <w:vAlign w:val="center"/>
                </w:tcPr>
                <w:p w14:paraId="227550C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+0.7</w:t>
                  </w:r>
                </w:p>
              </w:tc>
            </w:tr>
          </w:tbl>
          <w:p w14:paraId="167AF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b/>
                <w:color w:val="000000" w:themeColor="text1"/>
                <w:szCs w:val="21"/>
                <w:highlight w:val="none"/>
                <w14:textFill>
                  <w14:solidFill>
                    <w14:schemeClr w14:val="tx1"/>
                  </w14:solidFill>
                </w14:textFill>
              </w:rPr>
            </w:pPr>
            <w:r>
              <w:rPr>
                <w:rFonts w:hint="eastAsia" w:cs="Times New Roman"/>
                <w:b/>
                <w:bCs/>
                <w:color w:val="000000" w:themeColor="text1"/>
                <w:kern w:val="0"/>
                <w:szCs w:val="21"/>
                <w:highlight w:val="none"/>
                <w:lang w:val="en-US" w:eastAsia="zh-CN"/>
                <w14:textFill>
                  <w14:solidFill>
                    <w14:schemeClr w14:val="tx1"/>
                  </w14:solidFill>
                </w14:textFill>
              </w:rPr>
              <w:t xml:space="preserve">表3-14 </w:t>
            </w:r>
            <w:r>
              <w:rPr>
                <w:rFonts w:hint="eastAsia"/>
                <w:b/>
                <w:color w:val="000000" w:themeColor="text1"/>
                <w:szCs w:val="21"/>
                <w:highlight w:val="none"/>
                <w:lang w:val="en-US" w:eastAsia="zh-CN"/>
                <w14:textFill>
                  <w14:solidFill>
                    <w14:schemeClr w14:val="tx1"/>
                  </w14:solidFill>
                </w14:textFill>
              </w:rPr>
              <w:t>污染物核定排放量及“三本帐”一览</w:t>
            </w:r>
            <w:r>
              <w:rPr>
                <w:rFonts w:hint="eastAsia"/>
                <w:b/>
                <w:color w:val="000000" w:themeColor="text1"/>
                <w:szCs w:val="21"/>
                <w:highlight w:val="none"/>
                <w14:textFill>
                  <w14:solidFill>
                    <w14:schemeClr w14:val="tx1"/>
                  </w14:solidFill>
                </w14:textFill>
              </w:rPr>
              <w:t>表</w:t>
            </w:r>
            <w:r>
              <w:rPr>
                <w:rFonts w:hint="eastAsia" w:cs="Times New Roman"/>
                <w:b/>
                <w:bCs/>
                <w:color w:val="000000" w:themeColor="text1"/>
                <w:kern w:val="0"/>
                <w:szCs w:val="21"/>
                <w:highlight w:val="none"/>
                <w:lang w:val="en-US" w:eastAsia="zh-CN"/>
                <w14:textFill>
                  <w14:solidFill>
                    <w14:schemeClr w14:val="tx1"/>
                  </w14:solidFill>
                </w14:textFill>
              </w:rPr>
              <w:t xml:space="preserve">  </w:t>
            </w:r>
            <w:r>
              <w:rPr>
                <w:rFonts w:hint="eastAsia"/>
                <w:b/>
                <w:color w:val="000000" w:themeColor="text1"/>
                <w:szCs w:val="21"/>
                <w:highlight w:val="none"/>
                <w14:textFill>
                  <w14:solidFill>
                    <w14:schemeClr w14:val="tx1"/>
                  </w14:solidFill>
                </w14:textFill>
              </w:rPr>
              <w:t>单位：</w:t>
            </w:r>
            <w:r>
              <w:rPr>
                <w:rFonts w:hint="default"/>
                <w:b/>
                <w:color w:val="000000" w:themeColor="text1"/>
                <w:szCs w:val="21"/>
                <w:highlight w:val="none"/>
                <w14:textFill>
                  <w14:solidFill>
                    <w14:schemeClr w14:val="tx1"/>
                  </w14:solidFill>
                </w14:textFill>
              </w:rPr>
              <w:t>t/a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50"/>
              <w:gridCol w:w="1125"/>
              <w:gridCol w:w="1485"/>
              <w:gridCol w:w="1425"/>
              <w:gridCol w:w="1481"/>
            </w:tblGrid>
            <w:tr w14:paraId="22977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10C4562D">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bCs/>
                      <w:color w:val="000000" w:themeColor="text1"/>
                      <w:sz w:val="18"/>
                      <w:szCs w:val="18"/>
                      <w:highlight w:val="none"/>
                      <w14:textFill>
                        <w14:solidFill>
                          <w14:schemeClr w14:val="tx1"/>
                        </w14:solidFill>
                      </w14:textFill>
                    </w:rPr>
                    <w:t>名称</w:t>
                  </w:r>
                </w:p>
              </w:tc>
              <w:tc>
                <w:tcPr>
                  <w:tcW w:w="1350" w:type="dxa"/>
                  <w:noWrap w:val="0"/>
                  <w:vAlign w:val="center"/>
                </w:tcPr>
                <w:p w14:paraId="143662ED">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现有工程许可</w:t>
                  </w:r>
                  <w:r>
                    <w:rPr>
                      <w:rFonts w:hint="default"/>
                      <w:color w:val="000000" w:themeColor="text1"/>
                      <w:sz w:val="18"/>
                      <w:szCs w:val="18"/>
                      <w:highlight w:val="none"/>
                      <w14:textFill>
                        <w14:solidFill>
                          <w14:schemeClr w14:val="tx1"/>
                        </w14:solidFill>
                      </w14:textFill>
                    </w:rPr>
                    <w:t>排放量（t/a）</w:t>
                  </w:r>
                </w:p>
              </w:tc>
              <w:tc>
                <w:tcPr>
                  <w:tcW w:w="1125" w:type="dxa"/>
                  <w:noWrap w:val="0"/>
                  <w:vAlign w:val="center"/>
                </w:tcPr>
                <w:p w14:paraId="290074E2">
                  <w:pPr>
                    <w:keepNext w:val="0"/>
                    <w:keepLines w:val="0"/>
                    <w:suppressLineNumbers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本工程</w:t>
                  </w:r>
                  <w:r>
                    <w:rPr>
                      <w:rFonts w:hint="default"/>
                      <w:color w:val="000000" w:themeColor="text1"/>
                      <w:sz w:val="18"/>
                      <w:szCs w:val="18"/>
                      <w:highlight w:val="none"/>
                      <w14:textFill>
                        <w14:solidFill>
                          <w14:schemeClr w14:val="tx1"/>
                        </w14:solidFill>
                      </w14:textFill>
                    </w:rPr>
                    <w:t>核定排放量（t/a）</w:t>
                  </w:r>
                </w:p>
              </w:tc>
              <w:tc>
                <w:tcPr>
                  <w:tcW w:w="1485" w:type="dxa"/>
                  <w:noWrap w:val="0"/>
                  <w:vAlign w:val="center"/>
                </w:tcPr>
                <w:p w14:paraId="54A34458">
                  <w:pPr>
                    <w:keepNext w:val="0"/>
                    <w:keepLines w:val="0"/>
                    <w:suppressLineNumbers w:val="0"/>
                    <w:spacing w:before="0" w:beforeAutospacing="0" w:after="0" w:afterAutospacing="0"/>
                    <w:ind w:left="0" w:right="0"/>
                    <w:jc w:val="center"/>
                    <w:rPr>
                      <w:rFonts w:hint="eastAsia"/>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“以新带老”削</w:t>
                  </w:r>
                  <w:r>
                    <w:rPr>
                      <w:rFonts w:hint="default"/>
                      <w:color w:val="000000" w:themeColor="text1"/>
                      <w:sz w:val="18"/>
                      <w:szCs w:val="18"/>
                      <w:highlight w:val="none"/>
                      <w14:textFill>
                        <w14:solidFill>
                          <w14:schemeClr w14:val="tx1"/>
                        </w14:solidFill>
                      </w14:textFill>
                    </w:rPr>
                    <w:t>减</w:t>
                  </w:r>
                  <w:r>
                    <w:rPr>
                      <w:rFonts w:hint="eastAsia"/>
                      <w:color w:val="000000" w:themeColor="text1"/>
                      <w:sz w:val="18"/>
                      <w:szCs w:val="18"/>
                      <w:highlight w:val="none"/>
                      <w:lang w:val="en-US" w:eastAsia="zh-CN"/>
                      <w14:textFill>
                        <w14:solidFill>
                          <w14:schemeClr w14:val="tx1"/>
                        </w14:solidFill>
                      </w14:textFill>
                    </w:rPr>
                    <w:t>核定</w:t>
                  </w:r>
                  <w:r>
                    <w:rPr>
                      <w:rFonts w:hint="default"/>
                      <w:color w:val="000000" w:themeColor="text1"/>
                      <w:sz w:val="18"/>
                      <w:szCs w:val="18"/>
                      <w:highlight w:val="none"/>
                      <w14:textFill>
                        <w14:solidFill>
                          <w14:schemeClr w14:val="tx1"/>
                        </w14:solidFill>
                      </w14:textFill>
                    </w:rPr>
                    <w:t>量（t/a）</w:t>
                  </w:r>
                </w:p>
              </w:tc>
              <w:tc>
                <w:tcPr>
                  <w:tcW w:w="1425" w:type="dxa"/>
                  <w:noWrap w:val="0"/>
                  <w:vAlign w:val="center"/>
                </w:tcPr>
                <w:p w14:paraId="612ADE8D">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总体工程核定排放总量</w:t>
                  </w:r>
                  <w:r>
                    <w:rPr>
                      <w:rFonts w:hint="default"/>
                      <w:color w:val="000000" w:themeColor="text1"/>
                      <w:sz w:val="18"/>
                      <w:szCs w:val="18"/>
                      <w:highlight w:val="none"/>
                      <w14:textFill>
                        <w14:solidFill>
                          <w14:schemeClr w14:val="tx1"/>
                        </w14:solidFill>
                      </w14:textFill>
                    </w:rPr>
                    <w:t>（t/a）</w:t>
                  </w:r>
                </w:p>
              </w:tc>
              <w:tc>
                <w:tcPr>
                  <w:tcW w:w="1481" w:type="dxa"/>
                  <w:noWrap w:val="0"/>
                  <w:vAlign w:val="center"/>
                </w:tcPr>
                <w:p w14:paraId="79C29AB1">
                  <w:pPr>
                    <w:keepNext w:val="0"/>
                    <w:keepLines w:val="0"/>
                    <w:suppressLineNumbers w:val="0"/>
                    <w:spacing w:before="0" w:beforeAutospacing="0" w:after="0" w:afterAutospacing="0"/>
                    <w:ind w:left="0" w:leftChars="0" w:right="0" w:rightChars="0"/>
                    <w:jc w:val="center"/>
                    <w:rPr>
                      <w:rFonts w:hint="eastAsia"/>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14:textFill>
                        <w14:solidFill>
                          <w14:schemeClr w14:val="tx1"/>
                        </w14:solidFill>
                      </w14:textFill>
                    </w:rPr>
                    <w:t>总体工程</w:t>
                  </w:r>
                  <w:r>
                    <w:rPr>
                      <w:rFonts w:hint="eastAsia"/>
                      <w:color w:val="000000" w:themeColor="text1"/>
                      <w:sz w:val="18"/>
                      <w:szCs w:val="18"/>
                      <w:highlight w:val="none"/>
                      <w:lang w:val="en-US" w:eastAsia="zh-CN"/>
                      <w14:textFill>
                        <w14:solidFill>
                          <w14:schemeClr w14:val="tx1"/>
                        </w14:solidFill>
                      </w14:textFill>
                    </w:rPr>
                    <w:t>核定</w:t>
                  </w:r>
                  <w:r>
                    <w:rPr>
                      <w:rFonts w:hint="default"/>
                      <w:color w:val="000000" w:themeColor="text1"/>
                      <w:sz w:val="18"/>
                      <w:szCs w:val="18"/>
                      <w:highlight w:val="none"/>
                      <w14:textFill>
                        <w14:solidFill>
                          <w14:schemeClr w14:val="tx1"/>
                        </w14:solidFill>
                      </w14:textFill>
                    </w:rPr>
                    <w:t>排放增减量（t/a）</w:t>
                  </w:r>
                </w:p>
              </w:tc>
            </w:tr>
            <w:tr w14:paraId="446D77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0A61BA1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kern w:val="0"/>
                      <w:sz w:val="18"/>
                      <w:szCs w:val="18"/>
                      <w:highlight w:val="none"/>
                      <w14:textFill>
                        <w14:solidFill>
                          <w14:schemeClr w14:val="tx1"/>
                        </w14:solidFill>
                      </w14:textFill>
                    </w:rPr>
                    <w:t>颗粒物</w:t>
                  </w:r>
                </w:p>
              </w:tc>
              <w:tc>
                <w:tcPr>
                  <w:tcW w:w="1350" w:type="dxa"/>
                  <w:noWrap w:val="0"/>
                  <w:vAlign w:val="center"/>
                </w:tcPr>
                <w:p w14:paraId="08F734E0">
                  <w:pPr>
                    <w:keepNext w:val="0"/>
                    <w:keepLines w:val="0"/>
                    <w:suppressLineNumbers w:val="0"/>
                    <w:spacing w:before="0" w:beforeAutospacing="0" w:after="0" w:afterAutospacing="0"/>
                    <w:ind w:left="0" w:leftChars="0" w:right="0" w:rightChars="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0.124</w:t>
                  </w:r>
                </w:p>
              </w:tc>
              <w:tc>
                <w:tcPr>
                  <w:tcW w:w="1125" w:type="dxa"/>
                  <w:noWrap w:val="0"/>
                  <w:vAlign w:val="center"/>
                </w:tcPr>
                <w:p w14:paraId="6C34BA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eastAsia="宋体"/>
                      <w:color w:val="000000" w:themeColor="text1"/>
                      <w:kern w:val="0"/>
                      <w:sz w:val="18"/>
                      <w:szCs w:val="18"/>
                      <w:highlight w:val="none"/>
                      <w:lang w:val="en-US" w:eastAsia="zh-CN"/>
                      <w14:textFill>
                        <w14:solidFill>
                          <w14:schemeClr w14:val="tx1"/>
                        </w14:solidFill>
                      </w14:textFill>
                    </w:rPr>
                  </w:pPr>
                  <w:r>
                    <w:rPr>
                      <w:rFonts w:hint="eastAsia" w:ascii="Times New Roman" w:cs="Times New Roman"/>
                      <w:color w:val="000000" w:themeColor="text1"/>
                      <w:sz w:val="18"/>
                      <w:szCs w:val="18"/>
                      <w:highlight w:val="none"/>
                      <w:lang w:val="en-US" w:eastAsia="zh-CN"/>
                      <w14:textFill>
                        <w14:solidFill>
                          <w14:schemeClr w14:val="tx1"/>
                        </w14:solidFill>
                      </w14:textFill>
                    </w:rPr>
                    <w:t>0.381</w:t>
                  </w:r>
                </w:p>
              </w:tc>
              <w:tc>
                <w:tcPr>
                  <w:tcW w:w="1485" w:type="dxa"/>
                  <w:noWrap w:val="0"/>
                  <w:vAlign w:val="center"/>
                </w:tcPr>
                <w:p w14:paraId="7F82275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bCs w:val="0"/>
                      <w:color w:val="000000" w:themeColor="text1"/>
                      <w:sz w:val="18"/>
                      <w:szCs w:val="18"/>
                      <w:highlight w:val="none"/>
                      <w:lang w:val="en-US" w:eastAsia="zh-CN"/>
                      <w14:textFill>
                        <w14:solidFill>
                          <w14:schemeClr w14:val="tx1"/>
                        </w14:solidFill>
                      </w14:textFill>
                    </w:rPr>
                    <w:t>/</w:t>
                  </w:r>
                </w:p>
              </w:tc>
              <w:tc>
                <w:tcPr>
                  <w:tcW w:w="1425" w:type="dxa"/>
                  <w:noWrap w:val="0"/>
                  <w:vAlign w:val="center"/>
                </w:tcPr>
                <w:p w14:paraId="22C9B5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0.505</w:t>
                  </w:r>
                </w:p>
              </w:tc>
              <w:tc>
                <w:tcPr>
                  <w:tcW w:w="1481" w:type="dxa"/>
                  <w:noWrap w:val="0"/>
                  <w:vAlign w:val="center"/>
                </w:tcPr>
                <w:p w14:paraId="170786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cs="Times New Roman"/>
                      <w:color w:val="000000" w:themeColor="text1"/>
                      <w:sz w:val="18"/>
                      <w:szCs w:val="18"/>
                      <w:highlight w:val="none"/>
                      <w:lang w:val="en-US" w:eastAsia="zh-CN"/>
                      <w14:textFill>
                        <w14:solidFill>
                          <w14:schemeClr w14:val="tx1"/>
                        </w14:solidFill>
                      </w14:textFill>
                    </w:rPr>
                    <w:t>0.381</w:t>
                  </w:r>
                </w:p>
              </w:tc>
            </w:tr>
            <w:tr w14:paraId="143006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720EF05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SO</w:t>
                  </w:r>
                  <w:r>
                    <w:rPr>
                      <w:rFonts w:hint="default" w:ascii="Times New Roman" w:hAnsi="Times New Roman" w:eastAsia="宋体" w:cs="Times New Roman"/>
                      <w:color w:val="000000" w:themeColor="text1"/>
                      <w:spacing w:val="0"/>
                      <w:position w:val="0"/>
                      <w:sz w:val="18"/>
                      <w:szCs w:val="18"/>
                      <w:highlight w:val="none"/>
                      <w:vertAlign w:val="subscript"/>
                      <w14:textFill>
                        <w14:solidFill>
                          <w14:schemeClr w14:val="tx1"/>
                        </w14:solidFill>
                      </w14:textFill>
                    </w:rPr>
                    <w:t>2</w:t>
                  </w:r>
                </w:p>
              </w:tc>
              <w:tc>
                <w:tcPr>
                  <w:tcW w:w="1350" w:type="dxa"/>
                  <w:noWrap w:val="0"/>
                  <w:vAlign w:val="center"/>
                </w:tcPr>
                <w:p w14:paraId="20F424B2">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0.411</w:t>
                  </w:r>
                </w:p>
              </w:tc>
              <w:tc>
                <w:tcPr>
                  <w:tcW w:w="1125" w:type="dxa"/>
                  <w:noWrap w:val="0"/>
                  <w:vAlign w:val="center"/>
                </w:tcPr>
                <w:p w14:paraId="5D95593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ascii="Times New Roman" w:cs="Times New Roman"/>
                      <w:color w:val="000000" w:themeColor="text1"/>
                      <w:sz w:val="18"/>
                      <w:szCs w:val="18"/>
                      <w:highlight w:val="none"/>
                      <w:lang w:val="en-US" w:eastAsia="zh-CN"/>
                      <w14:textFill>
                        <w14:solidFill>
                          <w14:schemeClr w14:val="tx1"/>
                        </w14:solidFill>
                      </w14:textFill>
                    </w:rPr>
                    <w:t>1.270</w:t>
                  </w:r>
                </w:p>
              </w:tc>
              <w:tc>
                <w:tcPr>
                  <w:tcW w:w="1485" w:type="dxa"/>
                  <w:noWrap w:val="0"/>
                  <w:vAlign w:val="center"/>
                </w:tcPr>
                <w:p w14:paraId="3F0BB6CD">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bCs w:val="0"/>
                      <w:color w:val="000000" w:themeColor="text1"/>
                      <w:sz w:val="18"/>
                      <w:szCs w:val="18"/>
                      <w:highlight w:val="none"/>
                      <w:lang w:val="en-US" w:eastAsia="zh-CN"/>
                      <w14:textFill>
                        <w14:solidFill>
                          <w14:schemeClr w14:val="tx1"/>
                        </w14:solidFill>
                      </w14:textFill>
                    </w:rPr>
                    <w:t>/</w:t>
                  </w:r>
                </w:p>
              </w:tc>
              <w:tc>
                <w:tcPr>
                  <w:tcW w:w="1425" w:type="dxa"/>
                  <w:noWrap w:val="0"/>
                  <w:vAlign w:val="center"/>
                </w:tcPr>
                <w:p w14:paraId="37A43B4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1.681</w:t>
                  </w:r>
                </w:p>
              </w:tc>
              <w:tc>
                <w:tcPr>
                  <w:tcW w:w="1481" w:type="dxa"/>
                  <w:noWrap w:val="0"/>
                  <w:vAlign w:val="center"/>
                </w:tcPr>
                <w:p w14:paraId="38EADD8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cs="Times New Roman"/>
                      <w:color w:val="000000" w:themeColor="text1"/>
                      <w:sz w:val="18"/>
                      <w:szCs w:val="18"/>
                      <w:highlight w:val="none"/>
                      <w:lang w:val="en-US" w:eastAsia="zh-CN"/>
                      <w14:textFill>
                        <w14:solidFill>
                          <w14:schemeClr w14:val="tx1"/>
                        </w14:solidFill>
                      </w14:textFill>
                    </w:rPr>
                    <w:t>1.270</w:t>
                  </w:r>
                </w:p>
              </w:tc>
            </w:tr>
            <w:tr w14:paraId="63E3A8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5A61ACC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NO</w:t>
                  </w: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x</w:t>
                  </w:r>
                </w:p>
              </w:tc>
              <w:tc>
                <w:tcPr>
                  <w:tcW w:w="1350" w:type="dxa"/>
                  <w:noWrap w:val="0"/>
                  <w:vAlign w:val="center"/>
                </w:tcPr>
                <w:p w14:paraId="5C81DF42">
                  <w:pPr>
                    <w:keepNext w:val="0"/>
                    <w:keepLines w:val="0"/>
                    <w:suppressLineNumbers w:val="0"/>
                    <w:spacing w:before="0" w:beforeAutospacing="0" w:after="0" w:afterAutospacing="0"/>
                    <w:ind w:left="0" w:leftChars="0" w:right="0" w:rightChars="0"/>
                    <w:jc w:val="center"/>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1.233</w:t>
                  </w:r>
                </w:p>
              </w:tc>
              <w:tc>
                <w:tcPr>
                  <w:tcW w:w="1125" w:type="dxa"/>
                  <w:noWrap w:val="0"/>
                  <w:vAlign w:val="center"/>
                </w:tcPr>
                <w:p w14:paraId="0A3AEB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ascii="Times New Roman" w:cs="Times New Roman"/>
                      <w:color w:val="000000" w:themeColor="text1"/>
                      <w:sz w:val="18"/>
                      <w:szCs w:val="18"/>
                      <w:highlight w:val="none"/>
                      <w:lang w:val="en-US" w:eastAsia="zh-CN"/>
                      <w14:textFill>
                        <w14:solidFill>
                          <w14:schemeClr w14:val="tx1"/>
                        </w14:solidFill>
                      </w14:textFill>
                    </w:rPr>
                    <w:t>3.809</w:t>
                  </w:r>
                </w:p>
              </w:tc>
              <w:tc>
                <w:tcPr>
                  <w:tcW w:w="1485" w:type="dxa"/>
                  <w:noWrap w:val="0"/>
                  <w:vAlign w:val="center"/>
                </w:tcPr>
                <w:p w14:paraId="685C71C1">
                  <w:pPr>
                    <w:keepNext w:val="0"/>
                    <w:keepLines w:val="0"/>
                    <w:suppressLineNumbers w:val="0"/>
                    <w:spacing w:before="0" w:beforeAutospacing="0" w:after="0" w:afterAutospacing="0"/>
                    <w:ind w:left="0" w:leftChars="0" w:right="0" w:rightChars="0"/>
                    <w:jc w:val="center"/>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w:t>
                  </w:r>
                </w:p>
              </w:tc>
              <w:tc>
                <w:tcPr>
                  <w:tcW w:w="1425" w:type="dxa"/>
                  <w:noWrap w:val="0"/>
                  <w:vAlign w:val="center"/>
                </w:tcPr>
                <w:p w14:paraId="44F78C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5.042</w:t>
                  </w:r>
                </w:p>
              </w:tc>
              <w:tc>
                <w:tcPr>
                  <w:tcW w:w="1481" w:type="dxa"/>
                  <w:noWrap w:val="0"/>
                  <w:vAlign w:val="center"/>
                </w:tcPr>
                <w:p w14:paraId="19EEAF8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w:t>
                  </w:r>
                  <w:r>
                    <w:rPr>
                      <w:rFonts w:hint="eastAsia" w:ascii="Times New Roman" w:cs="Times New Roman"/>
                      <w:color w:val="000000" w:themeColor="text1"/>
                      <w:sz w:val="18"/>
                      <w:szCs w:val="18"/>
                      <w:highlight w:val="none"/>
                      <w:lang w:val="en-US" w:eastAsia="zh-CN"/>
                      <w14:textFill>
                        <w14:solidFill>
                          <w14:schemeClr w14:val="tx1"/>
                        </w14:solidFill>
                      </w14:textFill>
                    </w:rPr>
                    <w:t>3.809</w:t>
                  </w:r>
                </w:p>
              </w:tc>
            </w:tr>
            <w:tr w14:paraId="7736CB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9" w:type="dxa"/>
                  <w:noWrap w:val="0"/>
                  <w:vAlign w:val="center"/>
                </w:tcPr>
                <w:p w14:paraId="659FD5C6">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工业粉尘</w:t>
                  </w:r>
                </w:p>
              </w:tc>
              <w:tc>
                <w:tcPr>
                  <w:tcW w:w="1350" w:type="dxa"/>
                  <w:noWrap w:val="0"/>
                  <w:vAlign w:val="center"/>
                </w:tcPr>
                <w:p w14:paraId="35B4046F">
                  <w:pPr>
                    <w:keepNext w:val="0"/>
                    <w:keepLines w:val="0"/>
                    <w:suppressLineNumbers w:val="0"/>
                    <w:spacing w:before="0" w:beforeAutospacing="0" w:after="0" w:afterAutospacing="0"/>
                    <w:ind w:left="0" w:leftChars="0" w:right="0" w:rightChars="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bidi="ar-SA"/>
                      <w14:textFill>
                        <w14:solidFill>
                          <w14:schemeClr w14:val="tx1"/>
                        </w14:solidFill>
                      </w14:textFill>
                    </w:rPr>
                    <w:t>3.1</w:t>
                  </w:r>
                </w:p>
              </w:tc>
              <w:tc>
                <w:tcPr>
                  <w:tcW w:w="1125" w:type="dxa"/>
                  <w:noWrap w:val="0"/>
                  <w:vAlign w:val="center"/>
                </w:tcPr>
                <w:p w14:paraId="2CAA7D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0.7</w:t>
                  </w:r>
                </w:p>
              </w:tc>
              <w:tc>
                <w:tcPr>
                  <w:tcW w:w="1485" w:type="dxa"/>
                  <w:noWrap w:val="0"/>
                  <w:vAlign w:val="center"/>
                </w:tcPr>
                <w:p w14:paraId="4CD5F2CB">
                  <w:pPr>
                    <w:keepNext w:val="0"/>
                    <w:keepLines w:val="0"/>
                    <w:suppressLineNumbers w:val="0"/>
                    <w:spacing w:before="0" w:beforeAutospacing="0" w:after="0" w:afterAutospacing="0"/>
                    <w:ind w:left="0" w:leftChars="0" w:right="0" w:rightChars="0"/>
                    <w:jc w:val="center"/>
                    <w:rPr>
                      <w:rFonts w:hint="eastAsia" w:cs="Times New Roman"/>
                      <w:color w:val="000000" w:themeColor="text1"/>
                      <w:kern w:val="0"/>
                      <w:sz w:val="18"/>
                      <w:szCs w:val="18"/>
                      <w:highlight w:val="none"/>
                      <w:lang w:val="en-US" w:eastAsia="zh-CN" w:bidi="ar"/>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w:t>
                  </w:r>
                </w:p>
              </w:tc>
              <w:tc>
                <w:tcPr>
                  <w:tcW w:w="1425" w:type="dxa"/>
                  <w:noWrap w:val="0"/>
                  <w:vAlign w:val="center"/>
                </w:tcPr>
                <w:p w14:paraId="3EFF80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14:textFill>
                        <w14:solidFill>
                          <w14:schemeClr w14:val="tx1"/>
                        </w14:solidFill>
                      </w14:textFill>
                    </w:rPr>
                    <w:t>3.8</w:t>
                  </w:r>
                </w:p>
              </w:tc>
              <w:tc>
                <w:tcPr>
                  <w:tcW w:w="1481" w:type="dxa"/>
                  <w:noWrap w:val="0"/>
                  <w:vAlign w:val="center"/>
                </w:tcPr>
                <w:p w14:paraId="7363E11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eastAsia"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+0.7</w:t>
                  </w:r>
                </w:p>
              </w:tc>
            </w:tr>
          </w:tbl>
          <w:p w14:paraId="79743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s="Times New Roman"/>
                <w:color w:val="000000" w:themeColor="text1"/>
                <w:kern w:val="0"/>
                <w:szCs w:val="21"/>
                <w:highlight w:val="none"/>
                <w:vertAlign w:val="baseli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现有总量指标来源于原环评。</w:t>
            </w:r>
          </w:p>
        </w:tc>
      </w:tr>
    </w:tbl>
    <w:p w14:paraId="7EE31B3A">
      <w:pPr>
        <w:pStyle w:val="28"/>
        <w:spacing w:before="0" w:beforeAutospacing="0" w:after="158" w:afterLines="50" w:afterAutospacing="0"/>
        <w:jc w:val="center"/>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kern w:val="2"/>
          <w:sz w:val="36"/>
          <w:szCs w:val="36"/>
          <w:highlight w:val="none"/>
          <w14:textFill>
            <w14:solidFill>
              <w14:schemeClr w14:val="tx1"/>
            </w14:solidFill>
          </w14:textFill>
        </w:rPr>
        <w:br w:type="page"/>
      </w:r>
      <w:bookmarkStart w:id="9" w:name="_Toc17537"/>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四、主要环境影响和保护措施</w:t>
      </w:r>
      <w:bookmarkEnd w:id="9"/>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270"/>
      </w:tblGrid>
      <w:tr w14:paraId="7BCED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noWrap w:val="0"/>
            <w:tcMar>
              <w:left w:w="28" w:type="dxa"/>
              <w:right w:w="28" w:type="dxa"/>
            </w:tcMar>
            <w:vAlign w:val="center"/>
          </w:tcPr>
          <w:p w14:paraId="222A7B23">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kern w:val="2"/>
                <w:sz w:val="21"/>
                <w:szCs w:val="21"/>
                <w:highlight w:val="none"/>
                <w14:textFill>
                  <w14:solidFill>
                    <w14:schemeClr w14:val="tx1"/>
                  </w14:solidFill>
                </w14:textFill>
              </w:rPr>
            </w:pPr>
            <w:r>
              <w:rPr>
                <w:rFonts w:hint="default" w:ascii="Times New Roman" w:hAnsi="Times New Roman"/>
                <w:color w:val="000000" w:themeColor="text1"/>
                <w:kern w:val="2"/>
                <w:sz w:val="21"/>
                <w:szCs w:val="21"/>
                <w:highlight w:val="none"/>
                <w14:textFill>
                  <w14:solidFill>
                    <w14:schemeClr w14:val="tx1"/>
                  </w14:solidFill>
                </w14:textFill>
              </w:rPr>
              <w:t>施工</w:t>
            </w:r>
          </w:p>
          <w:p w14:paraId="1F9AEA59">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kern w:val="2"/>
                <w:sz w:val="21"/>
                <w:szCs w:val="21"/>
                <w:highlight w:val="none"/>
                <w14:textFill>
                  <w14:solidFill>
                    <w14:schemeClr w14:val="tx1"/>
                  </w14:solidFill>
                </w14:textFill>
              </w:rPr>
            </w:pPr>
            <w:r>
              <w:rPr>
                <w:rFonts w:hint="default" w:ascii="Times New Roman" w:hAnsi="Times New Roman"/>
                <w:color w:val="000000" w:themeColor="text1"/>
                <w:kern w:val="2"/>
                <w:sz w:val="21"/>
                <w:szCs w:val="21"/>
                <w:highlight w:val="none"/>
                <w14:textFill>
                  <w14:solidFill>
                    <w14:schemeClr w14:val="tx1"/>
                  </w14:solidFill>
                </w14:textFill>
              </w:rPr>
              <w:t>期环</w:t>
            </w:r>
          </w:p>
          <w:p w14:paraId="51FA3928">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kern w:val="2"/>
                <w:sz w:val="21"/>
                <w:szCs w:val="21"/>
                <w:highlight w:val="none"/>
                <w14:textFill>
                  <w14:solidFill>
                    <w14:schemeClr w14:val="tx1"/>
                  </w14:solidFill>
                </w14:textFill>
              </w:rPr>
            </w:pPr>
            <w:r>
              <w:rPr>
                <w:rFonts w:hint="default" w:ascii="Times New Roman" w:hAnsi="Times New Roman"/>
                <w:color w:val="000000" w:themeColor="text1"/>
                <w:kern w:val="2"/>
                <w:sz w:val="21"/>
                <w:szCs w:val="21"/>
                <w:highlight w:val="none"/>
                <w14:textFill>
                  <w14:solidFill>
                    <w14:schemeClr w14:val="tx1"/>
                  </w14:solidFill>
                </w14:textFill>
              </w:rPr>
              <w:t>境保</w:t>
            </w:r>
          </w:p>
          <w:p w14:paraId="320FBD68">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kern w:val="2"/>
                <w:sz w:val="21"/>
                <w:szCs w:val="21"/>
                <w:highlight w:val="none"/>
                <w14:textFill>
                  <w14:solidFill>
                    <w14:schemeClr w14:val="tx1"/>
                  </w14:solidFill>
                </w14:textFill>
              </w:rPr>
            </w:pPr>
            <w:r>
              <w:rPr>
                <w:rFonts w:hint="default" w:ascii="Times New Roman" w:hAnsi="Times New Roman"/>
                <w:color w:val="000000" w:themeColor="text1"/>
                <w:kern w:val="2"/>
                <w:sz w:val="21"/>
                <w:szCs w:val="21"/>
                <w:highlight w:val="none"/>
                <w14:textFill>
                  <w14:solidFill>
                    <w14:schemeClr w14:val="tx1"/>
                  </w14:solidFill>
                </w14:textFill>
              </w:rPr>
              <w:t>护措</w:t>
            </w:r>
          </w:p>
          <w:p w14:paraId="27858F6A">
            <w:pPr>
              <w:pStyle w:val="28"/>
              <w:keepNext w:val="0"/>
              <w:keepLines w:val="0"/>
              <w:suppressLineNumbers w:val="0"/>
              <w:adjustRightInd w:val="0"/>
              <w:snapToGrid w:val="0"/>
              <w:spacing w:before="0" w:beforeAutospacing="0" w:after="0" w:afterAutospacing="0"/>
              <w:ind w:left="0" w:right="0"/>
              <w:jc w:val="center"/>
              <w:rPr>
                <w:rFonts w:hint="default" w:ascii="Times New Roman" w:hAnsi="Times New Roman"/>
                <w:bCs/>
                <w:color w:val="000000" w:themeColor="text1"/>
                <w:kern w:val="2"/>
                <w:sz w:val="21"/>
                <w:szCs w:val="21"/>
                <w:highlight w:val="none"/>
                <w14:textFill>
                  <w14:solidFill>
                    <w14:schemeClr w14:val="tx1"/>
                  </w14:solidFill>
                </w14:textFill>
              </w:rPr>
            </w:pPr>
            <w:r>
              <w:rPr>
                <w:rFonts w:hint="default" w:ascii="Times New Roman" w:hAnsi="Times New Roman"/>
                <w:color w:val="000000" w:themeColor="text1"/>
                <w:kern w:val="2"/>
                <w:sz w:val="21"/>
                <w:szCs w:val="21"/>
                <w:highlight w:val="none"/>
                <w14:textFill>
                  <w14:solidFill>
                    <w14:schemeClr w14:val="tx1"/>
                  </w14:solidFill>
                </w14:textFill>
              </w:rPr>
              <w:t>施</w:t>
            </w:r>
          </w:p>
        </w:tc>
        <w:tc>
          <w:tcPr>
            <w:tcW w:w="8254" w:type="dxa"/>
            <w:noWrap w:val="0"/>
            <w:vAlign w:val="center"/>
          </w:tcPr>
          <w:p w14:paraId="29420735">
            <w:pPr>
              <w:pStyle w:val="14"/>
              <w:keepNext w:val="0"/>
              <w:keepLines w:val="0"/>
              <w:widowControl/>
              <w:suppressLineNumbers w:val="0"/>
              <w:spacing w:before="0" w:beforeAutospacing="0" w:after="0" w:afterAutospacing="0" w:line="360" w:lineRule="auto"/>
              <w:ind w:left="0" w:right="0" w:firstLine="420" w:firstLineChars="200"/>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本次工程在新增78695m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占地范围内新建4座钢结构保温平房仓，</w:t>
            </w:r>
            <w:r>
              <w:rPr>
                <w:rFonts w:hint="default" w:ascii="Times New Roman" w:hAnsi="Times New Roman" w:cs="Times New Roman"/>
                <w:bCs/>
                <w:color w:val="000000" w:themeColor="text1"/>
                <w:kern w:val="0"/>
                <w:sz w:val="21"/>
                <w:szCs w:val="21"/>
                <w:highlight w:val="none"/>
                <w:lang w:val="en-US" w:eastAsia="zh-CN"/>
                <w14:textFill>
                  <w14:solidFill>
                    <w14:schemeClr w14:val="tx1"/>
                  </w14:solidFill>
                </w14:textFill>
              </w:rPr>
              <w:t>1座建筑面积5832m</w:t>
            </w:r>
            <w:r>
              <w:rPr>
                <w:rFonts w:hint="default" w:ascii="Times New Roman" w:hAnsi="Times New Roman" w:cs="Times New Roman"/>
                <w:bCs/>
                <w:color w:val="000000" w:themeColor="text1"/>
                <w:kern w:val="0"/>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、1座建筑面积7776m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、1座建筑面积6480m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、1座建筑面积6480m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；1座消防泵房，建筑面积231.66</w:t>
            </w:r>
            <w:r>
              <w:rPr>
                <w:rFonts w:hint="default" w:ascii="Times New Roman" w:hAnsi="Times New Roman" w:cs="Times New Roman"/>
                <w:color w:val="000000" w:themeColor="text1"/>
                <w:kern w:val="21"/>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（含地下面积57.86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m</w:t>
            </w:r>
            <w:r>
              <w:rPr>
                <w:rFonts w:hint="default" w:ascii="Times New Roman" w:hAnsi="Times New Roman" w:cs="Times New Roman"/>
                <w:color w:val="000000" w:themeColor="text1"/>
                <w:sz w:val="18"/>
                <w:szCs w:val="18"/>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）；1座消防水池库房，建筑面积210.6m</w:t>
            </w:r>
            <w:r>
              <w:rPr>
                <w:rFonts w:hint="default" w:ascii="Times New Roman" w:hAnsi="Times New Roman" w:cs="Times New Roman"/>
                <w:color w:val="000000" w:themeColor="text1"/>
                <w:kern w:val="2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1"/>
                <w:sz w:val="21"/>
                <w:szCs w:val="21"/>
                <w:highlight w:val="none"/>
                <w:vertAlign w:val="baseline"/>
                <w:lang w:val="en-US" w:eastAsia="zh-CN"/>
                <w14:textFill>
                  <w14:solidFill>
                    <w14:schemeClr w14:val="tx1"/>
                  </w14:solidFill>
                </w14:textFill>
              </w:rPr>
              <w:t>。</w:t>
            </w:r>
          </w:p>
          <w:p w14:paraId="5F0D23C3">
            <w:pPr>
              <w:pStyle w:val="14"/>
              <w:keepNext w:val="0"/>
              <w:keepLines w:val="0"/>
              <w:widowControl/>
              <w:suppressLineNumbers w:val="0"/>
              <w:spacing w:before="0" w:beforeAutospacing="0" w:after="0" w:afterAutospacing="0" w:line="360" w:lineRule="auto"/>
              <w:ind w:left="0" w:right="0"/>
              <w:rPr>
                <w:rFonts w:hint="default" w:hAnsi="Times New Roman"/>
                <w:b/>
                <w:bCs/>
                <w:color w:val="000000" w:themeColor="text1"/>
                <w:highlight w:val="none"/>
                <w14:textFill>
                  <w14:solidFill>
                    <w14:schemeClr w14:val="tx1"/>
                  </w14:solidFill>
                </w14:textFill>
              </w:rPr>
            </w:pPr>
            <w:r>
              <w:rPr>
                <w:rFonts w:hint="default" w:hAnsi="Times New Roman"/>
                <w:b/>
                <w:bCs/>
                <w:color w:val="000000" w:themeColor="text1"/>
                <w:highlight w:val="none"/>
                <w14:textFill>
                  <w14:solidFill>
                    <w14:schemeClr w14:val="tx1"/>
                  </w14:solidFill>
                </w14:textFill>
              </w:rPr>
              <w:t>一、大气污染防治措施</w:t>
            </w:r>
          </w:p>
          <w:p w14:paraId="06C1116C">
            <w:pPr>
              <w:pStyle w:val="1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本项目施工期废气主要为场地平整、基础开挖、建筑材料运输及装卸、弃土堆存等过程产生的扬尘，施工机械和施工运输车辆产生的机动车尾气。</w:t>
            </w:r>
          </w:p>
          <w:p w14:paraId="2B05B351">
            <w:pPr>
              <w:pStyle w:val="17"/>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20" w:firstLineChars="200"/>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治理措施：</w:t>
            </w:r>
          </w:p>
          <w:p w14:paraId="4997C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1）施工扬尘</w:t>
            </w:r>
          </w:p>
          <w:p w14:paraId="4C747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①针对施工任务和施工场地环境状况，制定合理的施工计划，采取集中力量逐段施工方法，缩短施工周期，减少施工现场的工作面，减轻施工扬尘对环境的影响。</w:t>
            </w:r>
          </w:p>
          <w:p w14:paraId="2F565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③施工车辆采取篷布加盖措施，施工车辆运输路线选择尽量避绕人口密集区、学校、医院等敏感点。</w:t>
            </w:r>
          </w:p>
          <w:p w14:paraId="5B749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④运输弃土、垃圾的车辆装载高度应低于车辆上沿，不得超高超载。实行封闭运输，以免车辆颠簸撒漏。坚持文明装卸，运输车辆装卸完货后应清洗车厢。</w:t>
            </w:r>
          </w:p>
          <w:p w14:paraId="3B4C65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⑤在施工场地上设置专人负责弃土、建筑垃圾、建筑材料的处置、清运和堆放，堆放场地加盖蓬布或洒水，防止二次扬尘。</w:t>
            </w:r>
          </w:p>
          <w:p w14:paraId="5B1ED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⑥对建筑垃圾及弃土应及时处理、清运、以减少占地，防止扬尘污染，改善施工场地的环境。</w:t>
            </w:r>
          </w:p>
          <w:p w14:paraId="7E1A41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⑦施工过程中，在施工现场周围，连续设置不低于1.5m高的围挡，并做到坚固美观。</w:t>
            </w:r>
          </w:p>
          <w:p w14:paraId="1194A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⑧在施工场地安排员工定期对施工场地洒水以减少扬尘量，洒水次数根据天气状况而定，一般每天洒水1~2次，若遇到大风或干燥天气可适当增加洒水次数。</w:t>
            </w:r>
          </w:p>
          <w:p w14:paraId="26C68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⑨施工结束后，应尽早对场区内的裸露地面进行绿化、硬化工作，减少扬尘的产生量和预防水土流失。可选取栽种易存活、好管理的本地品种，尽可能增大场区内、外的绿化面积，做到草、灌、木相结合。</w:t>
            </w:r>
          </w:p>
          <w:p w14:paraId="73297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2）机械设备、车辆燃油废气防治措施如下：</w:t>
            </w:r>
          </w:p>
          <w:p w14:paraId="1745B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①选用先进的施工机械，减少油耗和燃油废气污染；</w:t>
            </w:r>
          </w:p>
          <w:p w14:paraId="60723C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②尽量使用电气化设备，少使用燃油设备；</w:t>
            </w:r>
          </w:p>
          <w:p w14:paraId="0FEC1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③做好设备的维修和养护工作，使机械设备处于良好的工作状态，减少油耗，同时降低污染。</w:t>
            </w:r>
          </w:p>
          <w:p w14:paraId="2D0DC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经上述治理后，施工期产生的粉尘、扬尘对环境空气及敏感点的影响较小。满足《大气污染物综合排放标准》（GB16297-1996）表2中无组织排放标准要求。</w:t>
            </w:r>
          </w:p>
          <w:p w14:paraId="1235F4B3">
            <w:pPr>
              <w:pStyle w:val="14"/>
              <w:keepNext w:val="0"/>
              <w:keepLines w:val="0"/>
              <w:widowControl/>
              <w:suppressLineNumbers w:val="0"/>
              <w:spacing w:before="0" w:beforeAutospacing="0" w:after="0" w:afterAutospacing="0" w:line="360" w:lineRule="auto"/>
              <w:ind w:left="0" w:right="0" w:firstLine="0" w:firstLineChars="0"/>
              <w:rPr>
                <w:rFonts w:hint="default" w:hAnsi="Times New Roman"/>
                <w:b/>
                <w:bCs/>
                <w:color w:val="000000" w:themeColor="text1"/>
                <w:highlight w:val="none"/>
                <w14:textFill>
                  <w14:solidFill>
                    <w14:schemeClr w14:val="tx1"/>
                  </w14:solidFill>
                </w14:textFill>
              </w:rPr>
            </w:pPr>
            <w:r>
              <w:rPr>
                <w:rFonts w:hint="default" w:hAnsi="Times New Roman"/>
                <w:b/>
                <w:bCs/>
                <w:color w:val="000000" w:themeColor="text1"/>
                <w:highlight w:val="none"/>
                <w14:textFill>
                  <w14:solidFill>
                    <w14:schemeClr w14:val="tx1"/>
                  </w14:solidFill>
                </w14:textFill>
              </w:rPr>
              <w:t>二、水环境污染防治措施</w:t>
            </w:r>
          </w:p>
          <w:p w14:paraId="29A77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1、施工废水</w:t>
            </w:r>
          </w:p>
          <w:p w14:paraId="22C4A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当建设施工队伍进入施工现场进行砂、石子冲洗等施工作业过程中将会有施工泥浆废水产生，因此要求施工方在施工现场开挖修建临时废水储存池，使施工泥浆废水经过沉淀澄清处理后，上清液回收利用，不外排，池内泥浆弃土定时挖出与建筑垃圾合并，运到管理部门指定的建筑渣土堆放场地妥善堆存处理。</w:t>
            </w:r>
          </w:p>
          <w:p w14:paraId="3F7F0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2、生活污水</w:t>
            </w:r>
          </w:p>
          <w:p w14:paraId="2C4AF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color w:val="000000" w:themeColor="text1"/>
                <w:szCs w:val="21"/>
                <w:highlight w:val="none"/>
                <w14:textFill>
                  <w14:solidFill>
                    <w14:schemeClr w14:val="tx1"/>
                  </w14:solidFill>
                </w14:textFill>
              </w:rPr>
            </w:pPr>
            <w:r>
              <w:rPr>
                <w:rFonts w:hint="default"/>
                <w:color w:val="000000" w:themeColor="text1"/>
                <w:highlight w:val="none"/>
                <w14:textFill>
                  <w14:solidFill>
                    <w14:schemeClr w14:val="tx1"/>
                  </w14:solidFill>
                </w14:textFill>
              </w:rPr>
              <w:t>施工人员生活污水</w:t>
            </w:r>
            <w:r>
              <w:rPr>
                <w:rFonts w:hint="eastAsia"/>
                <w:color w:val="000000" w:themeColor="text1"/>
                <w:highlight w:val="none"/>
                <w:lang w:val="en-US" w:eastAsia="zh-CN"/>
                <w14:textFill>
                  <w14:solidFill>
                    <w14:schemeClr w14:val="tx1"/>
                  </w14:solidFill>
                </w14:textFill>
              </w:rPr>
              <w:t>排入防渗旱厕，定期清掏，外运堆肥，不外排</w:t>
            </w:r>
            <w:r>
              <w:rPr>
                <w:rFonts w:hint="default"/>
                <w:color w:val="000000" w:themeColor="text1"/>
                <w:szCs w:val="21"/>
                <w:highlight w:val="none"/>
                <w14:textFill>
                  <w14:solidFill>
                    <w14:schemeClr w14:val="tx1"/>
                  </w14:solidFill>
                </w14:textFill>
              </w:rPr>
              <w:t>。</w:t>
            </w:r>
          </w:p>
          <w:p w14:paraId="692D9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在认真落实上述措施的基础上，施工废水对施工现场周围的环境影响较小，伴随施工期的结束也将结束。</w:t>
            </w:r>
          </w:p>
          <w:p w14:paraId="2421C23E">
            <w:pPr>
              <w:pStyle w:val="14"/>
              <w:keepNext w:val="0"/>
              <w:keepLines w:val="0"/>
              <w:widowControl/>
              <w:suppressLineNumbers w:val="0"/>
              <w:spacing w:before="0" w:beforeAutospacing="0" w:after="0" w:afterAutospacing="0" w:line="360" w:lineRule="auto"/>
              <w:ind w:left="0" w:right="0" w:firstLine="0" w:firstLineChars="0"/>
              <w:rPr>
                <w:rFonts w:hint="default" w:hAnsi="Times New Roman"/>
                <w:b/>
                <w:bCs/>
                <w:color w:val="000000" w:themeColor="text1"/>
                <w:highlight w:val="none"/>
                <w14:textFill>
                  <w14:solidFill>
                    <w14:schemeClr w14:val="tx1"/>
                  </w14:solidFill>
                </w14:textFill>
              </w:rPr>
            </w:pPr>
            <w:r>
              <w:rPr>
                <w:rFonts w:hint="default" w:hAnsi="Times New Roman"/>
                <w:b/>
                <w:bCs/>
                <w:color w:val="000000" w:themeColor="text1"/>
                <w:highlight w:val="none"/>
                <w14:textFill>
                  <w14:solidFill>
                    <w14:schemeClr w14:val="tx1"/>
                  </w14:solidFill>
                </w14:textFill>
              </w:rPr>
              <w:t>三、声环境防治措施</w:t>
            </w:r>
          </w:p>
          <w:p w14:paraId="112C2E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施工期噪声主要为挖掘机、推土机、轮式机、起重机、冲击式钻机、搅拌机等施工机械及车辆运行造成的。</w:t>
            </w:r>
          </w:p>
          <w:p w14:paraId="026AA4B6">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治理措施：①加强施工管理，合理安排施工作业时间，严格按照施工噪声管理的有关规定执行。施工现场施工单位必须执行《建筑施工场界环境噪声排放标准》（GB12523-2011）中的各项规定。将打桩等高噪声作业尽量安排在白天进行，杜绝夜间（22：00-7：00）施工噪声扰民。</w:t>
            </w:r>
          </w:p>
          <w:p w14:paraId="3AD82C97">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②尽量采用低噪声的施工工具，如以液压工具代替气压工具，同时尽可能采用施工噪声低的施工方法如在项目施工过程中合理调配施工设备，将噪声较大的设备、项目主入口设置于远离环境敏感点的位置。</w:t>
            </w:r>
          </w:p>
          <w:p w14:paraId="2700EFF4">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③合理进行施工总平面布置，高噪设备进行隔声、减振，施工现场设置隔挡，在特殊点施工时安装隔声屏障。</w:t>
            </w:r>
          </w:p>
          <w:p w14:paraId="20D67A3A">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④混凝土需要连续浇灌作业前，应做好各项准备工作，将搅拌机运行时间压到最低限度。</w:t>
            </w:r>
          </w:p>
          <w:p w14:paraId="7BE0C70B">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⑤定期对机械、设备进行维护、检修。</w:t>
            </w:r>
          </w:p>
          <w:p w14:paraId="18200505">
            <w:pPr>
              <w:pStyle w:val="9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textAlignment w:val="auto"/>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⑥加强对运输车辆的管理，施工过程中各种运输车辆的运行，还将会引起公路沿线噪声级的增加。因此，应加强对运输车辆的管理，制订合理运输路线，采取控制车速和禁鸣笛等措施，减少运输噪声污染。</w:t>
            </w:r>
          </w:p>
          <w:p w14:paraId="4BDAF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各施工阶段的设备产生的噪声具有阶段性、临时性和不固定性，不同的施工阶段有不同的噪声源。通过采取上述措施，施工期噪声对周边环境影响较小，基本不会产生扰民现象，并会随着施工期结束而消失。采取以上措施后，施工场界声环境可满足《建筑施工场界环境噪声排放标准》（GB12523-2011）中规定的标准。</w:t>
            </w:r>
          </w:p>
          <w:p w14:paraId="330DEC7B">
            <w:pPr>
              <w:keepNext w:val="0"/>
              <w:keepLines w:val="0"/>
              <w:widowControl/>
              <w:suppressLineNumbers w:val="0"/>
              <w:spacing w:before="0" w:beforeAutospacing="0" w:after="0" w:afterAutospacing="0" w:line="360" w:lineRule="auto"/>
              <w:ind w:left="0" w:right="0" w:firstLine="0" w:firstLineChars="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四、固体废物影响分析</w:t>
            </w:r>
          </w:p>
          <w:p w14:paraId="2071DACB">
            <w:pPr>
              <w:keepNext w:val="0"/>
              <w:keepLines w:val="0"/>
              <w:widowControl/>
              <w:suppressLineNumbers w:val="0"/>
              <w:spacing w:before="0" w:beforeAutospacing="0" w:after="0" w:afterAutospacing="0" w:line="360" w:lineRule="auto"/>
              <w:ind w:left="0" w:right="0" w:firstLine="420" w:firstLineChars="200"/>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施工期产生的固体废物主要包括建筑废弃材料和施工人员生活垃圾</w:t>
            </w:r>
            <w:r>
              <w:rPr>
                <w:rFonts w:hint="default"/>
                <w:color w:val="000000" w:themeColor="text1"/>
                <w:sz w:val="21"/>
                <w:szCs w:val="21"/>
                <w:highlight w:val="none"/>
                <w14:textFill>
                  <w14:solidFill>
                    <w14:schemeClr w14:val="tx1"/>
                  </w14:solidFill>
                </w14:textFill>
              </w:rPr>
              <w:t>。</w:t>
            </w:r>
          </w:p>
          <w:p w14:paraId="53E55187">
            <w:pPr>
              <w:keepNext w:val="0"/>
              <w:keepLines w:val="0"/>
              <w:widowControl/>
              <w:suppressLineNumbers w:val="0"/>
              <w:spacing w:before="0" w:beforeAutospacing="0" w:after="0" w:afterAutospacing="0" w:line="360" w:lineRule="auto"/>
              <w:ind w:left="0" w:right="0" w:firstLine="420" w:firstLineChars="200"/>
              <w:rPr>
                <w:rFonts w:hint="default"/>
                <w:color w:val="000000" w:themeColor="text1"/>
                <w:sz w:val="21"/>
                <w:highlight w:val="none"/>
                <w14:textFill>
                  <w14:solidFill>
                    <w14:schemeClr w14:val="tx1"/>
                  </w14:solidFill>
                </w14:textFill>
              </w:rPr>
            </w:pPr>
            <w:r>
              <w:rPr>
                <w:rFonts w:hint="default"/>
                <w:color w:val="000000" w:themeColor="text1"/>
                <w:sz w:val="21"/>
                <w:highlight w:val="none"/>
                <w14:textFill>
                  <w14:solidFill>
                    <w14:schemeClr w14:val="tx1"/>
                  </w14:solidFill>
                </w14:textFill>
              </w:rPr>
              <w:t>对施工产生的废料首先应考虑废料的回收利用，如钢筋、钢板、木材等下角料可分类回收，由废物收购站处理；建筑垃圾，如混凝土废料、含砖、石、砂的杂土应集中堆放，定时清运，送建筑废渣专用堆放场，以免影响施工和环境卫生。施工人员生活垃圾设置专门的储存设施，集中收集后交由市政部门处理。</w:t>
            </w:r>
          </w:p>
          <w:p w14:paraId="2A586C76">
            <w:pPr>
              <w:keepNext w:val="0"/>
              <w:keepLines w:val="0"/>
              <w:widowControl/>
              <w:suppressLineNumbers w:val="0"/>
              <w:adjustRightInd/>
              <w:snapToGrid/>
              <w:spacing w:before="0" w:beforeAutospacing="0" w:after="0" w:afterAutospacing="0" w:line="360" w:lineRule="auto"/>
              <w:ind w:left="0" w:right="0" w:firstLine="420" w:firstLineChars="20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施工期固体废物处置率100%。</w:t>
            </w:r>
          </w:p>
          <w:p w14:paraId="24EC3AF1">
            <w:pPr>
              <w:keepNext w:val="0"/>
              <w:keepLines w:val="0"/>
              <w:widowControl/>
              <w:suppressLineNumbers w:val="0"/>
              <w:adjustRightInd/>
              <w:snapToGrid/>
              <w:spacing w:before="0" w:beforeAutospacing="0" w:after="0" w:afterAutospacing="0" w:line="360" w:lineRule="auto"/>
              <w:ind w:left="0" w:right="0"/>
              <w:rPr>
                <w:rFonts w:hint="default" w:eastAsia="宋体"/>
                <w:b/>
                <w:bCs/>
                <w:color w:val="000000" w:themeColor="text1"/>
                <w:sz w:val="21"/>
                <w:highlight w:val="none"/>
                <w:lang w:val="en-US" w:eastAsia="zh-CN"/>
                <w14:textFill>
                  <w14:solidFill>
                    <w14:schemeClr w14:val="tx1"/>
                  </w14:solidFill>
                </w14:textFill>
              </w:rPr>
            </w:pPr>
            <w:r>
              <w:rPr>
                <w:rFonts w:hint="eastAsia"/>
                <w:b/>
                <w:bCs/>
                <w:color w:val="000000" w:themeColor="text1"/>
                <w:sz w:val="21"/>
                <w:highlight w:val="none"/>
                <w:lang w:val="en-US" w:eastAsia="zh-CN"/>
                <w14:textFill>
                  <w14:solidFill>
                    <w14:schemeClr w14:val="tx1"/>
                  </w14:solidFill>
                </w14:textFill>
              </w:rPr>
              <w:t>五、环境保护目标影响分析</w:t>
            </w:r>
          </w:p>
          <w:p w14:paraId="1CBECC8D">
            <w:pPr>
              <w:keepNext w:val="0"/>
              <w:keepLines w:val="0"/>
              <w:suppressLineNumbers w:val="0"/>
              <w:spacing w:before="0" w:beforeAutospacing="0" w:after="0" w:afterAutospacing="0" w:line="360" w:lineRule="auto"/>
              <w:ind w:left="0" w:right="0" w:firstLine="420" w:firstLineChars="200"/>
              <w:jc w:val="left"/>
              <w:rPr>
                <w:rFonts w:hint="eastAsia" w:eastAsia="宋体"/>
                <w:color w:val="000000" w:themeColor="text1"/>
                <w:highlight w:val="none"/>
                <w:lang w:val="en-US" w:eastAsia="zh-CN"/>
                <w14:textFill>
                  <w14:solidFill>
                    <w14:schemeClr w14:val="tx1"/>
                  </w14:solidFill>
                </w14:textFill>
              </w:rPr>
            </w:pPr>
            <w:r>
              <w:rPr>
                <w:rFonts w:hint="default"/>
                <w:color w:val="000000" w:themeColor="text1"/>
                <w:sz w:val="21"/>
                <w:highlight w:val="none"/>
                <w14:textFill>
                  <w14:solidFill>
                    <w14:schemeClr w14:val="tx1"/>
                  </w14:solidFill>
                </w14:textFill>
              </w:rPr>
              <w:t>施工期的环境影响是短暂的，只要建设施工单位加强全员职工的环境保护意识，并从施工设备的技术和管理两个方面做到文明施工、清洁施工，</w:t>
            </w:r>
            <w:r>
              <w:rPr>
                <w:rFonts w:hint="eastAsia"/>
                <w:color w:val="000000" w:themeColor="text1"/>
                <w:sz w:val="21"/>
                <w:highlight w:val="none"/>
                <w:lang w:val="en-US" w:eastAsia="zh-CN"/>
                <w14:textFill>
                  <w14:solidFill>
                    <w14:schemeClr w14:val="tx1"/>
                  </w14:solidFill>
                </w14:textFill>
              </w:rPr>
              <w:t>对上述各污染物分别采取上述相应环保措施，</w:t>
            </w:r>
            <w:r>
              <w:rPr>
                <w:rFonts w:hint="default"/>
                <w:color w:val="000000" w:themeColor="text1"/>
                <w:sz w:val="21"/>
                <w:highlight w:val="none"/>
                <w14:textFill>
                  <w14:solidFill>
                    <w14:schemeClr w14:val="tx1"/>
                  </w14:solidFill>
                </w14:textFill>
              </w:rPr>
              <w:t>那么本项目在建设施工期对周围环境</w:t>
            </w:r>
            <w:r>
              <w:rPr>
                <w:rFonts w:hint="eastAsia"/>
                <w:color w:val="000000" w:themeColor="text1"/>
                <w:sz w:val="21"/>
                <w:highlight w:val="none"/>
                <w:lang w:val="en-US" w:eastAsia="zh-CN"/>
                <w14:textFill>
                  <w14:solidFill>
                    <w14:schemeClr w14:val="tx1"/>
                  </w14:solidFill>
                </w14:textFill>
              </w:rPr>
              <w:t>保护目标</w:t>
            </w:r>
            <w:r>
              <w:rPr>
                <w:rFonts w:hint="default"/>
                <w:color w:val="000000" w:themeColor="text1"/>
                <w:sz w:val="21"/>
                <w:highlight w:val="none"/>
                <w14:textFill>
                  <w14:solidFill>
                    <w14:schemeClr w14:val="tx1"/>
                  </w14:solidFill>
                </w14:textFill>
              </w:rPr>
              <w:t>所产生的污染影响可控制在国家有关规定的允许范围内。当本项目建设施工结束后，上述对环境的污染影响可得到消除</w:t>
            </w:r>
            <w:r>
              <w:rPr>
                <w:rFonts w:hint="eastAsia"/>
                <w:color w:val="000000" w:themeColor="text1"/>
                <w:sz w:val="21"/>
                <w:highlight w:val="none"/>
                <w:lang w:eastAsia="zh-CN"/>
                <w14:textFill>
                  <w14:solidFill>
                    <w14:schemeClr w14:val="tx1"/>
                  </w14:solidFill>
                </w14:textFill>
              </w:rPr>
              <w:t>。</w:t>
            </w:r>
          </w:p>
        </w:tc>
      </w:tr>
      <w:tr w14:paraId="2AF62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99" w:type="dxa"/>
            <w:noWrap w:val="0"/>
            <w:tcMar>
              <w:left w:w="28" w:type="dxa"/>
              <w:right w:w="28" w:type="dxa"/>
            </w:tcMar>
            <w:vAlign w:val="center"/>
          </w:tcPr>
          <w:p w14:paraId="1A42223A">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运营</w:t>
            </w:r>
          </w:p>
          <w:p w14:paraId="21E7EC86">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期环</w:t>
            </w:r>
          </w:p>
          <w:p w14:paraId="488A09A6">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境影</w:t>
            </w:r>
          </w:p>
          <w:p w14:paraId="78E6B0E2">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响和</w:t>
            </w:r>
          </w:p>
          <w:p w14:paraId="13C55E1E">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保护</w:t>
            </w:r>
          </w:p>
          <w:p w14:paraId="40B930BB">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措施</w:t>
            </w:r>
          </w:p>
        </w:tc>
        <w:tc>
          <w:tcPr>
            <w:tcW w:w="8254" w:type="dxa"/>
            <w:noWrap w:val="0"/>
            <w:vAlign w:val="top"/>
          </w:tcPr>
          <w:p w14:paraId="0C62ED33">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bCs/>
                <w:color w:val="000000" w:themeColor="text1"/>
                <w:kern w:val="21"/>
                <w:szCs w:val="21"/>
                <w:highlight w:val="none"/>
                <w14:textFill>
                  <w14:solidFill>
                    <w14:schemeClr w14:val="tx1"/>
                  </w14:solidFill>
                </w14:textFill>
              </w:rPr>
            </w:pPr>
            <w:r>
              <w:rPr>
                <w:rFonts w:hint="default" w:ascii="Times New Roman" w:hAnsi="Times New Roman" w:cs="Times New Roman"/>
                <w:b/>
                <w:bCs/>
                <w:color w:val="000000" w:themeColor="text1"/>
                <w:kern w:val="21"/>
                <w:szCs w:val="21"/>
                <w:highlight w:val="none"/>
                <w14:textFill>
                  <w14:solidFill>
                    <w14:schemeClr w14:val="tx1"/>
                  </w14:solidFill>
                </w14:textFill>
              </w:rPr>
              <w:t>1、废气</w:t>
            </w:r>
          </w:p>
          <w:p w14:paraId="15A30E7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w:t>
            </w:r>
            <w:r>
              <w:rPr>
                <w:rFonts w:hint="eastAsia" w:cs="Times New Roman"/>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Cs/>
                <w:color w:val="000000" w:themeColor="text1"/>
                <w:szCs w:val="21"/>
                <w:highlight w:val="none"/>
                <w14:textFill>
                  <w14:solidFill>
                    <w14:schemeClr w14:val="tx1"/>
                  </w14:solidFill>
                </w14:textFill>
              </w:rPr>
              <w:t>）项目废气污染源</w:t>
            </w:r>
          </w:p>
          <w:p w14:paraId="5FD105F2">
            <w:pPr>
              <w:pStyle w:val="140"/>
              <w:keepNext w:val="0"/>
              <w:keepLines w:val="0"/>
              <w:suppressLineNumbers w:val="0"/>
              <w:spacing w:before="0" w:beforeAutospacing="0" w:after="0" w:afterAutospacing="0" w:line="240" w:lineRule="auto"/>
              <w:ind w:left="0" w:right="0"/>
              <w:jc w:val="center"/>
              <w:rPr>
                <w:rFonts w:hint="eastAsia" w:ascii="宋体" w:eastAsia="宋体" w:cs="宋体"/>
                <w:b/>
                <w:color w:val="000000" w:themeColor="text1"/>
                <w:sz w:val="21"/>
                <w:szCs w:val="21"/>
                <w:highlight w:val="none"/>
                <w14:textFill>
                  <w14:solidFill>
                    <w14:schemeClr w14:val="tx1"/>
                  </w14:solidFill>
                </w14:textFill>
              </w:rPr>
            </w:pPr>
            <w:r>
              <w:rPr>
                <w:rFonts w:hint="eastAsia" w:ascii="宋体" w:eastAsia="宋体" w:cs="宋体"/>
                <w:b/>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14:textFill>
                  <w14:solidFill>
                    <w14:schemeClr w14:val="tx1"/>
                  </w14:solidFill>
                </w14:textFill>
              </w:rPr>
              <w:t>4-</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1</w:t>
            </w:r>
            <w:r>
              <w:rPr>
                <w:rFonts w:hint="eastAsia" w:ascii="宋体" w:eastAsia="宋体" w:cs="宋体"/>
                <w:b/>
                <w:color w:val="000000" w:themeColor="text1"/>
                <w:sz w:val="21"/>
                <w:szCs w:val="21"/>
                <w:highlight w:val="none"/>
                <w14:textFill>
                  <w14:solidFill>
                    <w14:schemeClr w14:val="tx1"/>
                  </w14:solidFill>
                </w14:textFill>
              </w:rPr>
              <w:t>废气污染源源强核算结果及相关参数一览表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
              <w:gridCol w:w="306"/>
              <w:gridCol w:w="343"/>
              <w:gridCol w:w="306"/>
              <w:gridCol w:w="535"/>
              <w:gridCol w:w="661"/>
              <w:gridCol w:w="675"/>
              <w:gridCol w:w="650"/>
              <w:gridCol w:w="1070"/>
              <w:gridCol w:w="299"/>
              <w:gridCol w:w="358"/>
              <w:gridCol w:w="498"/>
              <w:gridCol w:w="675"/>
              <w:gridCol w:w="729"/>
              <w:gridCol w:w="631"/>
              <w:gridCol w:w="26"/>
            </w:tblGrid>
            <w:tr w14:paraId="743D77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 w:type="pct"/>
                <w:trHeight w:val="340" w:hRule="atLeast"/>
                <w:jc w:val="center"/>
              </w:trPr>
              <w:tc>
                <w:tcPr>
                  <w:tcW w:w="371" w:type="pct"/>
                  <w:gridSpan w:val="2"/>
                  <w:vMerge w:val="restart"/>
                  <w:noWrap w:val="0"/>
                  <w:vAlign w:val="center"/>
                </w:tcPr>
                <w:p w14:paraId="3A761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排放源</w:t>
                  </w:r>
                </w:p>
              </w:tc>
              <w:tc>
                <w:tcPr>
                  <w:tcW w:w="212" w:type="pct"/>
                  <w:vMerge w:val="restart"/>
                  <w:noWrap w:val="0"/>
                  <w:vAlign w:val="center"/>
                </w:tcPr>
                <w:p w14:paraId="69674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w:t>
                  </w:r>
                </w:p>
              </w:tc>
              <w:tc>
                <w:tcPr>
                  <w:tcW w:w="1755" w:type="pct"/>
                  <w:gridSpan w:val="5"/>
                  <w:noWrap w:val="0"/>
                  <w:vAlign w:val="center"/>
                </w:tcPr>
                <w:p w14:paraId="349A3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污染物产生</w:t>
                  </w:r>
                </w:p>
              </w:tc>
              <w:tc>
                <w:tcPr>
                  <w:tcW w:w="849" w:type="pct"/>
                  <w:gridSpan w:val="2"/>
                  <w:noWrap w:val="0"/>
                  <w:vAlign w:val="center"/>
                </w:tcPr>
                <w:p w14:paraId="6F57E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治理措施</w:t>
                  </w:r>
                </w:p>
              </w:tc>
              <w:tc>
                <w:tcPr>
                  <w:tcW w:w="1794" w:type="pct"/>
                  <w:gridSpan w:val="5"/>
                  <w:noWrap w:val="0"/>
                  <w:vAlign w:val="center"/>
                </w:tcPr>
                <w:p w14:paraId="2178B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污染物排放</w:t>
                  </w:r>
                </w:p>
              </w:tc>
            </w:tr>
            <w:tr w14:paraId="53BC4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gridSpan w:val="2"/>
                  <w:vMerge w:val="continue"/>
                  <w:noWrap w:val="0"/>
                  <w:vAlign w:val="center"/>
                </w:tcPr>
                <w:p w14:paraId="2AE7D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vMerge w:val="continue"/>
                  <w:noWrap w:val="0"/>
                  <w:vAlign w:val="center"/>
                </w:tcPr>
                <w:p w14:paraId="658D51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noWrap w:val="0"/>
                  <w:vAlign w:val="center"/>
                </w:tcPr>
                <w:p w14:paraId="5F63F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核算方法</w:t>
                  </w:r>
                </w:p>
              </w:tc>
              <w:tc>
                <w:tcPr>
                  <w:tcW w:w="332" w:type="pct"/>
                  <w:noWrap w:val="0"/>
                  <w:vAlign w:val="center"/>
                </w:tcPr>
                <w:p w14:paraId="75D4A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/h</w:t>
                  </w:r>
                </w:p>
              </w:tc>
              <w:tc>
                <w:tcPr>
                  <w:tcW w:w="410" w:type="pct"/>
                  <w:noWrap w:val="0"/>
                  <w:vAlign w:val="center"/>
                </w:tcPr>
                <w:p w14:paraId="41821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w:t>
                  </w:r>
                </w:p>
                <w:p w14:paraId="36FE2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p>
              </w:tc>
              <w:tc>
                <w:tcPr>
                  <w:tcW w:w="419" w:type="pct"/>
                  <w:noWrap w:val="0"/>
                  <w:vAlign w:val="center"/>
                </w:tcPr>
                <w:p w14:paraId="40C1A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产生速率kg/h</w:t>
                  </w:r>
                </w:p>
              </w:tc>
              <w:tc>
                <w:tcPr>
                  <w:tcW w:w="403" w:type="pct"/>
                  <w:noWrap w:val="0"/>
                  <w:vAlign w:val="center"/>
                </w:tcPr>
                <w:p w14:paraId="45B52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产生量</w:t>
                  </w:r>
                </w:p>
                <w:p w14:paraId="39F4E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t/a</w:t>
                  </w:r>
                </w:p>
              </w:tc>
              <w:tc>
                <w:tcPr>
                  <w:tcW w:w="664" w:type="pct"/>
                  <w:noWrap w:val="0"/>
                  <w:vAlign w:val="center"/>
                </w:tcPr>
                <w:p w14:paraId="23848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工艺</w:t>
                  </w:r>
                </w:p>
              </w:tc>
              <w:tc>
                <w:tcPr>
                  <w:tcW w:w="185" w:type="pct"/>
                  <w:noWrap w:val="0"/>
                  <w:vAlign w:val="center"/>
                </w:tcPr>
                <w:p w14:paraId="5B716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效率%</w:t>
                  </w:r>
                </w:p>
              </w:tc>
              <w:tc>
                <w:tcPr>
                  <w:tcW w:w="222" w:type="pct"/>
                  <w:noWrap w:val="0"/>
                  <w:vAlign w:val="center"/>
                </w:tcPr>
                <w:p w14:paraId="3433E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核算方法</w:t>
                  </w:r>
                </w:p>
              </w:tc>
              <w:tc>
                <w:tcPr>
                  <w:tcW w:w="309" w:type="pct"/>
                  <w:noWrap w:val="0"/>
                  <w:vAlign w:val="center"/>
                </w:tcPr>
                <w:p w14:paraId="60A63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废气量m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/h</w:t>
                  </w:r>
                </w:p>
              </w:tc>
              <w:tc>
                <w:tcPr>
                  <w:tcW w:w="419" w:type="pct"/>
                  <w:noWrap w:val="0"/>
                  <w:vAlign w:val="center"/>
                </w:tcPr>
                <w:p w14:paraId="7207D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w:t>
                  </w:r>
                </w:p>
                <w:p w14:paraId="3234E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浓度mg/m</w:t>
                  </w:r>
                  <w:r>
                    <w:rPr>
                      <w:rFonts w:hint="default" w:ascii="Times New Roman" w:hAnsi="Times New Roman" w:eastAsia="宋体" w:cs="Times New Roman"/>
                      <w:color w:val="000000" w:themeColor="text1"/>
                      <w:spacing w:val="0"/>
                      <w:kern w:val="0"/>
                      <w:position w:val="0"/>
                      <w:sz w:val="18"/>
                      <w:szCs w:val="18"/>
                      <w:highlight w:val="none"/>
                      <w:vertAlign w:val="superscript"/>
                      <w14:textFill>
                        <w14:solidFill>
                          <w14:schemeClr w14:val="tx1"/>
                        </w14:solidFill>
                      </w14:textFill>
                    </w:rPr>
                    <w:t>3</w:t>
                  </w:r>
                </w:p>
              </w:tc>
              <w:tc>
                <w:tcPr>
                  <w:tcW w:w="452" w:type="pct"/>
                  <w:noWrap w:val="0"/>
                  <w:vAlign w:val="center"/>
                </w:tcPr>
                <w:p w14:paraId="1A418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产生速率kg/h</w:t>
                  </w:r>
                </w:p>
              </w:tc>
              <w:tc>
                <w:tcPr>
                  <w:tcW w:w="407" w:type="pct"/>
                  <w:gridSpan w:val="2"/>
                  <w:noWrap w:val="0"/>
                  <w:vAlign w:val="center"/>
                </w:tcPr>
                <w:p w14:paraId="13E69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排放量</w:t>
                  </w:r>
                </w:p>
                <w:p w14:paraId="4CBAFD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t>t/a</w:t>
                  </w:r>
                </w:p>
              </w:tc>
            </w:tr>
            <w:tr w14:paraId="65988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restart"/>
                  <w:noWrap w:val="0"/>
                  <w:vAlign w:val="center"/>
                </w:tcPr>
                <w:p w14:paraId="1AB9A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有组织排放</w:t>
                  </w:r>
                </w:p>
              </w:tc>
              <w:tc>
                <w:tcPr>
                  <w:tcW w:w="189" w:type="pct"/>
                  <w:vMerge w:val="restart"/>
                  <w:noWrap w:val="0"/>
                  <w:vAlign w:val="center"/>
                </w:tcPr>
                <w:p w14:paraId="7EAA0D8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热风炉</w:t>
                  </w:r>
                  <w:r>
                    <w:rPr>
                      <w:rFonts w:hint="eastAsia" w:cs="Times New Roman"/>
                      <w:color w:val="000000" w:themeColor="text1"/>
                      <w:sz w:val="18"/>
                      <w:szCs w:val="18"/>
                      <w:highlight w:val="none"/>
                      <w:lang w:val="en-US" w:eastAsia="zh-CN"/>
                      <w14:textFill>
                        <w14:solidFill>
                          <w14:schemeClr w14:val="tx1"/>
                        </w14:solidFill>
                      </w14:textFill>
                    </w:rPr>
                    <w:t>烟囱</w:t>
                  </w:r>
                </w:p>
              </w:tc>
              <w:tc>
                <w:tcPr>
                  <w:tcW w:w="212" w:type="pct"/>
                  <w:noWrap w:val="0"/>
                  <w:vAlign w:val="center"/>
                </w:tcPr>
                <w:p w14:paraId="768DB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颗粒物</w:t>
                  </w:r>
                </w:p>
              </w:tc>
              <w:tc>
                <w:tcPr>
                  <w:tcW w:w="189" w:type="pct"/>
                  <w:vMerge w:val="restart"/>
                  <w:noWrap w:val="0"/>
                  <w:vAlign w:val="center"/>
                </w:tcPr>
                <w:p w14:paraId="43753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物料衡算</w:t>
                  </w: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法</w:t>
                  </w:r>
                </w:p>
              </w:tc>
              <w:tc>
                <w:tcPr>
                  <w:tcW w:w="332" w:type="pct"/>
                  <w:vMerge w:val="restart"/>
                  <w:noWrap w:val="0"/>
                  <w:vAlign w:val="center"/>
                </w:tcPr>
                <w:p w14:paraId="3A513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11563</w:t>
                  </w:r>
                </w:p>
              </w:tc>
              <w:tc>
                <w:tcPr>
                  <w:tcW w:w="410" w:type="pct"/>
                  <w:noWrap w:val="0"/>
                  <w:vAlign w:val="center"/>
                </w:tcPr>
                <w:p w14:paraId="43BD0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2856</w:t>
                  </w:r>
                </w:p>
              </w:tc>
              <w:tc>
                <w:tcPr>
                  <w:tcW w:w="419" w:type="pct"/>
                  <w:noWrap w:val="0"/>
                  <w:vAlign w:val="center"/>
                </w:tcPr>
                <w:p w14:paraId="126C1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33.0</w:t>
                  </w:r>
                </w:p>
              </w:tc>
              <w:tc>
                <w:tcPr>
                  <w:tcW w:w="403" w:type="pct"/>
                  <w:noWrap w:val="0"/>
                  <w:vAlign w:val="center"/>
                </w:tcPr>
                <w:p w14:paraId="2C41A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31.7</w:t>
                  </w:r>
                </w:p>
              </w:tc>
              <w:tc>
                <w:tcPr>
                  <w:tcW w:w="664" w:type="pct"/>
                  <w:noWrap w:val="0"/>
                  <w:vAlign w:val="center"/>
                </w:tcPr>
                <w:p w14:paraId="12606B7A">
                  <w:pPr>
                    <w:pStyle w:val="4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布袋除尘器+15米高烟囱</w:t>
                  </w:r>
                </w:p>
              </w:tc>
              <w:tc>
                <w:tcPr>
                  <w:tcW w:w="185" w:type="pct"/>
                  <w:noWrap w:val="0"/>
                  <w:vAlign w:val="center"/>
                </w:tcPr>
                <w:p w14:paraId="4CE91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99</w:t>
                  </w:r>
                </w:p>
              </w:tc>
              <w:tc>
                <w:tcPr>
                  <w:tcW w:w="222" w:type="pct"/>
                  <w:vMerge w:val="restart"/>
                  <w:noWrap w:val="0"/>
                  <w:vAlign w:val="center"/>
                </w:tcPr>
                <w:p w14:paraId="22F56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物料衡算法</w:t>
                  </w:r>
                </w:p>
              </w:tc>
              <w:tc>
                <w:tcPr>
                  <w:tcW w:w="309" w:type="pct"/>
                  <w:vMerge w:val="restart"/>
                  <w:noWrap w:val="0"/>
                  <w:vAlign w:val="center"/>
                </w:tcPr>
                <w:p w14:paraId="3DD35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11563</w:t>
                  </w:r>
                </w:p>
              </w:tc>
              <w:tc>
                <w:tcPr>
                  <w:tcW w:w="419" w:type="pct"/>
                  <w:noWrap w:val="0"/>
                  <w:vAlign w:val="center"/>
                </w:tcPr>
                <w:p w14:paraId="4C620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28.56</w:t>
                  </w:r>
                </w:p>
              </w:tc>
              <w:tc>
                <w:tcPr>
                  <w:tcW w:w="452" w:type="pct"/>
                  <w:noWrap w:val="0"/>
                  <w:vAlign w:val="center"/>
                </w:tcPr>
                <w:p w14:paraId="6EC2A0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position w:val="0"/>
                      <w:sz w:val="18"/>
                      <w:szCs w:val="18"/>
                      <w:highlight w:val="none"/>
                      <w:lang w:val="en-US" w:eastAsia="zh-CN"/>
                      <w14:textFill>
                        <w14:solidFill>
                          <w14:schemeClr w14:val="tx1"/>
                        </w14:solidFill>
                      </w14:textFill>
                    </w:rPr>
                    <w:t>0.330</w:t>
                  </w:r>
                </w:p>
              </w:tc>
              <w:tc>
                <w:tcPr>
                  <w:tcW w:w="407" w:type="pct"/>
                  <w:gridSpan w:val="2"/>
                  <w:noWrap w:val="0"/>
                  <w:vAlign w:val="center"/>
                </w:tcPr>
                <w:p w14:paraId="2ECEC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0.317</w:t>
                  </w:r>
                </w:p>
              </w:tc>
            </w:tr>
            <w:tr w14:paraId="254126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4B40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7789DF5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noWrap w:val="0"/>
                  <w:vAlign w:val="center"/>
                </w:tcPr>
                <w:p w14:paraId="5843F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SO</w:t>
                  </w:r>
                  <w:r>
                    <w:rPr>
                      <w:rFonts w:hint="default" w:ascii="Times New Roman" w:hAnsi="Times New Roman" w:eastAsia="宋体" w:cs="Times New Roman"/>
                      <w:color w:val="000000" w:themeColor="text1"/>
                      <w:spacing w:val="0"/>
                      <w:position w:val="0"/>
                      <w:sz w:val="18"/>
                      <w:szCs w:val="18"/>
                      <w:highlight w:val="none"/>
                      <w:vertAlign w:val="subscript"/>
                      <w14:textFill>
                        <w14:solidFill>
                          <w14:schemeClr w14:val="tx1"/>
                        </w14:solidFill>
                      </w14:textFill>
                    </w:rPr>
                    <w:t>2</w:t>
                  </w:r>
                </w:p>
              </w:tc>
              <w:tc>
                <w:tcPr>
                  <w:tcW w:w="189" w:type="pct"/>
                  <w:vMerge w:val="continue"/>
                  <w:noWrap w:val="0"/>
                  <w:vAlign w:val="center"/>
                </w:tcPr>
                <w:p w14:paraId="67C44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vMerge w:val="continue"/>
                  <w:noWrap w:val="0"/>
                  <w:vAlign w:val="center"/>
                </w:tcPr>
                <w:p w14:paraId="64FCE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0" w:type="pct"/>
                  <w:noWrap w:val="0"/>
                  <w:vAlign w:val="center"/>
                </w:tcPr>
                <w:p w14:paraId="286B21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bidi="ar-SA"/>
                      <w14:textFill>
                        <w14:solidFill>
                          <w14:schemeClr w14:val="tx1"/>
                        </w14:solidFill>
                      </w14:textFill>
                    </w:rPr>
                    <w:t>34.14</w:t>
                  </w:r>
                </w:p>
              </w:tc>
              <w:tc>
                <w:tcPr>
                  <w:tcW w:w="419" w:type="pct"/>
                  <w:noWrap w:val="0"/>
                  <w:vAlign w:val="center"/>
                </w:tcPr>
                <w:p w14:paraId="737E2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14:textFill>
                        <w14:solidFill>
                          <w14:schemeClr w14:val="tx1"/>
                        </w14:solidFill>
                      </w14:textFill>
                    </w:rPr>
                    <w:t>0.</w:t>
                  </w:r>
                  <w:r>
                    <w:rPr>
                      <w:rFonts w:hint="eastAsia" w:cs="Times New Roman"/>
                      <w:color w:val="000000" w:themeColor="text1"/>
                      <w:position w:val="0"/>
                      <w:sz w:val="18"/>
                      <w:szCs w:val="18"/>
                      <w:highlight w:val="none"/>
                      <w:lang w:val="en-US" w:eastAsia="zh-CN"/>
                      <w14:textFill>
                        <w14:solidFill>
                          <w14:schemeClr w14:val="tx1"/>
                        </w14:solidFill>
                      </w14:textFill>
                    </w:rPr>
                    <w:t>395</w:t>
                  </w:r>
                </w:p>
              </w:tc>
              <w:tc>
                <w:tcPr>
                  <w:tcW w:w="403" w:type="pct"/>
                  <w:noWrap w:val="0"/>
                  <w:vAlign w:val="center"/>
                </w:tcPr>
                <w:p w14:paraId="21D9A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0.379</w:t>
                  </w:r>
                </w:p>
              </w:tc>
              <w:tc>
                <w:tcPr>
                  <w:tcW w:w="664" w:type="pct"/>
                  <w:noWrap w:val="0"/>
                  <w:vAlign w:val="center"/>
                </w:tcPr>
                <w:p w14:paraId="0D2AE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185" w:type="pct"/>
                  <w:noWrap w:val="0"/>
                  <w:vAlign w:val="center"/>
                </w:tcPr>
                <w:p w14:paraId="55DA9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22" w:type="pct"/>
                  <w:vMerge w:val="continue"/>
                  <w:noWrap w:val="0"/>
                  <w:vAlign w:val="center"/>
                </w:tcPr>
                <w:p w14:paraId="3DC9E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vMerge w:val="continue"/>
                  <w:noWrap w:val="0"/>
                  <w:vAlign w:val="center"/>
                </w:tcPr>
                <w:p w14:paraId="7E22A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675" w:type="dxa"/>
                  <w:noWrap w:val="0"/>
                  <w:vAlign w:val="center"/>
                </w:tcPr>
                <w:p w14:paraId="1BE909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bidi="ar-SA"/>
                      <w14:textFill>
                        <w14:solidFill>
                          <w14:schemeClr w14:val="tx1"/>
                        </w14:solidFill>
                      </w14:textFill>
                    </w:rPr>
                    <w:t>34.1 4</w:t>
                  </w:r>
                </w:p>
              </w:tc>
              <w:tc>
                <w:tcPr>
                  <w:tcW w:w="729" w:type="dxa"/>
                  <w:noWrap w:val="0"/>
                  <w:vAlign w:val="center"/>
                </w:tcPr>
                <w:p w14:paraId="2A4FC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0"/>
                      <w:sz w:val="18"/>
                      <w:szCs w:val="18"/>
                      <w:highlight w:val="none"/>
                      <w14:textFill>
                        <w14:solidFill>
                          <w14:schemeClr w14:val="tx1"/>
                        </w14:solidFill>
                      </w14:textFill>
                    </w:rPr>
                    <w:t>0.</w:t>
                  </w:r>
                  <w:r>
                    <w:rPr>
                      <w:rFonts w:hint="eastAsia" w:cs="Times New Roman"/>
                      <w:color w:val="000000" w:themeColor="text1"/>
                      <w:position w:val="0"/>
                      <w:sz w:val="18"/>
                      <w:szCs w:val="18"/>
                      <w:highlight w:val="none"/>
                      <w:lang w:val="en-US" w:eastAsia="zh-CN"/>
                      <w14:textFill>
                        <w14:solidFill>
                          <w14:schemeClr w14:val="tx1"/>
                        </w14:solidFill>
                      </w14:textFill>
                    </w:rPr>
                    <w:t>395</w:t>
                  </w:r>
                </w:p>
              </w:tc>
              <w:tc>
                <w:tcPr>
                  <w:tcW w:w="657" w:type="dxa"/>
                  <w:gridSpan w:val="2"/>
                  <w:noWrap w:val="0"/>
                  <w:vAlign w:val="center"/>
                </w:tcPr>
                <w:p w14:paraId="4B93E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0.379</w:t>
                  </w:r>
                </w:p>
              </w:tc>
            </w:tr>
            <w:tr w14:paraId="210433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1B5121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737BB9F0">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212" w:type="pct"/>
                  <w:noWrap w:val="0"/>
                  <w:vAlign w:val="center"/>
                </w:tcPr>
                <w:p w14:paraId="291FE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NO</w:t>
                  </w:r>
                  <w:r>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x</w:t>
                  </w:r>
                </w:p>
              </w:tc>
              <w:tc>
                <w:tcPr>
                  <w:tcW w:w="189" w:type="pct"/>
                  <w:noWrap w:val="0"/>
                  <w:vAlign w:val="center"/>
                </w:tcPr>
                <w:p w14:paraId="5CDDF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类比法</w:t>
                  </w:r>
                </w:p>
              </w:tc>
              <w:tc>
                <w:tcPr>
                  <w:tcW w:w="332" w:type="pct"/>
                  <w:vMerge w:val="continue"/>
                  <w:noWrap w:val="0"/>
                  <w:vAlign w:val="center"/>
                </w:tcPr>
                <w:p w14:paraId="77DA33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410" w:type="pct"/>
                  <w:noWrap w:val="0"/>
                  <w:vAlign w:val="center"/>
                </w:tcPr>
                <w:p w14:paraId="7DE20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149.7</w:t>
                  </w:r>
                </w:p>
              </w:tc>
              <w:tc>
                <w:tcPr>
                  <w:tcW w:w="419" w:type="pct"/>
                  <w:noWrap w:val="0"/>
                  <w:vAlign w:val="center"/>
                </w:tcPr>
                <w:p w14:paraId="72F75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position w:val="0"/>
                      <w:sz w:val="18"/>
                      <w:szCs w:val="18"/>
                      <w:highlight w:val="none"/>
                      <w:lang w:val="en-US" w:eastAsia="zh-CN"/>
                      <w14:textFill>
                        <w14:solidFill>
                          <w14:schemeClr w14:val="tx1"/>
                        </w14:solidFill>
                      </w14:textFill>
                    </w:rPr>
                    <w:t>1.731</w:t>
                  </w:r>
                </w:p>
              </w:tc>
              <w:tc>
                <w:tcPr>
                  <w:tcW w:w="403" w:type="pct"/>
                  <w:noWrap w:val="0"/>
                  <w:vAlign w:val="center"/>
                </w:tcPr>
                <w:p w14:paraId="2515D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1.662</w:t>
                  </w:r>
                </w:p>
              </w:tc>
              <w:tc>
                <w:tcPr>
                  <w:tcW w:w="664" w:type="pct"/>
                  <w:noWrap w:val="0"/>
                  <w:vAlign w:val="center"/>
                </w:tcPr>
                <w:p w14:paraId="5B195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185" w:type="pct"/>
                  <w:noWrap w:val="0"/>
                  <w:vAlign w:val="center"/>
                </w:tcPr>
                <w:p w14:paraId="30115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w:t>
                  </w:r>
                </w:p>
              </w:tc>
              <w:tc>
                <w:tcPr>
                  <w:tcW w:w="222" w:type="pct"/>
                  <w:vMerge w:val="continue"/>
                  <w:noWrap w:val="0"/>
                  <w:vAlign w:val="center"/>
                </w:tcPr>
                <w:p w14:paraId="16155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vMerge w:val="continue"/>
                  <w:noWrap w:val="0"/>
                  <w:vAlign w:val="center"/>
                </w:tcPr>
                <w:p w14:paraId="490A8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14:textFill>
                        <w14:solidFill>
                          <w14:schemeClr w14:val="tx1"/>
                        </w14:solidFill>
                      </w14:textFill>
                    </w:rPr>
                  </w:pPr>
                </w:p>
              </w:tc>
              <w:tc>
                <w:tcPr>
                  <w:tcW w:w="675" w:type="dxa"/>
                  <w:noWrap w:val="0"/>
                  <w:vAlign w:val="center"/>
                </w:tcPr>
                <w:p w14:paraId="74C37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149.7</w:t>
                  </w:r>
                </w:p>
              </w:tc>
              <w:tc>
                <w:tcPr>
                  <w:tcW w:w="729" w:type="dxa"/>
                  <w:noWrap w:val="0"/>
                  <w:vAlign w:val="center"/>
                </w:tcPr>
                <w:p w14:paraId="50068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position w:val="0"/>
                      <w:sz w:val="18"/>
                      <w:szCs w:val="18"/>
                      <w:highlight w:val="none"/>
                      <w:lang w:val="en-US" w:eastAsia="zh-CN"/>
                      <w14:textFill>
                        <w14:solidFill>
                          <w14:schemeClr w14:val="tx1"/>
                        </w14:solidFill>
                      </w14:textFill>
                    </w:rPr>
                    <w:t>1.731</w:t>
                  </w:r>
                </w:p>
              </w:tc>
              <w:tc>
                <w:tcPr>
                  <w:tcW w:w="657" w:type="dxa"/>
                  <w:gridSpan w:val="2"/>
                  <w:noWrap w:val="0"/>
                  <w:vAlign w:val="center"/>
                </w:tcPr>
                <w:p w14:paraId="48F393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1.662</w:t>
                  </w:r>
                </w:p>
              </w:tc>
            </w:tr>
            <w:tr w14:paraId="7DBE64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restart"/>
                  <w:noWrap w:val="0"/>
                  <w:vAlign w:val="center"/>
                </w:tcPr>
                <w:p w14:paraId="0B858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cs="Times New Roman"/>
                      <w:color w:val="000000" w:themeColor="text1"/>
                      <w:spacing w:val="0"/>
                      <w:position w:val="0"/>
                      <w:sz w:val="18"/>
                      <w:szCs w:val="18"/>
                      <w:highlight w:val="none"/>
                      <w:lang w:val="en-US" w:eastAsia="zh-CN"/>
                      <w14:textFill>
                        <w14:solidFill>
                          <w14:schemeClr w14:val="tx1"/>
                        </w14:solidFill>
                      </w14:textFill>
                    </w:rPr>
                    <w:t>无组织排放</w:t>
                  </w:r>
                </w:p>
              </w:tc>
              <w:tc>
                <w:tcPr>
                  <w:tcW w:w="189" w:type="pct"/>
                  <w:noWrap w:val="0"/>
                  <w:vAlign w:val="center"/>
                </w:tcPr>
                <w:p w14:paraId="120845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输送装卸</w:t>
                  </w:r>
                </w:p>
              </w:tc>
              <w:tc>
                <w:tcPr>
                  <w:tcW w:w="212" w:type="pct"/>
                  <w:vMerge w:val="restart"/>
                  <w:noWrap w:val="0"/>
                  <w:vAlign w:val="center"/>
                </w:tcPr>
                <w:p w14:paraId="6A82C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t>工业粉尘</w:t>
                  </w:r>
                </w:p>
              </w:tc>
              <w:tc>
                <w:tcPr>
                  <w:tcW w:w="189" w:type="pct"/>
                  <w:vMerge w:val="restart"/>
                  <w:noWrap w:val="0"/>
                  <w:vAlign w:val="center"/>
                </w:tcPr>
                <w:p w14:paraId="55876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t>产污系数法</w:t>
                  </w:r>
                </w:p>
              </w:tc>
              <w:tc>
                <w:tcPr>
                  <w:tcW w:w="332" w:type="pct"/>
                  <w:noWrap w:val="0"/>
                  <w:vAlign w:val="center"/>
                </w:tcPr>
                <w:p w14:paraId="1F59C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6AA49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6C82E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0.695</w:t>
                  </w:r>
                </w:p>
              </w:tc>
              <w:tc>
                <w:tcPr>
                  <w:tcW w:w="403" w:type="pct"/>
                  <w:noWrap w:val="0"/>
                  <w:vAlign w:val="center"/>
                </w:tcPr>
                <w:p w14:paraId="72995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2.00</w:t>
                  </w:r>
                </w:p>
              </w:tc>
              <w:tc>
                <w:tcPr>
                  <w:tcW w:w="664" w:type="pct"/>
                  <w:noWrap w:val="0"/>
                  <w:vAlign w:val="center"/>
                </w:tcPr>
                <w:p w14:paraId="0F4D24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装卸工段</w:t>
                  </w:r>
                  <w:r>
                    <w:rPr>
                      <w:rFonts w:hint="eastAsia"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采用</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密闭性良好的设备，全封闭输送机、原粮入</w:t>
                  </w:r>
                  <w:r>
                    <w:rPr>
                      <w:rFonts w:hint="eastAsia" w:cs="Times New Roman"/>
                      <w:color w:val="000000" w:themeColor="text1"/>
                      <w:spacing w:val="0"/>
                      <w:kern w:val="0"/>
                      <w:sz w:val="18"/>
                      <w:szCs w:val="18"/>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采取封闭和减小装卸高度</w:t>
                  </w:r>
                  <w:r>
                    <w:rPr>
                      <w:rFonts w:hint="default" w:ascii="Times New Roman" w:hAnsi="Times New Roman" w:cs="Times New Roman"/>
                      <w:color w:val="000000" w:themeColor="text1"/>
                      <w:sz w:val="18"/>
                      <w:szCs w:val="18"/>
                      <w:highlight w:val="none"/>
                      <w14:textFill>
                        <w14:solidFill>
                          <w14:schemeClr w14:val="tx1"/>
                        </w14:solidFill>
                      </w14:textFill>
                    </w:rPr>
                    <w:t>等降尘措施，运输过程中采用封闭输送</w:t>
                  </w:r>
                </w:p>
              </w:tc>
              <w:tc>
                <w:tcPr>
                  <w:tcW w:w="185" w:type="pct"/>
                  <w:noWrap w:val="0"/>
                  <w:vAlign w:val="center"/>
                </w:tcPr>
                <w:p w14:paraId="223534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222" w:type="pct"/>
                  <w:vMerge w:val="continue"/>
                  <w:noWrap w:val="0"/>
                  <w:vAlign w:val="center"/>
                </w:tcPr>
                <w:p w14:paraId="38707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190FC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2962C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588B8E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0.0695</w:t>
                  </w:r>
                </w:p>
              </w:tc>
              <w:tc>
                <w:tcPr>
                  <w:tcW w:w="407" w:type="pct"/>
                  <w:gridSpan w:val="2"/>
                  <w:noWrap w:val="0"/>
                  <w:vAlign w:val="center"/>
                </w:tcPr>
                <w:p w14:paraId="43216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0.200</w:t>
                  </w:r>
                </w:p>
              </w:tc>
            </w:tr>
            <w:tr w14:paraId="6D7FE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3082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p>
              </w:tc>
              <w:tc>
                <w:tcPr>
                  <w:tcW w:w="189" w:type="pct"/>
                  <w:noWrap w:val="0"/>
                  <w:vAlign w:val="center"/>
                </w:tcPr>
                <w:p w14:paraId="04C7C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初清</w:t>
                  </w: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筛分</w:t>
                  </w:r>
                </w:p>
              </w:tc>
              <w:tc>
                <w:tcPr>
                  <w:tcW w:w="212" w:type="pct"/>
                  <w:vMerge w:val="continue"/>
                  <w:noWrap w:val="0"/>
                  <w:vAlign w:val="center"/>
                </w:tcPr>
                <w:p w14:paraId="607762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33EC6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noWrap w:val="0"/>
                  <w:vAlign w:val="center"/>
                </w:tcPr>
                <w:p w14:paraId="606CC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5DB69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789C1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10.417</w:t>
                  </w:r>
                </w:p>
              </w:tc>
              <w:tc>
                <w:tcPr>
                  <w:tcW w:w="403" w:type="pct"/>
                  <w:noWrap w:val="0"/>
                  <w:vAlign w:val="center"/>
                </w:tcPr>
                <w:p w14:paraId="4A518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30</w:t>
                  </w:r>
                </w:p>
              </w:tc>
              <w:tc>
                <w:tcPr>
                  <w:tcW w:w="664" w:type="pct"/>
                  <w:noWrap w:val="0"/>
                  <w:vAlign w:val="center"/>
                </w:tcPr>
                <w:p w14:paraId="7CE437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清粮采用全密闭</w:t>
                  </w:r>
                  <w:r>
                    <w:rPr>
                      <w:rFonts w:hint="eastAsia" w:cs="Times New Roman"/>
                      <w:color w:val="000000" w:themeColor="text1"/>
                      <w:sz w:val="18"/>
                      <w:szCs w:val="18"/>
                      <w:highlight w:val="none"/>
                      <w:lang w:val="en-US" w:eastAsia="zh-CN"/>
                      <w14:textFill>
                        <w14:solidFill>
                          <w14:schemeClr w14:val="tx1"/>
                        </w14:solidFill>
                      </w14:textFill>
                    </w:rPr>
                    <w:t>筛分机</w:t>
                  </w:r>
                  <w:r>
                    <w:rPr>
                      <w:rFonts w:hint="eastAsia" w:ascii="Times New Roman" w:hAnsi="Times New Roman" w:cs="Times New Roman"/>
                      <w:color w:val="000000" w:themeColor="text1"/>
                      <w:sz w:val="18"/>
                      <w:szCs w:val="18"/>
                      <w:highlight w:val="none"/>
                      <w:lang w:eastAsia="zh-CN"/>
                      <w14:textFill>
                        <w14:solidFill>
                          <w14:schemeClr w14:val="tx1"/>
                        </w14:solidFill>
                      </w14:textFill>
                    </w:rPr>
                    <w:t>，产生的粉尘经设备自带</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18"/>
                      <w:szCs w:val="18"/>
                      <w:highlight w:val="none"/>
                      <w:lang w:eastAsia="zh-CN"/>
                      <w14:textFill>
                        <w14:solidFill>
                          <w14:schemeClr w14:val="tx1"/>
                        </w14:solidFill>
                      </w14:textFill>
                    </w:rPr>
                    <w:t>处理后排放</w:t>
                  </w:r>
                </w:p>
              </w:tc>
              <w:tc>
                <w:tcPr>
                  <w:tcW w:w="185" w:type="pct"/>
                  <w:noWrap w:val="0"/>
                  <w:vAlign w:val="center"/>
                </w:tcPr>
                <w:p w14:paraId="0821F4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99</w:t>
                  </w:r>
                </w:p>
              </w:tc>
              <w:tc>
                <w:tcPr>
                  <w:tcW w:w="222" w:type="pct"/>
                  <w:vMerge w:val="continue"/>
                  <w:noWrap w:val="0"/>
                  <w:vAlign w:val="center"/>
                </w:tcPr>
                <w:p w14:paraId="3D603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7A80F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57858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7BB44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0.104</w:t>
                  </w:r>
                </w:p>
              </w:tc>
              <w:tc>
                <w:tcPr>
                  <w:tcW w:w="407" w:type="pct"/>
                  <w:gridSpan w:val="2"/>
                  <w:noWrap w:val="0"/>
                  <w:vAlign w:val="center"/>
                </w:tcPr>
                <w:p w14:paraId="44A9B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0.300</w:t>
                  </w:r>
                </w:p>
              </w:tc>
            </w:tr>
            <w:tr w14:paraId="38DBD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 w:type="pct"/>
                  <w:vMerge w:val="continue"/>
                  <w:noWrap w:val="0"/>
                  <w:vAlign w:val="center"/>
                </w:tcPr>
                <w:p w14:paraId="4B36F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p>
              </w:tc>
              <w:tc>
                <w:tcPr>
                  <w:tcW w:w="189" w:type="pct"/>
                  <w:noWrap w:val="0"/>
                  <w:vAlign w:val="center"/>
                </w:tcPr>
                <w:p w14:paraId="7952A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烘干</w:t>
                  </w:r>
                </w:p>
              </w:tc>
              <w:tc>
                <w:tcPr>
                  <w:tcW w:w="212" w:type="pct"/>
                  <w:vMerge w:val="continue"/>
                  <w:noWrap w:val="0"/>
                  <w:vAlign w:val="center"/>
                </w:tcPr>
                <w:p w14:paraId="4E51D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189" w:type="pct"/>
                  <w:vMerge w:val="continue"/>
                  <w:noWrap w:val="0"/>
                  <w:vAlign w:val="center"/>
                </w:tcPr>
                <w:p w14:paraId="6909E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p>
              </w:tc>
              <w:tc>
                <w:tcPr>
                  <w:tcW w:w="332" w:type="pct"/>
                  <w:noWrap w:val="0"/>
                  <w:vAlign w:val="center"/>
                </w:tcPr>
                <w:p w14:paraId="6EC52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0" w:type="pct"/>
                  <w:noWrap w:val="0"/>
                  <w:vAlign w:val="center"/>
                </w:tcPr>
                <w:p w14:paraId="6F5EE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68088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0.693</w:t>
                  </w:r>
                </w:p>
              </w:tc>
              <w:tc>
                <w:tcPr>
                  <w:tcW w:w="403" w:type="pct"/>
                  <w:noWrap w:val="0"/>
                  <w:vAlign w:val="center"/>
                </w:tcPr>
                <w:p w14:paraId="18C88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1.997</w:t>
                  </w:r>
                </w:p>
              </w:tc>
              <w:tc>
                <w:tcPr>
                  <w:tcW w:w="664" w:type="pct"/>
                  <w:noWrap w:val="0"/>
                  <w:vAlign w:val="center"/>
                </w:tcPr>
                <w:p w14:paraId="578C71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烘干塔内部自带重力沉降室，烘干塔底部四周设置防尘挡板，粉尘受挡板格挡后受重力作用回落到烘干塔底部收尘设施中</w:t>
                  </w:r>
                </w:p>
              </w:tc>
              <w:tc>
                <w:tcPr>
                  <w:tcW w:w="185" w:type="pct"/>
                  <w:noWrap w:val="0"/>
                  <w:vAlign w:val="center"/>
                </w:tcPr>
                <w:p w14:paraId="24E305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center"/>
                    <w:rPr>
                      <w:rFonts w:hint="default" w:ascii="Times New Roman" w:hAnsi="Times New Roman" w:eastAsia="宋体" w:cs="Times New Roman"/>
                      <w:color w:val="000000" w:themeColor="text1"/>
                      <w:spacing w:val="0"/>
                      <w:kern w:val="0"/>
                      <w:position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90</w:t>
                  </w:r>
                </w:p>
              </w:tc>
              <w:tc>
                <w:tcPr>
                  <w:tcW w:w="222" w:type="pct"/>
                  <w:vMerge w:val="continue"/>
                  <w:noWrap w:val="0"/>
                  <w:vAlign w:val="center"/>
                </w:tcPr>
                <w:p w14:paraId="047FC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14:textFill>
                        <w14:solidFill>
                          <w14:schemeClr w14:val="tx1"/>
                        </w14:solidFill>
                      </w14:textFill>
                    </w:rPr>
                  </w:pPr>
                </w:p>
              </w:tc>
              <w:tc>
                <w:tcPr>
                  <w:tcW w:w="309" w:type="pct"/>
                  <w:noWrap w:val="0"/>
                  <w:vAlign w:val="center"/>
                </w:tcPr>
                <w:p w14:paraId="7648E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pacing w:val="0"/>
                      <w:position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19" w:type="pct"/>
                  <w:noWrap w:val="0"/>
                  <w:vAlign w:val="center"/>
                </w:tcPr>
                <w:p w14:paraId="48A0A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52" w:type="pct"/>
                  <w:noWrap w:val="0"/>
                  <w:vAlign w:val="center"/>
                </w:tcPr>
                <w:p w14:paraId="5F9A0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0.0695</w:t>
                  </w:r>
                </w:p>
              </w:tc>
              <w:tc>
                <w:tcPr>
                  <w:tcW w:w="407" w:type="pct"/>
                  <w:gridSpan w:val="2"/>
                  <w:noWrap w:val="0"/>
                  <w:vAlign w:val="center"/>
                </w:tcPr>
                <w:p w14:paraId="6FF53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0.200</w:t>
                  </w:r>
                </w:p>
              </w:tc>
            </w:tr>
          </w:tbl>
          <w:p w14:paraId="0DC34BEF">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热风炉</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废气</w:t>
            </w:r>
          </w:p>
          <w:p w14:paraId="7E44F1B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eastAsia" w:cs="Times New Roman"/>
                <w:b w:val="0"/>
                <w:bCs w:val="0"/>
                <w:color w:val="000000" w:themeColor="text1"/>
                <w:kern w:val="0"/>
                <w:sz w:val="21"/>
                <w:szCs w:val="21"/>
                <w:highlight w:val="no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1台</w:t>
            </w:r>
            <w:r>
              <w:rPr>
                <w:rFonts w:hint="eastAsia" w:cs="Times New Roman"/>
                <w:b w:val="0"/>
                <w:bCs w:val="0"/>
                <w:color w:val="000000" w:themeColor="text1"/>
                <w:kern w:val="0"/>
                <w:sz w:val="21"/>
                <w:szCs w:val="21"/>
                <w:highlight w:val="none"/>
                <w:lang w:val="en-US" w:eastAsia="zh-CN"/>
                <w14:textFill>
                  <w14:solidFill>
                    <w14:schemeClr w14:val="tx1"/>
                  </w14:solidFill>
                </w14:textFill>
              </w:rPr>
              <w:t>600万Kcal/h</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生物质</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热风炉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新增</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年烘干</w:t>
            </w:r>
            <w:r>
              <w:rPr>
                <w:rFonts w:hint="eastAsia" w:cs="Times New Roman"/>
                <w:color w:val="000000" w:themeColor="text1"/>
                <w:sz w:val="21"/>
                <w:szCs w:val="21"/>
                <w:highlight w:val="none"/>
                <w:lang w:val="en-US" w:eastAsia="zh-CN"/>
                <w14:textFill>
                  <w14:solidFill>
                    <w14:schemeClr w14:val="tx1"/>
                  </w14:solidFill>
                </w14:textFill>
              </w:rPr>
              <w:t>玉米20000t，新增</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年烘干时间</w:t>
            </w:r>
            <w:r>
              <w:rPr>
                <w:rFonts w:hint="eastAsia"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天计</w:t>
            </w:r>
            <w:r>
              <w:rPr>
                <w:rFonts w:hint="eastAsia"/>
                <w:color w:val="000000" w:themeColor="text1"/>
                <w:sz w:val="21"/>
                <w:szCs w:val="21"/>
                <w:highlight w:val="none"/>
                <w14:textFill>
                  <w14:solidFill>
                    <w14:schemeClr w14:val="tx1"/>
                  </w14:solidFill>
                </w14:textFill>
              </w:rPr>
              <w:t>（每天</w:t>
            </w:r>
            <w:r>
              <w:rPr>
                <w:rFonts w:hint="eastAsia"/>
                <w:color w:val="000000" w:themeColor="text1"/>
                <w:sz w:val="21"/>
                <w:szCs w:val="21"/>
                <w:highlight w:val="none"/>
                <w:lang w:val="en-US" w:eastAsia="zh-CN"/>
                <w14:textFill>
                  <w14:solidFill>
                    <w14:schemeClr w14:val="tx1"/>
                  </w14:solidFill>
                </w14:textFill>
              </w:rPr>
              <w:t>24</w:t>
            </w:r>
            <w:r>
              <w:rPr>
                <w:rFonts w:hint="eastAsia"/>
                <w:color w:val="000000" w:themeColor="text1"/>
                <w:sz w:val="21"/>
                <w:szCs w:val="21"/>
                <w:highlight w:val="none"/>
                <w14:textFill>
                  <w14:solidFill>
                    <w14:schemeClr w14:val="tx1"/>
                  </w14:solidFill>
                </w14:textFill>
              </w:rPr>
              <w:t>h）</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总烘干时间120天</w:t>
            </w:r>
            <w:r>
              <w:rPr>
                <w:rFonts w:hint="eastAsia"/>
                <w:color w:val="000000" w:themeColor="text1"/>
                <w:sz w:val="21"/>
                <w:szCs w:val="21"/>
                <w:highlight w:val="none"/>
                <w14:textFill>
                  <w14:solidFill>
                    <w14:schemeClr w14:val="tx1"/>
                  </w14:solidFill>
                </w14:textFill>
              </w:rPr>
              <w:t>（每天</w:t>
            </w:r>
            <w:r>
              <w:rPr>
                <w:rFonts w:hint="eastAsia"/>
                <w:color w:val="000000" w:themeColor="text1"/>
                <w:sz w:val="21"/>
                <w:szCs w:val="21"/>
                <w:highlight w:val="none"/>
                <w:lang w:val="en-US" w:eastAsia="zh-CN"/>
                <w14:textFill>
                  <w14:solidFill>
                    <w14:schemeClr w14:val="tx1"/>
                  </w14:solidFill>
                </w14:textFill>
              </w:rPr>
              <w:t>24</w:t>
            </w:r>
            <w:r>
              <w:rPr>
                <w:rFonts w:hint="eastAsia"/>
                <w:color w:val="000000" w:themeColor="text1"/>
                <w:sz w:val="21"/>
                <w:szCs w:val="21"/>
                <w:highlight w:val="none"/>
                <w14:textFill>
                  <w14:solidFill>
                    <w14:schemeClr w14:val="tx1"/>
                  </w14:solidFill>
                </w14:textFill>
              </w:rPr>
              <w:t>h）</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热风炉烟气</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通过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布袋除尘器（除尘效率99%）处理后经过</w:t>
            </w: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m高</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排放，热风炉的燃料为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生物质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生物质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燃料热值取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193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kcal/kg（</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7.52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MJ/kg），热风炉热效率为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80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%，参考尹协镇《粮食烘干过程中不同外部条件对烘干能耗的影响》，每烘干1kg水能耗取5400kJ/kg。</w:t>
            </w:r>
          </w:p>
          <w:p w14:paraId="2558638C">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本项目水分蒸发量依据W=G（ω1-ω2）/（100-ω2）进行计算。</w:t>
            </w:r>
          </w:p>
          <w:p w14:paraId="092E349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W：水分蒸发量</w:t>
            </w:r>
          </w:p>
          <w:p w14:paraId="6D54D54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G：处理量（</w:t>
            </w:r>
            <w:r>
              <w:rPr>
                <w:rFonts w:hint="eastAsia" w:cs="Times New Roman"/>
                <w:color w:val="000000" w:themeColor="text1"/>
                <w:sz w:val="21"/>
                <w:szCs w:val="21"/>
                <w:highlight w:val="none"/>
                <w:lang w:val="en-US" w:eastAsia="zh-CN"/>
                <w14:textFill>
                  <w14:solidFill>
                    <w14:schemeClr w14:val="tx1"/>
                  </w14:solidFill>
                </w14:textFill>
              </w:rPr>
              <w:t>玉米</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为</w:t>
            </w:r>
            <w:r>
              <w:rPr>
                <w:rFonts w:hint="eastAsia" w:cs="Times New Roman"/>
                <w:color w:val="000000" w:themeColor="text1"/>
                <w:sz w:val="21"/>
                <w:szCs w:val="21"/>
                <w:highlight w:val="none"/>
                <w:lang w:val="en-US" w:eastAsia="zh-CN"/>
                <w14:textFill>
                  <w14:solidFill>
                    <w14:schemeClr w14:val="tx1"/>
                  </w14:solidFill>
                </w14:textFill>
              </w:rPr>
              <w:t>20000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p w14:paraId="4835D235">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ω1：进料含水量百分数（</w:t>
            </w:r>
            <w:r>
              <w:rPr>
                <w:rFonts w:hint="eastAsia" w:cs="Times New Roman"/>
                <w:color w:val="000000" w:themeColor="text1"/>
                <w:sz w:val="21"/>
                <w:szCs w:val="21"/>
                <w:highlight w:val="none"/>
                <w:lang w:val="en-US" w:eastAsia="zh-CN"/>
                <w14:textFill>
                  <w14:solidFill>
                    <w14:schemeClr w14:val="tx1"/>
                  </w14:solidFill>
                </w14:textFill>
              </w:rPr>
              <w:t>玉米</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取</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p w14:paraId="0F83AD8B">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60" w:firstLineChars="6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ω2：出料含水量百分数（</w:t>
            </w:r>
            <w:r>
              <w:rPr>
                <w:rFonts w:hint="eastAsia" w:cs="Times New Roman"/>
                <w:color w:val="000000" w:themeColor="text1"/>
                <w:sz w:val="21"/>
                <w:szCs w:val="21"/>
                <w:highlight w:val="none"/>
                <w:lang w:val="en-US" w:eastAsia="zh-CN"/>
                <w14:textFill>
                  <w14:solidFill>
                    <w14:schemeClr w14:val="tx1"/>
                  </w14:solidFill>
                </w14:textFill>
              </w:rPr>
              <w:t>玉米</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取1</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p w14:paraId="2732E38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玉米烘干</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水分蒸发量为：W=</w:t>
            </w:r>
            <w:r>
              <w:rPr>
                <w:rFonts w:hint="eastAsia" w:cs="Times New Roman"/>
                <w:color w:val="000000" w:themeColor="text1"/>
                <w:sz w:val="21"/>
                <w:szCs w:val="21"/>
                <w:highlight w:val="none"/>
                <w:lang w:val="en-US" w:eastAsia="zh-CN"/>
                <w14:textFill>
                  <w14:solidFill>
                    <w14:schemeClr w14:val="tx1"/>
                  </w14:solidFill>
                </w14:textFill>
              </w:rPr>
              <w:t>3720.93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r>
              <w:rPr>
                <w:rFonts w:hint="eastAsia" w:cs="Times New Roman"/>
                <w:color w:val="000000" w:themeColor="text1"/>
                <w:sz w:val="21"/>
                <w:szCs w:val="21"/>
                <w:highlight w:val="none"/>
                <w:lang w:val="en-US" w:eastAsia="zh-CN"/>
                <w14:textFill>
                  <w14:solidFill>
                    <w14:schemeClr w14:val="tx1"/>
                  </w14:solidFill>
                </w14:textFill>
              </w:rPr>
              <w:t>；</w:t>
            </w:r>
          </w:p>
          <w:p w14:paraId="7180123F">
            <w:pPr>
              <w:pStyle w:val="31"/>
              <w:keepNext w:val="0"/>
              <w:keepLines w:val="0"/>
              <w:suppressLineNumbers w:val="0"/>
              <w:spacing w:before="0" w:beforeAutospacing="0" w:after="0" w:afterAutospacing="0"/>
              <w:ind w:left="0" w:right="0"/>
              <w:rPr>
                <w:rFonts w:hint="default"/>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本项目水分蒸发总量为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W=3720.93t/a</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p w14:paraId="62B20EC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烘干能耗为E=</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能耗</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2.01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k</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J</w:t>
            </w:r>
          </w:p>
          <w:p w14:paraId="072013F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燃料消耗量=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E</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热值</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热效率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t/a</w:t>
            </w:r>
          </w:p>
          <w:p w14:paraId="4643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本项目热风炉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14:textFill>
                  <w14:solidFill>
                    <w14:schemeClr w14:val="tx1"/>
                  </w14:solidFill>
                </w14:textFill>
              </w:rPr>
              <w:t>产生情况参照</w:t>
            </w:r>
            <w:r>
              <w:rPr>
                <w:rFonts w:hint="default" w:ascii="Times New Roman" w:hAnsi="Times New Roman" w:eastAsia="宋体" w:cs="Times New Roman"/>
                <w:color w:val="000000" w:themeColor="text1"/>
                <w:sz w:val="21"/>
                <w:szCs w:val="21"/>
                <w:highlight w:val="none"/>
                <w14:textFill>
                  <w14:solidFill>
                    <w14:schemeClr w14:val="tx1"/>
                  </w14:solidFill>
                </w14:textFill>
              </w:rPr>
              <w:t>《排污许可证申请与核发技术规范 锅炉》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HJ953-2018</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中相关方法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计算烟气量</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p w14:paraId="14CBD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2"/>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烟气</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w:t>
            </w:r>
          </w:p>
          <w:p w14:paraId="0D45D048">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both"/>
              <w:textAlignment w:val="auto"/>
              <w:outlineLvl w:val="2"/>
              <w:rPr>
                <w:rFonts w:hint="default"/>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（收到基低位发热量）为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7.52</w:t>
            </w:r>
            <w:r>
              <w:rPr>
                <w:rFonts w:hint="default" w:ascii="Times New Roman" w:hAnsi="Times New Roman" w:eastAsia="宋体" w:cs="Times New Roman"/>
                <w:color w:val="000000" w:themeColor="text1"/>
                <w:sz w:val="21"/>
                <w:szCs w:val="21"/>
                <w:highlight w:val="none"/>
                <w14:textFill>
                  <w14:solidFill>
                    <w14:schemeClr w14:val="tx1"/>
                  </w14:solidFill>
                </w14:textFill>
              </w:rPr>
              <w:t>MJ/kg，V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daf</w:t>
            </w:r>
            <w:r>
              <w:rPr>
                <w:rFonts w:hint="default" w:ascii="Times New Roman" w:hAnsi="Times New Roman" w:eastAsia="宋体" w:cs="Times New Roman"/>
                <w:color w:val="000000" w:themeColor="text1"/>
                <w:sz w:val="21"/>
                <w:szCs w:val="21"/>
                <w:highlight w:val="none"/>
                <w14:textFill>
                  <w14:solidFill>
                    <w14:schemeClr w14:val="tx1"/>
                  </w14:solidFill>
                </w14:textFill>
              </w:rPr>
              <w:t>&gt;15%，则基准烟气量经验公式可定为V</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gy</w:t>
            </w:r>
            <w:r>
              <w:rPr>
                <w:rFonts w:hint="default" w:ascii="Times New Roman" w:hAnsi="Times New Roman" w:eastAsia="宋体" w:cs="Times New Roman"/>
                <w:color w:val="000000" w:themeColor="text1"/>
                <w:sz w:val="21"/>
                <w:szCs w:val="21"/>
                <w:highlight w:val="none"/>
                <w14:textFill>
                  <w14:solidFill>
                    <w14:schemeClr w14:val="tx1"/>
                  </w14:solidFill>
                </w14:textFill>
              </w:rPr>
              <w:t>=0.393Qnet.ar+0.876。</w:t>
            </w:r>
          </w:p>
          <w:p w14:paraId="46A754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14:textFill>
                  <w14:solidFill>
                    <w14:schemeClr w14:val="tx1"/>
                  </w14:solidFill>
                </w14:textFill>
              </w:rPr>
              <w:t>则本项目的基准烟气量为Vgy=（</w:t>
            </w:r>
            <w:r>
              <w:rPr>
                <w:rFonts w:hint="eastAsia" w:cs="Times New Roman"/>
                <w:color w:val="000000" w:themeColor="text1"/>
                <w:sz w:val="21"/>
                <w:highlight w:val="none"/>
                <w:lang w:val="en-US" w:eastAsia="zh-CN"/>
                <w14:textFill>
                  <w14:solidFill>
                    <w14:schemeClr w14:val="tx1"/>
                  </w14:solidFill>
                </w14:textFill>
              </w:rPr>
              <w:t>0.393</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w:t>
            </w:r>
            <w:r>
              <w:rPr>
                <w:rFonts w:hint="eastAsia" w:cs="Times New Roman"/>
                <w:color w:val="000000" w:themeColor="text1"/>
                <w:sz w:val="21"/>
                <w:highlight w:val="none"/>
                <w:lang w:val="en-US" w:eastAsia="zh-CN"/>
                <w14:textFill>
                  <w14:solidFill>
                    <w14:schemeClr w14:val="tx1"/>
                  </w14:solidFill>
                </w14:textFill>
              </w:rPr>
              <w:t>7.52</w:t>
            </w:r>
            <w:r>
              <w:rPr>
                <w:rFonts w:hint="default" w:ascii="Times New Roman" w:hAnsi="Times New Roman" w:eastAsia="宋体" w:cs="Times New Roman"/>
                <w:color w:val="000000" w:themeColor="text1"/>
                <w:sz w:val="21"/>
                <w:highlight w:val="none"/>
                <w14:textFill>
                  <w14:solidFill>
                    <w14:schemeClr w14:val="tx1"/>
                  </w14:solidFill>
                </w14:textFill>
              </w:rPr>
              <w:t>+0.</w:t>
            </w:r>
            <w:r>
              <w:rPr>
                <w:rFonts w:hint="eastAsia" w:cs="Times New Roman"/>
                <w:color w:val="000000" w:themeColor="text1"/>
                <w:sz w:val="21"/>
                <w:highlight w:val="none"/>
                <w:lang w:val="en-US" w:eastAsia="zh-CN"/>
                <w14:textFill>
                  <w14:solidFill>
                    <w14:schemeClr w14:val="tx1"/>
                  </w14:solidFill>
                </w14:textFill>
              </w:rPr>
              <w:t>876</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7.</w:t>
            </w:r>
            <w:r>
              <w:rPr>
                <w:rFonts w:hint="eastAsia" w:cs="Times New Roman"/>
                <w:color w:val="000000" w:themeColor="text1"/>
                <w:sz w:val="21"/>
                <w:highlight w:val="none"/>
                <w:lang w:val="en-US" w:eastAsia="zh-CN"/>
                <w14:textFill>
                  <w14:solidFill>
                    <w14:schemeClr w14:val="tx1"/>
                  </w14:solidFill>
                </w14:textFill>
              </w:rPr>
              <w:t>76</w:t>
            </w:r>
            <w:r>
              <w:rPr>
                <w:rFonts w:hint="default" w:ascii="Times New Roman" w:hAnsi="Times New Roman" w:eastAsia="宋体" w:cs="Times New Roman"/>
                <w:color w:val="000000" w:themeColor="text1"/>
                <w:sz w:val="21"/>
                <w:highlight w:val="none"/>
                <w14:textFill>
                  <w14:solidFill>
                    <w14:schemeClr w14:val="tx1"/>
                  </w14:solidFill>
                </w14:textFill>
              </w:rPr>
              <w:t>m</w:t>
            </w:r>
            <w:r>
              <w:rPr>
                <w:rFonts w:hint="default" w:ascii="Times New Roman" w:hAnsi="Times New Roman" w:eastAsia="宋体" w:cs="Times New Roman"/>
                <w:color w:val="000000" w:themeColor="text1"/>
                <w:sz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highlight w:val="none"/>
                <w14:textFill>
                  <w14:solidFill>
                    <w14:schemeClr w14:val="tx1"/>
                  </w14:solidFill>
                </w14:textFill>
              </w:rPr>
              <w:t>/</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kg</w:t>
            </w:r>
          </w:p>
          <w:p w14:paraId="6ACDB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则总烟气量为：</w:t>
            </w:r>
            <w:r>
              <w:rPr>
                <w:rFonts w:hint="eastAsia" w:cs="Times New Roman"/>
                <w:color w:val="000000" w:themeColor="text1"/>
                <w:sz w:val="21"/>
                <w:szCs w:val="21"/>
                <w:highlight w:val="none"/>
                <w:lang w:val="en-US" w:eastAsia="zh-CN"/>
                <w14:textFill>
                  <w14:solidFill>
                    <w14:schemeClr w14:val="tx1"/>
                  </w14:solidFill>
                </w14:textFill>
              </w:rPr>
              <w:t>7.76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Nm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p w14:paraId="73DF51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②颗粒物（烟尘）排放量</w:t>
            </w:r>
          </w:p>
          <w:p w14:paraId="739EA5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56"/>
                <w:sz w:val="21"/>
                <w:szCs w:val="21"/>
                <w:highlight w:val="none"/>
                <w14:textFill>
                  <w14:solidFill>
                    <w14:schemeClr w14:val="tx1"/>
                  </w14:solidFill>
                </w14:textFill>
              </w:rPr>
              <w:object>
                <v:shape id="_x0000_i1025" o:spt="75" type="#_x0000_t75" style="height:43.8pt;width:149.25pt;" o:ole="t" filled="f" o:preferrelative="t" stroked="f" coordsize="21600,21600">
                  <v:path/>
                  <v:fill on="f" focussize="0,0"/>
                  <v:stroke on="f"/>
                  <v:imagedata r:id="rId16" o:title=""/>
                  <o:lock v:ext="edit" aspectratio="t"/>
                  <w10:wrap type="none"/>
                  <w10:anchorlock/>
                </v:shape>
                <o:OLEObject Type="Embed" ProgID="Equations" ShapeID="_x0000_i1025" DrawAspect="Content" ObjectID="_1468075725" r:id="rId15">
                  <o:LockedField>false</o:LockedField>
                </o:OLEObject>
              </w:object>
            </w:r>
          </w:p>
          <w:p w14:paraId="59E35C12">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式中：E</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highlight w:val="none"/>
                <w14:textFill>
                  <w14:solidFill>
                    <w14:schemeClr w14:val="tx1"/>
                  </w14:solidFill>
                </w14:textFill>
              </w:rPr>
              <w:t>----核算时段内颗粒物（烟尘）排放量，t；</w:t>
            </w:r>
          </w:p>
          <w:p w14:paraId="181E8BC3">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R----核算时段内</w:t>
            </w:r>
            <w:r>
              <w:rPr>
                <w:rFonts w:hint="eastAsia"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燃料耗量，</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p w14:paraId="0AD35818">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A</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ar</w:t>
            </w:r>
            <w:r>
              <w:rPr>
                <w:rFonts w:hint="default" w:ascii="Times New Roman" w:hAnsi="Times New Roman" w:eastAsia="宋体" w:cs="Times New Roman"/>
                <w:color w:val="000000" w:themeColor="text1"/>
                <w:sz w:val="21"/>
                <w:szCs w:val="21"/>
                <w:highlight w:val="none"/>
                <w14:textFill>
                  <w14:solidFill>
                    <w14:schemeClr w14:val="tx1"/>
                  </w14:solidFill>
                </w14:textFill>
              </w:rPr>
              <w:t>----收到基灰分的质量分数，%；取</w:t>
            </w:r>
            <w:r>
              <w:rPr>
                <w:rFonts w:hint="eastAsia" w:cs="Times New Roman"/>
                <w:color w:val="000000" w:themeColor="text1"/>
                <w:sz w:val="21"/>
                <w:szCs w:val="21"/>
                <w:highlight w:val="none"/>
                <w:lang w:val="en-US" w:eastAsia="zh-CN"/>
                <w14:textFill>
                  <w14:solidFill>
                    <w14:schemeClr w14:val="tx1"/>
                  </w14:solidFill>
                </w14:textFill>
              </w:rPr>
              <w:t>3.71</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8BF5134">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sz w:val="21"/>
                <w:szCs w:val="21"/>
                <w:highlight w:val="none"/>
                <w14:textFill>
                  <w14:solidFill>
                    <w14:schemeClr w14:val="tx1"/>
                  </w14:solidFill>
                </w14:textFill>
              </w:rPr>
              <w:t>烟气带出的灰分份额，%；取50%。</w:t>
            </w:r>
          </w:p>
          <w:p w14:paraId="4156A9ED">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ƞ</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1"/>
                <w:szCs w:val="21"/>
                <w:highlight w:val="none"/>
                <w14:textFill>
                  <w14:solidFill>
                    <w14:schemeClr w14:val="tx1"/>
                  </w14:solidFill>
                </w14:textFill>
              </w:rPr>
              <w:t>----综合除尘效率，%；取99%。</w:t>
            </w:r>
          </w:p>
          <w:p w14:paraId="2EAF839F">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fh</w:t>
            </w:r>
            <w:r>
              <w:rPr>
                <w:rFonts w:hint="default" w:ascii="Times New Roman" w:hAnsi="Times New Roman" w:eastAsia="宋体" w:cs="Times New Roman"/>
                <w:color w:val="000000" w:themeColor="text1"/>
                <w:sz w:val="21"/>
                <w:szCs w:val="21"/>
                <w:highlight w:val="none"/>
                <w14:textFill>
                  <w14:solidFill>
                    <w14:schemeClr w14:val="tx1"/>
                  </w14:solidFill>
                </w14:textFill>
              </w:rPr>
              <w:t>----飞灰中可燃物含量，%。取1</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%。（项目使用生物质成型燃料，飞灰中可燃物含量类比烟煤II类，根据《工业锅炉经济运行》（GB/T17954-2007），取1</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CBBAF78">
            <w:pPr>
              <w:pStyle w:val="3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由计算可得出颗粒物排放量为</w:t>
            </w:r>
            <w:r>
              <w:rPr>
                <w:rFonts w:hint="eastAsia" w:cs="Times New Roman"/>
                <w:color w:val="000000" w:themeColor="text1"/>
                <w:position w:val="0"/>
                <w:sz w:val="21"/>
                <w:szCs w:val="21"/>
                <w:highlight w:val="none"/>
                <w:lang w:val="en-US" w:eastAsia="zh-CN"/>
                <w14:textFill>
                  <w14:solidFill>
                    <w14:schemeClr w14:val="tx1"/>
                  </w14:solidFill>
                </w14:textFill>
              </w:rPr>
              <w:t>0.317</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t/a，</w:t>
            </w:r>
            <w:r>
              <w:rPr>
                <w:rFonts w:hint="eastAsia" w:cs="Times New Roman"/>
                <w:color w:val="000000" w:themeColor="text1"/>
                <w:position w:val="0"/>
                <w:sz w:val="21"/>
                <w:szCs w:val="21"/>
                <w:highlight w:val="none"/>
                <w:lang w:val="en-US" w:eastAsia="zh-CN"/>
                <w14:textFill>
                  <w14:solidFill>
                    <w14:schemeClr w14:val="tx1"/>
                  </w14:solidFill>
                </w14:textFill>
              </w:rPr>
              <w:t>0.330</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kg/h。</w:t>
            </w:r>
          </w:p>
          <w:p w14:paraId="1D70FA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③二氧化硫排放量</w:t>
            </w:r>
          </w:p>
          <w:p w14:paraId="4CD748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object>
                <v:shape id="_x0000_i1026" o:spt="75" type="#_x0000_t75" style="height:33pt;width:204pt;" o:ole="t" filled="f" o:preferrelative="t" stroked="f" coordsize="21600,21600">
                  <v:path/>
                  <v:fill on="f" focussize="0,0"/>
                  <v:stroke on="f"/>
                  <v:imagedata r:id="rId18" o:title=""/>
                  <o:lock v:ext="edit" aspectratio="t"/>
                  <w10:wrap type="none"/>
                  <w10:anchorlock/>
                </v:shape>
                <o:OLEObject Type="Embed" ProgID="Equations" ShapeID="_x0000_i1026" DrawAspect="Content" ObjectID="_1468075726" r:id="rId17">
                  <o:LockedField>false</o:LockedField>
                </o:OLEObject>
              </w:object>
            </w:r>
          </w:p>
          <w:p w14:paraId="5B9A3508">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式中：E</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SO2</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----核算时段内二氧化硫排放量，t；</w:t>
            </w:r>
          </w:p>
          <w:p w14:paraId="0284AB3A">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R----核算时段内</w:t>
            </w:r>
            <w:r>
              <w:rPr>
                <w:rFonts w:hint="eastAsia" w:cs="Times New Roman"/>
                <w:color w:val="000000" w:themeColor="text1"/>
                <w:position w:val="0"/>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燃料耗量</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w:t>
            </w:r>
          </w:p>
          <w:p w14:paraId="0319D549">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eastAsia" w:cs="Times New Roman"/>
                <w:color w:val="000000" w:themeColor="text1"/>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S</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ar</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----收到基硫的质量分数，0.0</w:t>
            </w:r>
            <w:r>
              <w:rPr>
                <w:rFonts w:hint="eastAsia" w:cs="Times New Roman"/>
                <w:color w:val="000000" w:themeColor="text1"/>
                <w:positio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w:t>
            </w:r>
            <w:r>
              <w:rPr>
                <w:rFonts w:hint="eastAsia" w:cs="Times New Roman"/>
                <w:color w:val="000000" w:themeColor="text1"/>
                <w:position w:val="0"/>
                <w:sz w:val="21"/>
                <w:szCs w:val="21"/>
                <w:highlight w:val="none"/>
                <w:lang w:eastAsia="zh-CN"/>
                <w14:textFill>
                  <w14:solidFill>
                    <w14:schemeClr w14:val="tx1"/>
                  </w14:solidFill>
                </w14:textFill>
              </w:rPr>
              <w:t>；</w:t>
            </w:r>
          </w:p>
          <w:p w14:paraId="1E1D41F7">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eastAsia" w:cs="Times New Roman"/>
                <w:color w:val="000000" w:themeColor="text1"/>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q</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w:t>
            </w:r>
            <w:r>
              <w:rPr>
                <w:rFonts w:hint="eastAsia" w:cs="Times New Roman"/>
                <w:color w:val="000000" w:themeColor="text1"/>
                <w:position w:val="0"/>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机械不完全燃烧热损失，%；取12%</w:t>
            </w:r>
            <w:r>
              <w:rPr>
                <w:rFonts w:hint="eastAsia" w:cs="Times New Roman"/>
                <w:color w:val="000000" w:themeColor="text1"/>
                <w:position w:val="0"/>
                <w:sz w:val="21"/>
                <w:szCs w:val="21"/>
                <w:highlight w:val="none"/>
                <w:lang w:eastAsia="zh-CN"/>
                <w14:textFill>
                  <w14:solidFill>
                    <w14:schemeClr w14:val="tx1"/>
                  </w14:solidFill>
                </w14:textFill>
              </w:rPr>
              <w:t>；</w:t>
            </w:r>
          </w:p>
          <w:p w14:paraId="6B905044">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b/>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ƞ</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----脱硫效率，%；</w:t>
            </w:r>
          </w:p>
          <w:p w14:paraId="7BF65206">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K----燃料中的硫燃烧后氧化成二氧化硫的份额，量纲一的量。取0.50。</w:t>
            </w:r>
          </w:p>
          <w:p w14:paraId="44993393">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ascii="Times New Roman" w:hAnsi="Times New Roman" w:eastAsia="宋体" w:cs="Times New Roman"/>
                <w:b/>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由计算可得出SO</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排放量为</w:t>
            </w:r>
            <w:r>
              <w:rPr>
                <w:rFonts w:hint="eastAsia" w:cs="Times New Roman"/>
                <w:color w:val="000000" w:themeColor="text1"/>
                <w:position w:val="0"/>
                <w:sz w:val="21"/>
                <w:szCs w:val="21"/>
                <w:highlight w:val="none"/>
                <w:lang w:val="en-US" w:eastAsia="zh-CN"/>
                <w14:textFill>
                  <w14:solidFill>
                    <w14:schemeClr w14:val="tx1"/>
                  </w14:solidFill>
                </w14:textFill>
              </w:rPr>
              <w:t>0.379</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t/a，0.</w:t>
            </w:r>
            <w:r>
              <w:rPr>
                <w:rFonts w:hint="eastAsia" w:cs="Times New Roman"/>
                <w:color w:val="000000" w:themeColor="text1"/>
                <w:position w:val="0"/>
                <w:sz w:val="21"/>
                <w:szCs w:val="21"/>
                <w:highlight w:val="none"/>
                <w:lang w:val="en-US" w:eastAsia="zh-CN"/>
                <w14:textFill>
                  <w14:solidFill>
                    <w14:schemeClr w14:val="tx1"/>
                  </w14:solidFill>
                </w14:textFill>
              </w:rPr>
              <w:t>395</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kg/h。</w:t>
            </w:r>
          </w:p>
          <w:p w14:paraId="5F306C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④氮氧化物排放量</w:t>
            </w:r>
          </w:p>
          <w:p w14:paraId="5B3CB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本项目</w:t>
            </w:r>
            <w:r>
              <w:rPr>
                <w:rFonts w:hint="eastAsia" w:cs="Times New Roman"/>
                <w:color w:val="000000" w:themeColor="text1"/>
                <w:position w:val="0"/>
                <w:sz w:val="21"/>
                <w:szCs w:val="21"/>
                <w:highlight w:val="none"/>
                <w:lang w:eastAsia="zh-CN"/>
                <w14:textFill>
                  <w14:solidFill>
                    <w14:schemeClr w14:val="tx1"/>
                  </w14:solidFill>
                </w14:textFill>
              </w:rPr>
              <w:t>热风炉</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出口NO</w:t>
            </w:r>
            <w:r>
              <w:rPr>
                <w:rFonts w:hint="default" w:ascii="Times New Roman" w:hAnsi="Times New Roman" w:eastAsia="宋体" w:cs="Times New Roman"/>
                <w:color w:val="000000" w:themeColor="text1"/>
                <w:position w:val="0"/>
                <w:sz w:val="2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产生浓度无法估算，</w:t>
            </w:r>
            <w:r>
              <w:rPr>
                <w:rFonts w:hint="eastAsia" w:cs="Times New Roman"/>
                <w:color w:val="000000" w:themeColor="text1"/>
                <w:position w:val="0"/>
                <w:sz w:val="21"/>
                <w:szCs w:val="21"/>
                <w:highlight w:val="none"/>
                <w:lang w:val="en-US" w:eastAsia="zh-CN"/>
                <w14:textFill>
                  <w14:solidFill>
                    <w14:schemeClr w14:val="tx1"/>
                  </w14:solidFill>
                </w14:textFill>
              </w:rPr>
              <w:t>与《黑龙江省庆丰农场烘干塔建设项目竣工环境保护验收报告》中氮氧化物浓度进行类比，《黑龙江省庆丰农场烘干塔建设项目竣工环境保护验收报告》中氮氧化物排放浓度平均值为149.7mg/m</w:t>
            </w:r>
            <w:r>
              <w:rPr>
                <w:rFonts w:hint="eastAsia" w:cs="Times New Roman"/>
                <w:color w:val="000000" w:themeColor="text1"/>
                <w:position w:val="0"/>
                <w:sz w:val="21"/>
                <w:szCs w:val="21"/>
                <w:highlight w:val="none"/>
                <w:vertAlign w:val="superscript"/>
                <w:lang w:val="en-US" w:eastAsia="zh-CN"/>
                <w14:textFill>
                  <w14:solidFill>
                    <w14:schemeClr w14:val="tx1"/>
                  </w14:solidFill>
                </w14:textFill>
              </w:rPr>
              <w:t>3</w:t>
            </w:r>
            <w:r>
              <w:rPr>
                <w:rFonts w:hint="eastAsia" w:cs="Times New Roman"/>
                <w:color w:val="000000" w:themeColor="text1"/>
                <w:position w:val="0"/>
                <w:sz w:val="21"/>
                <w:szCs w:val="21"/>
                <w:highlight w:val="none"/>
                <w:lang w:val="en-US" w:eastAsia="zh-CN"/>
                <w14:textFill>
                  <w14:solidFill>
                    <w14:schemeClr w14:val="tx1"/>
                  </w14:solidFill>
                </w14:textFill>
              </w:rPr>
              <w:t>。故本项目</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氮氧化物产生量</w:t>
            </w:r>
            <w:r>
              <w:rPr>
                <w:rFonts w:hint="eastAsia" w:cs="Times New Roman"/>
                <w:color w:val="000000" w:themeColor="text1"/>
                <w:position w:val="0"/>
                <w:sz w:val="21"/>
                <w:szCs w:val="21"/>
                <w:highlight w:val="none"/>
                <w:lang w:val="en-US" w:eastAsia="zh-CN"/>
                <w14:textFill>
                  <w14:solidFill>
                    <w14:schemeClr w14:val="tx1"/>
                  </w14:solidFill>
                </w14:textFill>
              </w:rPr>
              <w:t>1.662</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t/a，</w:t>
            </w:r>
            <w:r>
              <w:rPr>
                <w:rFonts w:hint="eastAsia" w:cs="Times New Roman"/>
                <w:color w:val="000000" w:themeColor="text1"/>
                <w:position w:val="0"/>
                <w:sz w:val="21"/>
                <w:szCs w:val="21"/>
                <w:highlight w:val="none"/>
                <w:lang w:val="en-US" w:eastAsia="zh-CN"/>
                <w14:textFill>
                  <w14:solidFill>
                    <w14:schemeClr w14:val="tx1"/>
                  </w14:solidFill>
                </w14:textFill>
              </w:rPr>
              <w:t>1.731kg/h</w:t>
            </w:r>
            <w:r>
              <w:rPr>
                <w:rFonts w:hint="default" w:ascii="Times New Roman" w:hAnsi="Times New Roman" w:eastAsia="宋体" w:cs="Times New Roman"/>
                <w:color w:val="000000" w:themeColor="text1"/>
                <w:position w:val="0"/>
                <w:sz w:val="21"/>
                <w:szCs w:val="21"/>
                <w:highlight w:val="none"/>
                <w14:textFill>
                  <w14:solidFill>
                    <w14:schemeClr w14:val="tx1"/>
                  </w14:solidFill>
                </w14:textFill>
              </w:rPr>
              <w:t>。</w:t>
            </w:r>
          </w:p>
          <w:p w14:paraId="208F358E">
            <w:pPr>
              <w:pStyle w:val="1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故本项目</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热风炉</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大气污染物</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产生</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量为：</w:t>
            </w:r>
            <w:r>
              <w:rPr>
                <w:rFonts w:hint="eastAsia" w:cs="Times New Roman"/>
                <w:bCs/>
                <w:color w:val="000000" w:themeColor="text1"/>
                <w:spacing w:val="0"/>
                <w:sz w:val="21"/>
                <w:szCs w:val="21"/>
                <w:highlight w:val="none"/>
                <w:lang w:val="en-US" w:eastAsia="zh-CN"/>
                <w14:textFill>
                  <w14:solidFill>
                    <w14:schemeClr w14:val="tx1"/>
                  </w14:solidFill>
                </w14:textFill>
              </w:rPr>
              <w:t>颗粒物</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eastAsia" w:cs="Times New Roman"/>
                <w:bCs/>
                <w:color w:val="000000" w:themeColor="text1"/>
                <w:spacing w:val="0"/>
                <w:sz w:val="21"/>
                <w:szCs w:val="21"/>
                <w:highlight w:val="none"/>
                <w:lang w:val="en-US" w:eastAsia="zh-CN"/>
                <w14:textFill>
                  <w14:solidFill>
                    <w14:schemeClr w14:val="tx1"/>
                  </w14:solidFill>
                </w14:textFill>
              </w:rPr>
              <w:t>31.7</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bCs/>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0.379</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NO</w:t>
            </w:r>
            <w:r>
              <w:rPr>
                <w:rFonts w:hint="default" w:ascii="Times New Roman" w:hAnsi="Times New Roman" w:eastAsia="宋体" w:cs="Times New Roman"/>
                <w:bCs/>
                <w:color w:val="000000" w:themeColor="text1"/>
                <w:spacing w:val="0"/>
                <w:sz w:val="21"/>
                <w:szCs w:val="21"/>
                <w:highlight w:val="none"/>
                <w:vertAlign w:val="subscript"/>
                <w:lang w:eastAsia="zh-CN"/>
                <w14:textFill>
                  <w14:solidFill>
                    <w14:schemeClr w14:val="tx1"/>
                  </w14:solidFill>
                </w14:textFill>
              </w:rPr>
              <w:t>x</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：1.662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热风炉烟气</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通过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布袋除尘器（除尘效率99%）处理后经过</w:t>
            </w: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m高</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排放</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。则</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热风炉</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大气污染物</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排放</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量为：颗粒物：</w:t>
            </w:r>
            <w:r>
              <w:rPr>
                <w:rFonts w:hint="eastAsia" w:cs="Times New Roman"/>
                <w:bCs w:val="0"/>
                <w:color w:val="000000" w:themeColor="text1"/>
                <w:spacing w:val="0"/>
                <w:sz w:val="21"/>
                <w:szCs w:val="21"/>
                <w:highlight w:val="none"/>
                <w:vertAlign w:val="baseline"/>
                <w:lang w:val="en-US" w:eastAsia="zh-CN"/>
                <w14:textFill>
                  <w14:solidFill>
                    <w14:schemeClr w14:val="tx1"/>
                  </w14:solidFill>
                </w14:textFill>
              </w:rPr>
              <w:t>0.317</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eastAsia"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bCs/>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0.379</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NO</w:t>
            </w:r>
            <w:r>
              <w:rPr>
                <w:rFonts w:hint="default" w:ascii="Times New Roman" w:hAnsi="Times New Roman" w:eastAsia="宋体" w:cs="Times New Roman"/>
                <w:bCs/>
                <w:color w:val="000000" w:themeColor="text1"/>
                <w:spacing w:val="0"/>
                <w:sz w:val="21"/>
                <w:szCs w:val="21"/>
                <w:highlight w:val="none"/>
                <w:vertAlign w:val="subscript"/>
                <w:lang w:eastAsia="zh-CN"/>
                <w14:textFill>
                  <w14:solidFill>
                    <w14:schemeClr w14:val="tx1"/>
                  </w14:solidFill>
                </w14:textFill>
              </w:rPr>
              <w:t>x</w:t>
            </w:r>
            <w:r>
              <w:rPr>
                <w:rFonts w:hint="eastAsia" w:cs="Times New Roman"/>
                <w:bCs/>
                <w:color w:val="000000" w:themeColor="text1"/>
                <w:spacing w:val="0"/>
                <w:sz w:val="21"/>
                <w:szCs w:val="21"/>
                <w:highlight w:val="none"/>
                <w:vertAlign w:val="baseline"/>
                <w:lang w:val="en-US" w:eastAsia="zh-CN"/>
                <w14:textFill>
                  <w14:solidFill>
                    <w14:schemeClr w14:val="tx1"/>
                  </w14:solidFill>
                </w14:textFill>
              </w:rPr>
              <w:t>：1.662</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t/a</w:t>
            </w:r>
            <w:r>
              <w:rPr>
                <w:rFonts w:hint="default" w:ascii="Times New Roman" w:hAnsi="Times New Roman" w:eastAsia="宋体" w:cs="Times New Roman"/>
                <w:bCs/>
                <w:color w:val="000000" w:themeColor="text1"/>
                <w:spacing w:val="0"/>
                <w:sz w:val="21"/>
                <w:szCs w:val="21"/>
                <w:highlight w:val="none"/>
                <w:lang w:eastAsia="zh-CN"/>
                <w14:textFill>
                  <w14:solidFill>
                    <w14:schemeClr w14:val="tx1"/>
                  </w14:solidFill>
                </w14:textFill>
              </w:rPr>
              <w:t>。</w:t>
            </w:r>
          </w:p>
          <w:p w14:paraId="1B837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热风炉灰渣储运扬尘</w:t>
            </w:r>
          </w:p>
          <w:p w14:paraId="28B2D2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本项目热风炉灰渣储存在</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内，热风炉灰渣每</w:t>
            </w:r>
            <w:r>
              <w:rPr>
                <w:rFonts w:hint="eastAsia" w:cs="Times New Roman"/>
                <w:bCs/>
                <w:color w:val="000000" w:themeColor="text1"/>
                <w:kern w:val="0"/>
                <w:sz w:val="21"/>
                <w:szCs w:val="21"/>
                <w:highlight w:val="none"/>
                <w:lang w:val="en-US" w:eastAsia="zh-CN"/>
                <w14:textFill>
                  <w14:solidFill>
                    <w14:schemeClr w14:val="tx1"/>
                  </w14:solidFill>
                </w14:textFill>
              </w:rPr>
              <w:t>10天</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外运1次。热风炉灰渣储存及外运过程将产生扬尘，对灰渣暂存位置、灰渣装运过程采取洒水降尘措施，可有效控制扬尘污染。</w:t>
            </w:r>
          </w:p>
          <w:p w14:paraId="3C4CB6A2">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textAlignment w:val="auto"/>
              <w:rPr>
                <w:rFonts w:hint="default"/>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汞及其化合物</w:t>
            </w:r>
          </w:p>
          <w:p w14:paraId="7F437EF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生物质分析报告中未体现汞含量，根据《直接法测定固体生物质燃料中汞的试验研究》（煤质技术，2020年）可知，生物质汞含量为15.47ng/g。故，由于生物质颗粒汞含量低的特点，本项目暂不考虑汞的排放。</w:t>
            </w:r>
            <w:r>
              <w:rPr>
                <w:rFonts w:hint="eastAsia"/>
                <w:color w:val="000000" w:themeColor="text1"/>
                <w:sz w:val="21"/>
                <w:szCs w:val="21"/>
                <w:highlight w:val="none"/>
                <w:lang w:val="en-US" w:eastAsia="zh-CN"/>
                <w14:textFill>
                  <w14:solidFill>
                    <w14:schemeClr w14:val="tx1"/>
                  </w14:solidFill>
                </w14:textFill>
              </w:rPr>
              <w:t>无需</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开展大气专项评价</w:t>
            </w:r>
            <w:r>
              <w:rPr>
                <w:rFonts w:hint="eastAsia" w:cs="Times New Roman"/>
                <w:color w:val="000000" w:themeColor="text1"/>
                <w:sz w:val="21"/>
                <w:szCs w:val="21"/>
                <w:highlight w:val="none"/>
                <w:lang w:val="en-US" w:eastAsia="zh-CN"/>
                <w14:textFill>
                  <w14:solidFill>
                    <w14:schemeClr w14:val="tx1"/>
                  </w14:solidFill>
                </w14:textFill>
              </w:rPr>
              <w:t>。</w:t>
            </w:r>
          </w:p>
          <w:p w14:paraId="746DEC90">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无组织工艺粉尘：</w:t>
            </w:r>
          </w:p>
          <w:p w14:paraId="195DB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初清</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筛分粉尘</w:t>
            </w:r>
          </w:p>
          <w:p w14:paraId="3FC80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本项目粮食进入粮仓之前进行筛分，筛分产生的粉尘根据《逸散性工业粉尘控制技术》中谷物贮仓，筛分和清理系数为1.5kg/t（清理料）</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本项目新增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筛分量为</w:t>
            </w:r>
            <w:r>
              <w:rPr>
                <w:rFonts w:hint="eastAsia" w:cs="Times New Roman"/>
                <w:bCs/>
                <w:color w:val="000000" w:themeColor="text1"/>
                <w:sz w:val="21"/>
                <w:szCs w:val="21"/>
                <w:highlight w:val="none"/>
                <w:lang w:val="en-US" w:eastAsia="zh-CN"/>
                <w14:textFill>
                  <w14:solidFill>
                    <w14:schemeClr w14:val="tx1"/>
                  </w14:solidFill>
                </w14:textFill>
              </w:rPr>
              <w:t>20000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粉尘</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产生</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量为</w:t>
            </w:r>
            <w:r>
              <w:rPr>
                <w:rFonts w:hint="eastAsia" w:cs="Times New Roman"/>
                <w:bCs/>
                <w:color w:val="000000" w:themeColor="text1"/>
                <w:kern w:val="0"/>
                <w:sz w:val="21"/>
                <w:szCs w:val="21"/>
                <w:highlight w:val="none"/>
                <w:lang w:val="en-US" w:eastAsia="zh-CN"/>
                <w14:textFill>
                  <w14:solidFill>
                    <w14:schemeClr w14:val="tx1"/>
                  </w14:solidFill>
                </w14:textFill>
              </w:rPr>
              <w:t>30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w:t>
            </w:r>
            <w:r>
              <w:rPr>
                <w:rFonts w:hint="eastAsia" w:ascii="Times New Roman" w:hAnsi="Times New Roman" w:cs="Times New Roman"/>
                <w:color w:val="000000" w:themeColor="text1"/>
                <w:sz w:val="21"/>
                <w:szCs w:val="21"/>
                <w:highlight w:val="none"/>
                <w:lang w:eastAsia="zh-CN"/>
                <w14:textFill>
                  <w14:solidFill>
                    <w14:schemeClr w14:val="tx1"/>
                  </w14:solidFill>
                </w14:textFill>
              </w:rPr>
              <w:t>清粮采用全密闭</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清选</w:t>
            </w:r>
            <w:r>
              <w:rPr>
                <w:rFonts w:hint="eastAsia" w:ascii="Times New Roman" w:hAnsi="Times New Roman" w:cs="Times New Roman"/>
                <w:color w:val="000000" w:themeColor="text1"/>
                <w:sz w:val="21"/>
                <w:szCs w:val="21"/>
                <w:highlight w:val="none"/>
                <w:lang w:eastAsia="zh-CN"/>
                <w14:textFill>
                  <w14:solidFill>
                    <w14:schemeClr w14:val="tx1"/>
                  </w14:solidFill>
                </w14:textFill>
              </w:rPr>
              <w:t>筛，产生的粉尘经设备自带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21"/>
                <w:szCs w:val="21"/>
                <w:highlight w:val="none"/>
                <w:lang w:eastAsia="zh-CN"/>
                <w14:textFill>
                  <w14:solidFill>
                    <w14:schemeClr w14:val="tx1"/>
                  </w14:solidFill>
                </w14:textFill>
              </w:rPr>
              <w:t>处理后排放，</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处理效率为99%，则粉尘排放量为0.</w:t>
            </w:r>
            <w:r>
              <w:rPr>
                <w:rFonts w:hint="eastAsia" w:cs="Times New Roman"/>
                <w:bCs/>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t/a，排放速率为</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r>
              <w:rPr>
                <w:rFonts w:hint="eastAsia" w:cs="Times New Roman"/>
                <w:bCs/>
                <w:color w:val="000000" w:themeColor="text1"/>
                <w:kern w:val="0"/>
                <w:sz w:val="21"/>
                <w:szCs w:val="21"/>
                <w:highlight w:val="none"/>
                <w:lang w:val="en-US" w:eastAsia="zh-CN"/>
                <w14:textFill>
                  <w14:solidFill>
                    <w14:schemeClr w14:val="tx1"/>
                  </w14:solidFill>
                </w14:textFill>
              </w:rPr>
              <w:t>104</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7BE51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5</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原料</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输送装卸粉尘</w:t>
            </w:r>
          </w:p>
          <w:p w14:paraId="13E54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本项目装卸、运输过程中会产生废气，主要污染物为颗粒物，根据《逸散性工业粉尘控制技术》中谷物贮仓，卡车装卸粉尘系数为0.1kg/t（卸料），本项目</w:t>
            </w:r>
            <w:r>
              <w:rPr>
                <w:rFonts w:hint="eastAsia"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装卸</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原料</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量</w:t>
            </w:r>
            <w:r>
              <w:rPr>
                <w:rFonts w:hint="eastAsia" w:cs="Times New Roman"/>
                <w:bCs/>
                <w:color w:val="000000" w:themeColor="text1"/>
                <w:sz w:val="21"/>
                <w:szCs w:val="21"/>
                <w:highlight w:val="none"/>
                <w:lang w:val="en-US" w:eastAsia="zh-CN"/>
                <w14:textFill>
                  <w14:solidFill>
                    <w14:schemeClr w14:val="tx1"/>
                  </w14:solidFill>
                </w14:textFill>
              </w:rPr>
              <w:t>20000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w:t>
            </w:r>
            <w:r>
              <w:rPr>
                <w:rFonts w:hint="eastAsia"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粉尘产生量为</w:t>
            </w:r>
            <w:r>
              <w:rPr>
                <w:rFonts w:hint="eastAsia" w:cs="Times New Roman"/>
                <w:bCs/>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粉</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尘产生速率为</w:t>
            </w:r>
            <w:r>
              <w:rPr>
                <w:rFonts w:hint="eastAsia" w:cs="Times New Roman"/>
                <w:bCs/>
                <w:color w:val="000000" w:themeColor="text1"/>
                <w:kern w:val="0"/>
                <w:sz w:val="21"/>
                <w:szCs w:val="21"/>
                <w:highlight w:val="none"/>
                <w:lang w:val="en-US" w:eastAsia="zh-CN"/>
                <w14:textFill>
                  <w14:solidFill>
                    <w14:schemeClr w14:val="tx1"/>
                  </w14:solidFill>
                </w14:textFill>
              </w:rPr>
              <w:t>0.695</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kg/h，装卸工段采取粮仓密闭四周设置围挡、减小装卸高度等降尘措施，运输过程中采用封闭输送，粉尘可降低90%，则原粮装卸运输过程无组织排放粉尘为</w:t>
            </w:r>
            <w:r>
              <w:rPr>
                <w:rFonts w:hint="eastAsia" w:cs="Times New Roman"/>
                <w:bCs/>
                <w:color w:val="000000" w:themeColor="text1"/>
                <w:kern w:val="0"/>
                <w:sz w:val="21"/>
                <w:szCs w:val="21"/>
                <w:highlight w:val="none"/>
                <w:lang w:val="en-US" w:eastAsia="zh-CN"/>
                <w14:textFill>
                  <w14:solidFill>
                    <w14:schemeClr w14:val="tx1"/>
                  </w14:solidFill>
                </w14:textFill>
              </w:rPr>
              <w:t>0.2</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w:t>
            </w:r>
            <w:r>
              <w:rPr>
                <w:rFonts w:hint="eastAsia" w:cs="Times New Roman"/>
                <w:bCs/>
                <w:color w:val="000000" w:themeColor="text1"/>
                <w:kern w:val="0"/>
                <w:sz w:val="21"/>
                <w:szCs w:val="21"/>
                <w:highlight w:val="none"/>
                <w:lang w:val="en-US" w:eastAsia="zh-CN"/>
                <w14:textFill>
                  <w14:solidFill>
                    <w14:schemeClr w14:val="tx1"/>
                  </w14:solidFill>
                </w14:textFill>
              </w:rPr>
              <w:t>0.0695</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53827D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6</w:t>
            </w:r>
            <w:r>
              <w:rPr>
                <w:rFonts w:hint="eastAsia"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烘干粉尘</w:t>
            </w:r>
          </w:p>
          <w:p w14:paraId="0873E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本项目在粮食初清过程中已将绝大部分杂质清除干净，烘干过程中粉尘产生量根据《逸散性工业粉尘控制技术》第五章谷物仓储中的颗粒特性，干燥工序逸散尘排放因子取0.1kg/t，</w:t>
            </w:r>
            <w:r>
              <w:rPr>
                <w:rFonts w:hint="eastAsia"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烘干</w:t>
            </w:r>
            <w:r>
              <w:rPr>
                <w:rFonts w:hint="eastAsia" w:ascii="Times New Roman" w:hAnsi="Times New Roman" w:eastAsia="宋体" w:cs="Times New Roman"/>
                <w:bCs/>
                <w:color w:val="000000" w:themeColor="text1"/>
                <w:kern w:val="0"/>
                <w:sz w:val="21"/>
                <w:szCs w:val="21"/>
                <w:highlight w:val="none"/>
                <w:lang w:eastAsia="zh-CN"/>
                <w14:textFill>
                  <w14:solidFill>
                    <w14:schemeClr w14:val="tx1"/>
                  </w14:solidFill>
                </w14:textFill>
              </w:rPr>
              <w:t>量</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为</w:t>
            </w:r>
            <w:r>
              <w:rPr>
                <w:rFonts w:hint="eastAsia" w:cs="Times New Roman"/>
                <w:bCs/>
                <w:color w:val="000000" w:themeColor="text1"/>
                <w:kern w:val="0"/>
                <w:sz w:val="21"/>
                <w:szCs w:val="21"/>
                <w:highlight w:val="none"/>
                <w:lang w:val="en-US" w:eastAsia="zh-CN"/>
                <w14:textFill>
                  <w14:solidFill>
                    <w14:schemeClr w14:val="tx1"/>
                  </w14:solidFill>
                </w14:textFill>
              </w:rPr>
              <w:t>19968</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t/a，则</w:t>
            </w:r>
            <w:r>
              <w:rPr>
                <w:rFonts w:hint="eastAsia" w:cs="Times New Roman"/>
                <w:bCs/>
                <w:color w:val="000000" w:themeColor="text1"/>
                <w:kern w:val="0"/>
                <w:sz w:val="21"/>
                <w:szCs w:val="21"/>
                <w:highlight w:val="none"/>
                <w:lang w:val="en-US" w:eastAsia="zh-CN"/>
                <w14:textFill>
                  <w14:solidFill>
                    <w14:schemeClr w14:val="tx1"/>
                  </w14:solidFill>
                </w14:textFill>
              </w:rPr>
              <w:t>新增</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粉尘产生量</w:t>
            </w:r>
            <w:r>
              <w:rPr>
                <w:rFonts w:hint="eastAsia" w:cs="Times New Roman"/>
                <w:bCs/>
                <w:color w:val="000000" w:themeColor="text1"/>
                <w:kern w:val="0"/>
                <w:sz w:val="21"/>
                <w:szCs w:val="21"/>
                <w:highlight w:val="none"/>
                <w:lang w:val="en-US" w:eastAsia="zh-CN"/>
                <w14:textFill>
                  <w14:solidFill>
                    <w14:schemeClr w14:val="tx1"/>
                  </w14:solidFill>
                </w14:textFill>
              </w:rPr>
              <w:t>1.997</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t/a，产生速率为</w:t>
            </w:r>
            <w:r>
              <w:rPr>
                <w:rFonts w:hint="eastAsia" w:cs="Times New Roman"/>
                <w:bCs/>
                <w:color w:val="000000" w:themeColor="text1"/>
                <w:kern w:val="0"/>
                <w:sz w:val="21"/>
                <w:szCs w:val="21"/>
                <w:highlight w:val="none"/>
                <w:lang w:val="en-US" w:eastAsia="zh-CN"/>
                <w14:textFill>
                  <w14:solidFill>
                    <w14:schemeClr w14:val="tx1"/>
                  </w14:solidFill>
                </w14:textFill>
              </w:rPr>
              <w:t>0.693</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烘干过程粉尘随着风力作用从烘干塔四周风口（占90%）及顶部溢出（占10%），最终以无组织形式排放。烘干塔内部自带重力沉降室，烘干塔底部四周设置防尘挡板，粉尘受挡板格挡后受重力作用回落到烘干塔底部收尘设施中，参照《扬尘源颗粒物排放清单编制技术指南》中围挡遮围对TSP的控制效率，本项目抑尘效率按90%计，则项目烘干塔无组织粉尘排放量为0.</w:t>
            </w:r>
            <w:r>
              <w:rPr>
                <w:rFonts w:hint="eastAsia" w:cs="Times New Roman"/>
                <w:bCs/>
                <w:color w:val="000000" w:themeColor="text1"/>
                <w:kern w:val="0"/>
                <w:sz w:val="21"/>
                <w:szCs w:val="21"/>
                <w:highlight w:val="none"/>
                <w:lang w:val="en-US" w:eastAsia="zh-CN"/>
                <w14:textFill>
                  <w14:solidFill>
                    <w14:schemeClr w14:val="tx1"/>
                  </w14:solidFill>
                </w14:textFill>
              </w:rPr>
              <w:t>200</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t/a，排放速率为</w:t>
            </w:r>
            <w:r>
              <w:rPr>
                <w:rFonts w:hint="eastAsia" w:cs="Times New Roman"/>
                <w:bCs/>
                <w:color w:val="000000" w:themeColor="text1"/>
                <w:kern w:val="0"/>
                <w:sz w:val="21"/>
                <w:szCs w:val="21"/>
                <w:highlight w:val="none"/>
                <w:lang w:val="en-US" w:eastAsia="zh-CN"/>
                <w14:textFill>
                  <w14:solidFill>
                    <w14:schemeClr w14:val="tx1"/>
                  </w14:solidFill>
                </w14:textFill>
              </w:rPr>
              <w:t>0.0695</w:t>
            </w:r>
            <w:r>
              <w:rPr>
                <w:rFonts w:hint="default" w:ascii="Times New Roman" w:hAnsi="Times New Roman" w:eastAsia="宋体" w:cs="Times New Roman"/>
                <w:bCs/>
                <w:color w:val="000000" w:themeColor="text1"/>
                <w:kern w:val="0"/>
                <w:sz w:val="21"/>
                <w:szCs w:val="21"/>
                <w:highlight w:val="none"/>
                <w:lang w:eastAsia="zh-CN"/>
                <w14:textFill>
                  <w14:solidFill>
                    <w14:schemeClr w14:val="tx1"/>
                  </w14:solidFill>
                </w14:textFill>
              </w:rPr>
              <w:t>kg/h。</w:t>
            </w:r>
          </w:p>
          <w:p w14:paraId="4A4B5678">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玉米须</w:t>
            </w:r>
          </w:p>
          <w:p w14:paraId="2CD2DCE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本项目所收原粮为脱粒玉米，不涉及玉米须。不需相应管控措施。</w:t>
            </w:r>
          </w:p>
          <w:p w14:paraId="5899CD02">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2</w:t>
            </w:r>
            <w:r>
              <w:rPr>
                <w:rFonts w:hint="default"/>
                <w:bCs/>
                <w:color w:val="000000" w:themeColor="text1"/>
                <w:szCs w:val="21"/>
                <w:highlight w:val="none"/>
                <w14:textFill>
                  <w14:solidFill>
                    <w14:schemeClr w14:val="tx1"/>
                  </w14:solidFill>
                </w14:textFill>
              </w:rPr>
              <w:t>）排放口基本情况</w:t>
            </w:r>
          </w:p>
          <w:p w14:paraId="5C17F3F1">
            <w:pPr>
              <w:pStyle w:val="14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表4</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sz w:val="21"/>
                <w:szCs w:val="21"/>
                <w:highlight w:val="none"/>
                <w14:textFill>
                  <w14:solidFill>
                    <w14:schemeClr w14:val="tx1"/>
                  </w14:solidFill>
                </w14:textFill>
              </w:rPr>
              <w:t>废气排放口基本情况一览表</w:t>
            </w:r>
          </w:p>
          <w:tbl>
            <w:tblPr>
              <w:tblStyle w:val="33"/>
              <w:tblW w:w="5000" w:type="pct"/>
              <w:jc w:val="center"/>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88"/>
              <w:gridCol w:w="856"/>
              <w:gridCol w:w="856"/>
              <w:gridCol w:w="962"/>
              <w:gridCol w:w="1233"/>
              <w:gridCol w:w="1895"/>
            </w:tblGrid>
            <w:tr w14:paraId="2A58C379">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left w:val="nil"/>
                    <w:bottom w:val="single" w:color="auto" w:sz="4" w:space="0"/>
                    <w:right w:val="single" w:color="auto" w:sz="4" w:space="0"/>
                  </w:tcBorders>
                  <w:noWrap w:val="0"/>
                  <w:vAlign w:val="center"/>
                </w:tcPr>
                <w:p w14:paraId="0492F7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编号</w:t>
                  </w:r>
                </w:p>
              </w:tc>
              <w:tc>
                <w:tcPr>
                  <w:tcW w:w="923" w:type="pct"/>
                  <w:tcBorders>
                    <w:left w:val="single" w:color="auto" w:sz="4" w:space="0"/>
                    <w:bottom w:val="single" w:color="auto" w:sz="4" w:space="0"/>
                    <w:right w:val="single" w:color="auto" w:sz="4" w:space="0"/>
                  </w:tcBorders>
                  <w:noWrap w:val="0"/>
                  <w:vAlign w:val="center"/>
                </w:tcPr>
                <w:p w14:paraId="69E653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排放口名称</w:t>
                  </w:r>
                </w:p>
              </w:tc>
              <w:tc>
                <w:tcPr>
                  <w:tcW w:w="531" w:type="pct"/>
                  <w:tcBorders>
                    <w:left w:val="single" w:color="auto" w:sz="4" w:space="0"/>
                    <w:bottom w:val="single" w:color="auto" w:sz="4" w:space="0"/>
                    <w:right w:val="single" w:color="auto" w:sz="4" w:space="0"/>
                  </w:tcBorders>
                  <w:noWrap w:val="0"/>
                  <w:vAlign w:val="center"/>
                </w:tcPr>
                <w:p w14:paraId="260E30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高度/m</w:t>
                  </w:r>
                </w:p>
              </w:tc>
              <w:tc>
                <w:tcPr>
                  <w:tcW w:w="531" w:type="pct"/>
                  <w:tcBorders>
                    <w:left w:val="single" w:color="auto" w:sz="4" w:space="0"/>
                    <w:bottom w:val="single" w:color="auto" w:sz="4" w:space="0"/>
                    <w:right w:val="single" w:color="auto" w:sz="4" w:space="0"/>
                  </w:tcBorders>
                  <w:noWrap w:val="0"/>
                  <w:vAlign w:val="center"/>
                </w:tcPr>
                <w:p w14:paraId="60D67C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内径/m</w:t>
                  </w:r>
                </w:p>
              </w:tc>
              <w:tc>
                <w:tcPr>
                  <w:tcW w:w="597" w:type="pct"/>
                  <w:tcBorders>
                    <w:left w:val="single" w:color="auto" w:sz="4" w:space="0"/>
                    <w:bottom w:val="single" w:color="auto" w:sz="4" w:space="0"/>
                    <w:right w:val="single" w:color="auto" w:sz="4" w:space="0"/>
                  </w:tcBorders>
                  <w:noWrap w:val="0"/>
                  <w:vAlign w:val="center"/>
                </w:tcPr>
                <w:p w14:paraId="615B6F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温度/℃</w:t>
                  </w:r>
                </w:p>
              </w:tc>
              <w:tc>
                <w:tcPr>
                  <w:tcW w:w="765" w:type="pct"/>
                  <w:tcBorders>
                    <w:left w:val="single" w:color="auto" w:sz="4" w:space="0"/>
                    <w:bottom w:val="single" w:color="auto" w:sz="4" w:space="0"/>
                    <w:right w:val="single" w:color="auto" w:sz="4" w:space="0"/>
                  </w:tcBorders>
                  <w:noWrap w:val="0"/>
                  <w:vAlign w:val="center"/>
                </w:tcPr>
                <w:p w14:paraId="4B8C2D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类型</w:t>
                  </w:r>
                </w:p>
              </w:tc>
              <w:tc>
                <w:tcPr>
                  <w:tcW w:w="1176" w:type="pct"/>
                  <w:tcBorders>
                    <w:left w:val="single" w:color="auto" w:sz="4" w:space="0"/>
                    <w:bottom w:val="single" w:color="auto" w:sz="4" w:space="0"/>
                    <w:right w:val="nil"/>
                  </w:tcBorders>
                  <w:noWrap w:val="0"/>
                  <w:vAlign w:val="center"/>
                </w:tcPr>
                <w:p w14:paraId="2D7C05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地理坐标</w:t>
                  </w:r>
                </w:p>
              </w:tc>
            </w:tr>
            <w:tr w14:paraId="61FEBD1F">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nil"/>
                    <w:bottom w:val="single" w:color="auto" w:sz="4" w:space="0"/>
                    <w:right w:val="single" w:color="auto" w:sz="4" w:space="0"/>
                  </w:tcBorders>
                  <w:noWrap w:val="0"/>
                  <w:vAlign w:val="center"/>
                </w:tcPr>
                <w:p w14:paraId="575AA7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DA001</w:t>
                  </w:r>
                </w:p>
              </w:tc>
              <w:tc>
                <w:tcPr>
                  <w:tcW w:w="923" w:type="pct"/>
                  <w:tcBorders>
                    <w:top w:val="single" w:color="auto" w:sz="4" w:space="0"/>
                    <w:left w:val="single" w:color="auto" w:sz="4" w:space="0"/>
                    <w:bottom w:val="single" w:color="auto" w:sz="4" w:space="0"/>
                    <w:right w:val="single" w:color="auto" w:sz="4" w:space="0"/>
                  </w:tcBorders>
                  <w:noWrap w:val="0"/>
                  <w:vAlign w:val="center"/>
                </w:tcPr>
                <w:p w14:paraId="2EC2E9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热风炉</w:t>
                  </w:r>
                  <w:r>
                    <w:rPr>
                      <w:rFonts w:hint="eastAsia" w:cs="Times New Roman"/>
                      <w:color w:val="000000" w:themeColor="text1"/>
                      <w:sz w:val="18"/>
                      <w:szCs w:val="18"/>
                      <w:highlight w:val="none"/>
                      <w:lang w:eastAsia="zh-CN"/>
                      <w14:textFill>
                        <w14:solidFill>
                          <w14:schemeClr w14:val="tx1"/>
                        </w14:solidFill>
                      </w14:textFill>
                    </w:rPr>
                    <w:t>烟囱</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5E34B4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15</w:t>
                  </w:r>
                </w:p>
              </w:tc>
              <w:tc>
                <w:tcPr>
                  <w:tcW w:w="531" w:type="pct"/>
                  <w:tcBorders>
                    <w:top w:val="single" w:color="auto" w:sz="4" w:space="0"/>
                    <w:left w:val="single" w:color="auto" w:sz="4" w:space="0"/>
                    <w:bottom w:val="single" w:color="auto" w:sz="4" w:space="0"/>
                    <w:right w:val="single" w:color="auto" w:sz="4" w:space="0"/>
                  </w:tcBorders>
                  <w:noWrap w:val="0"/>
                  <w:vAlign w:val="center"/>
                </w:tcPr>
                <w:p w14:paraId="0818E0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0.</w:t>
                  </w:r>
                  <w:r>
                    <w:rPr>
                      <w:rFonts w:hint="eastAsia"/>
                      <w:color w:val="000000" w:themeColor="text1"/>
                      <w:sz w:val="18"/>
                      <w:szCs w:val="18"/>
                      <w:highlight w:val="none"/>
                      <w:lang w:val="en-US" w:eastAsia="zh-CN"/>
                      <w14:textFill>
                        <w14:solidFill>
                          <w14:schemeClr w14:val="tx1"/>
                        </w14:solidFill>
                      </w14:textFill>
                    </w:rPr>
                    <w:t>4</w:t>
                  </w:r>
                </w:p>
              </w:tc>
              <w:tc>
                <w:tcPr>
                  <w:tcW w:w="597" w:type="pct"/>
                  <w:tcBorders>
                    <w:top w:val="single" w:color="auto" w:sz="4" w:space="0"/>
                    <w:left w:val="single" w:color="auto" w:sz="4" w:space="0"/>
                    <w:bottom w:val="single" w:color="auto" w:sz="4" w:space="0"/>
                    <w:right w:val="single" w:color="auto" w:sz="4" w:space="0"/>
                  </w:tcBorders>
                  <w:noWrap w:val="0"/>
                  <w:vAlign w:val="center"/>
                </w:tcPr>
                <w:p w14:paraId="1C5385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1</w:t>
                  </w:r>
                  <w:r>
                    <w:rPr>
                      <w:rFonts w:hint="eastAsia"/>
                      <w:color w:val="000000" w:themeColor="text1"/>
                      <w:sz w:val="18"/>
                      <w:szCs w:val="18"/>
                      <w:highlight w:val="none"/>
                      <w:lang w:val="en-US" w:eastAsia="zh-CN"/>
                      <w14:textFill>
                        <w14:solidFill>
                          <w14:schemeClr w14:val="tx1"/>
                        </w14:solidFill>
                      </w14:textFill>
                    </w:rPr>
                    <w:t>40</w:t>
                  </w:r>
                </w:p>
              </w:tc>
              <w:tc>
                <w:tcPr>
                  <w:tcW w:w="765" w:type="pct"/>
                  <w:tcBorders>
                    <w:top w:val="single" w:color="auto" w:sz="4" w:space="0"/>
                    <w:left w:val="single" w:color="auto" w:sz="4" w:space="0"/>
                    <w:bottom w:val="single" w:color="auto" w:sz="4" w:space="0"/>
                    <w:right w:val="single" w:color="auto" w:sz="4" w:space="0"/>
                  </w:tcBorders>
                  <w:noWrap w:val="0"/>
                  <w:vAlign w:val="center"/>
                </w:tcPr>
                <w:p w14:paraId="40E474C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一般排放口</w:t>
                  </w:r>
                </w:p>
              </w:tc>
              <w:tc>
                <w:tcPr>
                  <w:tcW w:w="1176" w:type="pct"/>
                  <w:tcBorders>
                    <w:top w:val="single" w:color="auto" w:sz="4" w:space="0"/>
                    <w:left w:val="single" w:color="auto" w:sz="4" w:space="0"/>
                    <w:bottom w:val="single" w:color="auto" w:sz="4" w:space="0"/>
                    <w:right w:val="nil"/>
                  </w:tcBorders>
                  <w:noWrap w:val="0"/>
                  <w:vAlign w:val="center"/>
                </w:tcPr>
                <w:p w14:paraId="504BDB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经度：</w:t>
                  </w:r>
                  <w:r>
                    <w:rPr>
                      <w:rFonts w:hint="default"/>
                      <w:bCs/>
                      <w:color w:val="000000" w:themeColor="text1"/>
                      <w:sz w:val="18"/>
                      <w:szCs w:val="18"/>
                      <w:highlight w:val="none"/>
                      <w14:textFill>
                        <w14:solidFill>
                          <w14:schemeClr w14:val="tx1"/>
                        </w14:solidFill>
                      </w14:textFill>
                    </w:rPr>
                    <w:t>131.15261257</w:t>
                  </w:r>
                </w:p>
                <w:p w14:paraId="14CE968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纬度：</w:t>
                  </w:r>
                  <w:r>
                    <w:rPr>
                      <w:rFonts w:hint="default"/>
                      <w:bCs/>
                      <w:color w:val="000000" w:themeColor="text1"/>
                      <w:sz w:val="18"/>
                      <w:szCs w:val="18"/>
                      <w:highlight w:val="none"/>
                      <w14:textFill>
                        <w14:solidFill>
                          <w14:schemeClr w14:val="tx1"/>
                        </w14:solidFill>
                      </w14:textFill>
                    </w:rPr>
                    <w:t>45.23994207</w:t>
                  </w:r>
                </w:p>
              </w:tc>
            </w:tr>
          </w:tbl>
          <w:p w14:paraId="55A1A2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）本项目非正常排放</w:t>
            </w:r>
          </w:p>
          <w:p w14:paraId="4A1F9FCC">
            <w:pPr>
              <w:pStyle w:val="7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eastAsia="宋体"/>
                <w:color w:val="000000" w:themeColor="text1"/>
                <w:sz w:val="24"/>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废气治理措施发生故障，废气未经</w:t>
            </w:r>
            <w:r>
              <w:rPr>
                <w:rFonts w:hint="eastAsia"/>
                <w:color w:val="000000" w:themeColor="text1"/>
                <w:sz w:val="21"/>
                <w:szCs w:val="21"/>
                <w:highlight w:val="none"/>
                <w:lang w:val="en-US" w:eastAsia="zh-CN"/>
                <w14:textFill>
                  <w14:solidFill>
                    <w14:schemeClr w14:val="tx1"/>
                  </w14:solidFill>
                </w14:textFill>
              </w:rPr>
              <w:t>有效的</w:t>
            </w:r>
            <w:r>
              <w:rPr>
                <w:rFonts w:hint="default"/>
                <w:color w:val="000000" w:themeColor="text1"/>
                <w:sz w:val="21"/>
                <w:szCs w:val="21"/>
                <w:highlight w:val="none"/>
                <w14:textFill>
                  <w14:solidFill>
                    <w14:schemeClr w14:val="tx1"/>
                  </w14:solidFill>
                </w14:textFill>
              </w:rPr>
              <w:t>处理直接排放</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处理效率降低为90%</w:t>
            </w:r>
            <w:r>
              <w:rPr>
                <w:rFonts w:hint="eastAsia"/>
                <w:color w:val="000000" w:themeColor="text1"/>
                <w:sz w:val="21"/>
                <w:szCs w:val="21"/>
                <w:highlight w:val="none"/>
                <w:lang w:eastAsia="zh-CN"/>
                <w14:textFill>
                  <w14:solidFill>
                    <w14:schemeClr w14:val="tx1"/>
                  </w14:solidFill>
                </w14:textFill>
              </w:rPr>
              <w:t>。</w:t>
            </w:r>
          </w:p>
          <w:p w14:paraId="6A320A40">
            <w:pPr>
              <w:pStyle w:val="72"/>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表4-</w:t>
            </w:r>
            <w:r>
              <w:rPr>
                <w:rFonts w:hint="eastAsia" w:cs="Times New Roman"/>
                <w:b/>
                <w:color w:val="000000" w:themeColor="text1"/>
                <w:sz w:val="21"/>
                <w:szCs w:val="21"/>
                <w:highlight w:val="none"/>
                <w:lang w:val="en-US" w:eastAsia="zh-CN"/>
                <w14:textFill>
                  <w14:solidFill>
                    <w14:schemeClr w14:val="tx1"/>
                  </w14:solidFill>
                </w14:textFill>
              </w:rPr>
              <w:t xml:space="preserve">3 </w:t>
            </w:r>
            <w:r>
              <w:rPr>
                <w:rFonts w:hint="default" w:ascii="Times New Roman" w:hAnsi="Times New Roman" w:cs="Times New Roman"/>
                <w:b/>
                <w:color w:val="000000" w:themeColor="text1"/>
                <w:sz w:val="21"/>
                <w:szCs w:val="21"/>
                <w:highlight w:val="none"/>
                <w14:textFill>
                  <w14:solidFill>
                    <w14:schemeClr w14:val="tx1"/>
                  </w14:solidFill>
                </w14:textFill>
              </w:rPr>
              <w:t>非正常排放参数表</w:t>
            </w:r>
          </w:p>
          <w:tbl>
            <w:tblPr>
              <w:tblStyle w:val="33"/>
              <w:tblW w:w="5000" w:type="pct"/>
              <w:jc w:val="center"/>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1398"/>
              <w:gridCol w:w="793"/>
              <w:gridCol w:w="1056"/>
              <w:gridCol w:w="1056"/>
              <w:gridCol w:w="829"/>
              <w:gridCol w:w="887"/>
              <w:gridCol w:w="911"/>
            </w:tblGrid>
            <w:tr w14:paraId="2F1E8F64">
              <w:tblPrEx>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7" w:type="pct"/>
                  <w:tcBorders>
                    <w:left w:val="nil"/>
                    <w:bottom w:val="single" w:color="000000" w:sz="4" w:space="0"/>
                    <w:right w:val="single" w:color="000000" w:sz="4" w:space="0"/>
                  </w:tcBorders>
                  <w:noWrap w:val="0"/>
                  <w:vAlign w:val="center"/>
                </w:tcPr>
                <w:p w14:paraId="04586CA0">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非正常排放源</w:t>
                  </w:r>
                </w:p>
              </w:tc>
              <w:tc>
                <w:tcPr>
                  <w:tcW w:w="867" w:type="pct"/>
                  <w:tcBorders>
                    <w:left w:val="single" w:color="000000" w:sz="4" w:space="0"/>
                    <w:bottom w:val="single" w:color="000000" w:sz="4" w:space="0"/>
                    <w:right w:val="single" w:color="000000" w:sz="4" w:space="0"/>
                  </w:tcBorders>
                  <w:noWrap w:val="0"/>
                  <w:vAlign w:val="center"/>
                </w:tcPr>
                <w:p w14:paraId="02B03476">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w:t>
                  </w:r>
                </w:p>
                <w:p w14:paraId="493203B3">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排放原因</w:t>
                  </w:r>
                </w:p>
              </w:tc>
              <w:tc>
                <w:tcPr>
                  <w:tcW w:w="492" w:type="pct"/>
                  <w:tcBorders>
                    <w:left w:val="single" w:color="000000" w:sz="4" w:space="0"/>
                    <w:bottom w:val="single" w:color="000000" w:sz="4" w:space="0"/>
                    <w:right w:val="single" w:color="000000" w:sz="4" w:space="0"/>
                  </w:tcBorders>
                  <w:noWrap w:val="0"/>
                  <w:vAlign w:val="center"/>
                </w:tcPr>
                <w:p w14:paraId="2E49031F">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55" w:type="pct"/>
                  <w:tcBorders>
                    <w:left w:val="single" w:color="auto" w:sz="4" w:space="0"/>
                    <w:bottom w:val="single" w:color="000000" w:sz="4" w:space="0"/>
                    <w:right w:val="single" w:color="000000" w:sz="4" w:space="0"/>
                  </w:tcBorders>
                  <w:noWrap w:val="0"/>
                  <w:vAlign w:val="center"/>
                </w:tcPr>
                <w:p w14:paraId="2DB66F2A">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bCs/>
                      <w:color w:val="000000" w:themeColor="text1"/>
                      <w:spacing w:val="0"/>
                      <w:position w:val="0"/>
                      <w:sz w:val="18"/>
                      <w:szCs w:val="18"/>
                      <w:highlight w:val="none"/>
                      <w14:textFill>
                        <w14:solidFill>
                          <w14:schemeClr w14:val="tx1"/>
                        </w14:solidFill>
                      </w14:textFill>
                    </w:rPr>
                    <w:t>排放浓度mg/m</w:t>
                  </w:r>
                  <w:r>
                    <w:rPr>
                      <w:rFonts w:hint="default"/>
                      <w:bCs/>
                      <w:color w:val="000000" w:themeColor="text1"/>
                      <w:spacing w:val="0"/>
                      <w:position w:val="0"/>
                      <w:sz w:val="18"/>
                      <w:szCs w:val="18"/>
                      <w:highlight w:val="none"/>
                      <w:vertAlign w:val="superscript"/>
                      <w14:textFill>
                        <w14:solidFill>
                          <w14:schemeClr w14:val="tx1"/>
                        </w14:solidFill>
                      </w14:textFill>
                    </w:rPr>
                    <w:t>3</w:t>
                  </w:r>
                </w:p>
              </w:tc>
              <w:tc>
                <w:tcPr>
                  <w:tcW w:w="655" w:type="pct"/>
                  <w:tcBorders>
                    <w:left w:val="single" w:color="auto" w:sz="4" w:space="0"/>
                    <w:bottom w:val="single" w:color="000000" w:sz="4" w:space="0"/>
                    <w:right w:val="single" w:color="000000" w:sz="4" w:space="0"/>
                  </w:tcBorders>
                  <w:noWrap w:val="0"/>
                  <w:vAlign w:val="center"/>
                </w:tcPr>
                <w:p w14:paraId="1F816E79">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非正常排放</w:t>
                  </w:r>
                  <w:r>
                    <w:rPr>
                      <w:rFonts w:hint="default" w:ascii="Times New Roman" w:hAnsi="Times New Roman" w:eastAsia="宋体" w:cs="Times New Roman"/>
                      <w:bCs/>
                      <w:color w:val="000000" w:themeColor="text1"/>
                      <w:sz w:val="18"/>
                      <w:szCs w:val="18"/>
                      <w:highlight w:val="none"/>
                      <w14:textFill>
                        <w14:solidFill>
                          <w14:schemeClr w14:val="tx1"/>
                        </w14:solidFill>
                      </w14:textFill>
                    </w:rPr>
                    <w:t>速率kg/h</w:t>
                  </w:r>
                </w:p>
              </w:tc>
              <w:tc>
                <w:tcPr>
                  <w:tcW w:w="514" w:type="pct"/>
                  <w:tcBorders>
                    <w:left w:val="single" w:color="000000" w:sz="4" w:space="0"/>
                    <w:bottom w:val="single" w:color="000000" w:sz="4" w:space="0"/>
                    <w:right w:val="single" w:color="000000" w:sz="4" w:space="0"/>
                  </w:tcBorders>
                  <w:noWrap w:val="0"/>
                  <w:vAlign w:val="center"/>
                </w:tcPr>
                <w:p w14:paraId="235E74E3">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单次持续时间/h</w:t>
                  </w:r>
                </w:p>
              </w:tc>
              <w:tc>
                <w:tcPr>
                  <w:tcW w:w="550" w:type="pct"/>
                  <w:tcBorders>
                    <w:left w:val="single" w:color="000000" w:sz="4" w:space="0"/>
                    <w:bottom w:val="single" w:color="000000" w:sz="4" w:space="0"/>
                    <w:right w:val="single" w:color="auto" w:sz="4" w:space="0"/>
                  </w:tcBorders>
                  <w:noWrap w:val="0"/>
                  <w:vAlign w:val="center"/>
                </w:tcPr>
                <w:p w14:paraId="61AF1487">
                  <w:pPr>
                    <w:pStyle w:val="7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年发生频次/次</w:t>
                  </w:r>
                </w:p>
              </w:tc>
              <w:tc>
                <w:tcPr>
                  <w:tcW w:w="565" w:type="pct"/>
                  <w:tcBorders>
                    <w:left w:val="single" w:color="auto" w:sz="4" w:space="0"/>
                    <w:bottom w:val="single" w:color="000000" w:sz="4" w:space="0"/>
                    <w:right w:val="nil"/>
                  </w:tcBorders>
                  <w:noWrap w:val="0"/>
                  <w:vAlign w:val="center"/>
                </w:tcPr>
                <w:p w14:paraId="702CE49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应对措施</w:t>
                  </w:r>
                </w:p>
              </w:tc>
            </w:tr>
            <w:tr w14:paraId="39804486">
              <w:tblPrEx>
                <w:tblBorders>
                  <w:top w:val="single" w:color="auto" w:sz="4"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97" w:type="pct"/>
                  <w:tcBorders>
                    <w:top w:val="single" w:color="000000" w:sz="4" w:space="0"/>
                    <w:left w:val="nil"/>
                    <w:bottom w:val="single" w:color="000000" w:sz="4" w:space="0"/>
                    <w:right w:val="single" w:color="000000" w:sz="4" w:space="0"/>
                  </w:tcBorders>
                  <w:noWrap w:val="0"/>
                  <w:vAlign w:val="center"/>
                </w:tcPr>
                <w:p w14:paraId="01752B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867" w:type="pct"/>
                  <w:tcBorders>
                    <w:top w:val="single" w:color="000000" w:sz="4" w:space="0"/>
                    <w:left w:val="single" w:color="000000" w:sz="4" w:space="0"/>
                    <w:bottom w:val="single" w:color="000000" w:sz="4" w:space="0"/>
                    <w:right w:val="single" w:color="000000" w:sz="4" w:space="0"/>
                  </w:tcBorders>
                  <w:noWrap w:val="0"/>
                  <w:vAlign w:val="center"/>
                </w:tcPr>
                <w:p w14:paraId="4657EE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布袋</w:t>
                  </w:r>
                  <w:r>
                    <w:rPr>
                      <w:rFonts w:hint="default" w:ascii="Times New Roman" w:hAnsi="Times New Roman" w:eastAsia="宋体" w:cs="Times New Roman"/>
                      <w:color w:val="000000" w:themeColor="text1"/>
                      <w:sz w:val="18"/>
                      <w:szCs w:val="18"/>
                      <w:highlight w:val="none"/>
                      <w14:textFill>
                        <w14:solidFill>
                          <w14:schemeClr w14:val="tx1"/>
                        </w14:solidFill>
                      </w14:textFill>
                    </w:rPr>
                    <w:t>除尘器发生故障，处理效率降低为</w:t>
                  </w:r>
                  <w:r>
                    <w:rPr>
                      <w:rFonts w:hint="eastAsia" w:cs="Times New Roman"/>
                      <w:color w:val="000000" w:themeColor="text1"/>
                      <w:sz w:val="18"/>
                      <w:szCs w:val="18"/>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p>
              </w:tc>
              <w:tc>
                <w:tcPr>
                  <w:tcW w:w="492" w:type="pct"/>
                  <w:tcBorders>
                    <w:top w:val="single" w:color="000000" w:sz="4" w:space="0"/>
                    <w:left w:val="single" w:color="000000" w:sz="4" w:space="0"/>
                    <w:bottom w:val="single" w:color="000000" w:sz="4" w:space="0"/>
                    <w:right w:val="single" w:color="000000" w:sz="4" w:space="0"/>
                  </w:tcBorders>
                  <w:noWrap w:val="0"/>
                  <w:vAlign w:val="center"/>
                </w:tcPr>
                <w:p w14:paraId="6115CC6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颗粒物</w:t>
                  </w:r>
                </w:p>
              </w:tc>
              <w:tc>
                <w:tcPr>
                  <w:tcW w:w="655" w:type="pct"/>
                  <w:tcBorders>
                    <w:top w:val="single" w:color="000000" w:sz="4" w:space="0"/>
                    <w:left w:val="single" w:color="auto" w:sz="4" w:space="0"/>
                    <w:bottom w:val="single" w:color="000000" w:sz="4" w:space="0"/>
                    <w:right w:val="single" w:color="000000" w:sz="4" w:space="0"/>
                  </w:tcBorders>
                  <w:noWrap w:val="0"/>
                  <w:vAlign w:val="center"/>
                </w:tcPr>
                <w:p w14:paraId="78B29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14:textFill>
                        <w14:solidFill>
                          <w14:schemeClr w14:val="tx1"/>
                        </w14:solidFill>
                      </w14:textFill>
                    </w:rPr>
                    <w:t>285.6</w:t>
                  </w:r>
                </w:p>
              </w:tc>
              <w:tc>
                <w:tcPr>
                  <w:tcW w:w="655" w:type="pct"/>
                  <w:tcBorders>
                    <w:top w:val="single" w:color="000000" w:sz="4" w:space="0"/>
                    <w:left w:val="single" w:color="auto" w:sz="4" w:space="0"/>
                    <w:bottom w:val="single" w:color="000000" w:sz="4" w:space="0"/>
                    <w:right w:val="single" w:color="000000" w:sz="4" w:space="0"/>
                  </w:tcBorders>
                  <w:noWrap w:val="0"/>
                  <w:vAlign w:val="center"/>
                </w:tcPr>
                <w:p w14:paraId="64B02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en-US" w:eastAsia="zh-CN" w:bidi="ar-SA"/>
                      <w14:textFill>
                        <w14:solidFill>
                          <w14:schemeClr w14:val="tx1"/>
                        </w14:solidFill>
                      </w14:textFill>
                    </w:rPr>
                  </w:pPr>
                  <w:r>
                    <w:rPr>
                      <w:rFonts w:hint="eastAsia" w:cs="Times New Roman"/>
                      <w:color w:val="000000" w:themeColor="text1"/>
                      <w:spacing w:val="0"/>
                      <w:kern w:val="0"/>
                      <w:position w:val="0"/>
                      <w:sz w:val="18"/>
                      <w:szCs w:val="18"/>
                      <w:highlight w:val="none"/>
                      <w:lang w:val="en-US" w:eastAsia="zh-CN" w:bidi="ar-SA"/>
                      <w14:textFill>
                        <w14:solidFill>
                          <w14:schemeClr w14:val="tx1"/>
                        </w14:solidFill>
                      </w14:textFill>
                    </w:rPr>
                    <w:t>3.302</w:t>
                  </w:r>
                </w:p>
              </w:tc>
              <w:tc>
                <w:tcPr>
                  <w:tcW w:w="514" w:type="pct"/>
                  <w:tcBorders>
                    <w:top w:val="single" w:color="000000" w:sz="4" w:space="0"/>
                    <w:left w:val="single" w:color="000000" w:sz="4" w:space="0"/>
                    <w:bottom w:val="single" w:color="000000" w:sz="4" w:space="0"/>
                    <w:right w:val="single" w:color="000000" w:sz="4" w:space="0"/>
                  </w:tcBorders>
                  <w:noWrap w:val="0"/>
                  <w:vAlign w:val="center"/>
                </w:tcPr>
                <w:p w14:paraId="56ACD5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550" w:type="pct"/>
                  <w:tcBorders>
                    <w:top w:val="single" w:color="000000" w:sz="4" w:space="0"/>
                    <w:left w:val="single" w:color="000000" w:sz="4" w:space="0"/>
                    <w:bottom w:val="single" w:color="000000" w:sz="4" w:space="0"/>
                    <w:right w:val="single" w:color="auto" w:sz="4" w:space="0"/>
                  </w:tcBorders>
                  <w:noWrap w:val="0"/>
                  <w:vAlign w:val="center"/>
                </w:tcPr>
                <w:p w14:paraId="3D2DB5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565" w:type="pct"/>
                  <w:tcBorders>
                    <w:top w:val="single" w:color="000000" w:sz="4" w:space="0"/>
                    <w:left w:val="single" w:color="auto" w:sz="4" w:space="0"/>
                    <w:bottom w:val="single" w:color="000000" w:sz="4" w:space="0"/>
                    <w:right w:val="nil"/>
                  </w:tcBorders>
                  <w:noWrap w:val="0"/>
                  <w:vAlign w:val="center"/>
                </w:tcPr>
                <w:p w14:paraId="5BAC4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设备停止运行，进行检修维护</w:t>
                  </w:r>
                </w:p>
              </w:tc>
            </w:tr>
          </w:tbl>
          <w:p w14:paraId="69779F63">
            <w:pPr>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
                <w:bCs/>
                <w:color w:val="000000" w:themeColor="text1"/>
                <w:szCs w:val="21"/>
                <w:highlight w:val="none"/>
                <w14:textFill>
                  <w14:solidFill>
                    <w14:schemeClr w14:val="tx1"/>
                  </w14:solidFill>
                </w14:textFill>
              </w:rPr>
            </w:pPr>
            <w:r>
              <w:rPr>
                <w:rFonts w:hint="eastAsia" w:cs="Times New Roman"/>
                <w:b w:val="0"/>
                <w:bCs w:val="0"/>
                <w:color w:val="000000" w:themeColor="text1"/>
                <w:szCs w:val="21"/>
                <w:highlight w:val="none"/>
                <w:lang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4</w:t>
            </w:r>
            <w:r>
              <w:rPr>
                <w:rFonts w:hint="eastAsia"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14:textFill>
                  <w14:solidFill>
                    <w14:schemeClr w14:val="tx1"/>
                  </w14:solidFill>
                </w14:textFill>
              </w:rPr>
              <w:t>废气监测计划</w:t>
            </w:r>
          </w:p>
          <w:p w14:paraId="2F956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根据</w:t>
            </w:r>
            <w:r>
              <w:rPr>
                <w:rFonts w:hint="default" w:ascii="Times New Roman" w:hAnsi="Times New Roman" w:cs="Times New Roman"/>
                <w:color w:val="000000" w:themeColor="text1"/>
                <w:sz w:val="21"/>
                <w:szCs w:val="21"/>
                <w:highlight w:val="none"/>
                <w14:textFill>
                  <w14:solidFill>
                    <w14:schemeClr w14:val="tx1"/>
                  </w14:solidFill>
                </w14:textFill>
              </w:rPr>
              <w:t>《排污许可证申请与核发技术规范 工业炉窑》（HJ1121-2020）</w:t>
            </w:r>
            <w:r>
              <w:rPr>
                <w:rFonts w:hint="default"/>
                <w:color w:val="000000" w:themeColor="text1"/>
                <w:sz w:val="21"/>
                <w:szCs w:val="21"/>
                <w:highlight w:val="none"/>
                <w14:textFill>
                  <w14:solidFill>
                    <w14:schemeClr w14:val="tx1"/>
                  </w14:solidFill>
                </w14:textFill>
              </w:rPr>
              <w:t>和</w:t>
            </w:r>
            <w:r>
              <w:rPr>
                <w:rFonts w:hint="default" w:ascii="Times New Roman" w:hAnsi="Times New Roman" w:cs="Times New Roman"/>
                <w:color w:val="000000" w:themeColor="text1"/>
                <w:sz w:val="21"/>
                <w:szCs w:val="21"/>
                <w:highlight w:val="none"/>
                <w14:textFill>
                  <w14:solidFill>
                    <w14:schemeClr w14:val="tx1"/>
                  </w14:solidFill>
                </w14:textFill>
              </w:rPr>
              <w:t>《排污单位自行监测技术指南</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highlight w:val="none"/>
                <w14:textFill>
                  <w14:solidFill>
                    <w14:schemeClr w14:val="tx1"/>
                  </w14:solidFill>
                </w14:textFill>
              </w:rPr>
              <w:t>总则》（HJ819-2017）</w:t>
            </w:r>
            <w:r>
              <w:rPr>
                <w:rFonts w:hint="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制定本项目废气监测计划如下。</w:t>
            </w:r>
          </w:p>
          <w:p w14:paraId="5CC9AE4B">
            <w:pPr>
              <w:keepNext w:val="0"/>
              <w:keepLines w:val="0"/>
              <w:suppressLineNumbers w:val="0"/>
              <w:spacing w:before="0" w:beforeAutospacing="0" w:after="0" w:afterAutospacing="0"/>
              <w:ind w:left="0" w:right="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表4-</w:t>
            </w:r>
            <w:r>
              <w:rPr>
                <w:rFonts w:hint="eastAsia" w:cs="Times New Roman"/>
                <w:b/>
                <w:color w:val="000000" w:themeColor="text1"/>
                <w:szCs w:val="21"/>
                <w:highlight w:val="none"/>
                <w:lang w:val="en-US" w:eastAsia="zh-CN"/>
                <w14:textFill>
                  <w14:solidFill>
                    <w14:schemeClr w14:val="tx1"/>
                  </w14:solidFill>
                </w14:textFill>
              </w:rPr>
              <w:t xml:space="preserve">4 </w:t>
            </w:r>
            <w:r>
              <w:rPr>
                <w:rFonts w:hint="default" w:ascii="Times New Roman" w:hAnsi="Times New Roman" w:cs="Times New Roman"/>
                <w:b/>
                <w:color w:val="000000" w:themeColor="text1"/>
                <w:szCs w:val="21"/>
                <w:highlight w:val="none"/>
                <w14:textFill>
                  <w14:solidFill>
                    <w14:schemeClr w14:val="tx1"/>
                  </w14:solidFill>
                </w14:textFill>
              </w:rPr>
              <w:t>废气监测方案</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150"/>
              <w:gridCol w:w="1888"/>
              <w:gridCol w:w="937"/>
              <w:gridCol w:w="1112"/>
              <w:gridCol w:w="2197"/>
            </w:tblGrid>
            <w:tr w14:paraId="71953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70" w:type="dxa"/>
                  <w:tcBorders>
                    <w:left w:val="nil"/>
                    <w:bottom w:val="single" w:color="auto" w:sz="4" w:space="0"/>
                    <w:right w:val="single" w:color="auto" w:sz="4" w:space="0"/>
                  </w:tcBorders>
                  <w:noWrap w:val="0"/>
                  <w:vAlign w:val="center"/>
                </w:tcPr>
                <w:p w14:paraId="08AA42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编号</w:t>
                  </w:r>
                </w:p>
              </w:tc>
              <w:tc>
                <w:tcPr>
                  <w:tcW w:w="1150" w:type="dxa"/>
                  <w:tcBorders>
                    <w:left w:val="single" w:color="auto" w:sz="4" w:space="0"/>
                    <w:bottom w:val="single" w:color="auto" w:sz="4" w:space="0"/>
                    <w:right w:val="single" w:color="auto" w:sz="4" w:space="0"/>
                  </w:tcBorders>
                  <w:noWrap w:val="0"/>
                  <w:vAlign w:val="center"/>
                </w:tcPr>
                <w:p w14:paraId="4BE1C4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排放口名称</w:t>
                  </w:r>
                </w:p>
              </w:tc>
              <w:tc>
                <w:tcPr>
                  <w:tcW w:w="1888" w:type="dxa"/>
                  <w:tcBorders>
                    <w:left w:val="single" w:color="auto" w:sz="4" w:space="0"/>
                    <w:bottom w:val="single" w:color="auto" w:sz="4" w:space="0"/>
                    <w:right w:val="single" w:color="auto" w:sz="4" w:space="0"/>
                  </w:tcBorders>
                  <w:noWrap w:val="0"/>
                  <w:vAlign w:val="center"/>
                </w:tcPr>
                <w:p w14:paraId="2E8640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w:t>
                  </w:r>
                  <w:r>
                    <w:rPr>
                      <w:rFonts w:hint="default" w:ascii="Times New Roman" w:hAnsi="Times New Roman" w:eastAsia="宋体" w:cs="Times New Roman"/>
                      <w:bCs/>
                      <w:color w:val="000000" w:themeColor="text1"/>
                      <w:sz w:val="18"/>
                      <w:szCs w:val="18"/>
                      <w:highlight w:val="none"/>
                      <w14:textFill>
                        <w14:solidFill>
                          <w14:schemeClr w14:val="tx1"/>
                        </w14:solidFill>
                      </w14:textFill>
                    </w:rPr>
                    <w:t>因子</w:t>
                  </w:r>
                </w:p>
              </w:tc>
              <w:tc>
                <w:tcPr>
                  <w:tcW w:w="937" w:type="dxa"/>
                  <w:tcBorders>
                    <w:left w:val="single" w:color="auto" w:sz="4" w:space="0"/>
                    <w:bottom w:val="single" w:color="auto" w:sz="4" w:space="0"/>
                    <w:right w:val="single" w:color="auto" w:sz="4" w:space="0"/>
                  </w:tcBorders>
                  <w:noWrap w:val="0"/>
                  <w:vAlign w:val="center"/>
                </w:tcPr>
                <w:p w14:paraId="040DC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监测频次</w:t>
                  </w:r>
                </w:p>
              </w:tc>
              <w:tc>
                <w:tcPr>
                  <w:tcW w:w="1112" w:type="dxa"/>
                  <w:tcBorders>
                    <w:left w:val="single" w:color="auto" w:sz="4" w:space="0"/>
                    <w:bottom w:val="single" w:color="auto" w:sz="4" w:space="0"/>
                    <w:right w:val="nil"/>
                  </w:tcBorders>
                  <w:noWrap w:val="0"/>
                  <w:vAlign w:val="center"/>
                </w:tcPr>
                <w:p w14:paraId="3E5D5CB7">
                  <w:pPr>
                    <w:keepNext w:val="0"/>
                    <w:keepLines w:val="0"/>
                    <w:pageBreakBefore w:val="0"/>
                    <w:suppressLineNumbers w:val="0"/>
                    <w:tabs>
                      <w:tab w:val="left" w:pos="351"/>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监测时间</w:t>
                  </w:r>
                </w:p>
              </w:tc>
              <w:tc>
                <w:tcPr>
                  <w:tcW w:w="2197" w:type="dxa"/>
                  <w:tcBorders>
                    <w:left w:val="single" w:color="auto" w:sz="4" w:space="0"/>
                    <w:bottom w:val="single" w:color="auto" w:sz="4" w:space="0"/>
                    <w:right w:val="nil"/>
                  </w:tcBorders>
                  <w:noWrap w:val="0"/>
                  <w:vAlign w:val="center"/>
                </w:tcPr>
                <w:p w14:paraId="39B7C0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执行排放标准</w:t>
                  </w:r>
                </w:p>
              </w:tc>
            </w:tr>
            <w:tr w14:paraId="15891E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0" w:type="dxa"/>
                  <w:tcBorders>
                    <w:top w:val="single" w:color="auto" w:sz="4" w:space="0"/>
                    <w:left w:val="nil"/>
                    <w:right w:val="single" w:color="auto" w:sz="4" w:space="0"/>
                  </w:tcBorders>
                  <w:noWrap w:val="0"/>
                  <w:vAlign w:val="center"/>
                </w:tcPr>
                <w:p w14:paraId="2CD298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DA001</w:t>
                  </w:r>
                </w:p>
              </w:tc>
              <w:tc>
                <w:tcPr>
                  <w:tcW w:w="1150" w:type="dxa"/>
                  <w:tcBorders>
                    <w:top w:val="single" w:color="auto" w:sz="4" w:space="0"/>
                    <w:left w:val="single" w:color="auto" w:sz="4" w:space="0"/>
                    <w:right w:val="single" w:color="auto" w:sz="4" w:space="0"/>
                  </w:tcBorders>
                  <w:noWrap w:val="0"/>
                  <w:vAlign w:val="center"/>
                </w:tcPr>
                <w:p w14:paraId="6BC5B0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eastAsia="zh-CN"/>
                      <w14:textFill>
                        <w14:solidFill>
                          <w14:schemeClr w14:val="tx1"/>
                        </w14:solidFill>
                      </w14:textFill>
                    </w:rPr>
                    <w:t>热风炉</w:t>
                  </w:r>
                  <w:r>
                    <w:rPr>
                      <w:rFonts w:hint="eastAsia" w:cs="Times New Roman"/>
                      <w:color w:val="000000" w:themeColor="text1"/>
                      <w:sz w:val="18"/>
                      <w:szCs w:val="18"/>
                      <w:highlight w:val="none"/>
                      <w:lang w:eastAsia="zh-CN"/>
                      <w14:textFill>
                        <w14:solidFill>
                          <w14:schemeClr w14:val="tx1"/>
                        </w14:solidFill>
                      </w14:textFill>
                    </w:rPr>
                    <w:t>烟囱</w:t>
                  </w:r>
                </w:p>
              </w:tc>
              <w:tc>
                <w:tcPr>
                  <w:tcW w:w="1888" w:type="dxa"/>
                  <w:tcBorders>
                    <w:top w:val="single" w:color="auto" w:sz="4" w:space="0"/>
                    <w:left w:val="single" w:color="auto" w:sz="4" w:space="0"/>
                    <w:right w:val="single" w:color="auto" w:sz="4" w:space="0"/>
                  </w:tcBorders>
                  <w:noWrap w:val="0"/>
                  <w:vAlign w:val="center"/>
                </w:tcPr>
                <w:p w14:paraId="4DA37B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颗粒物</w:t>
                  </w:r>
                  <w:r>
                    <w:rPr>
                      <w:rFonts w:hint="eastAsia"/>
                      <w:color w:val="000000" w:themeColor="text1"/>
                      <w:sz w:val="18"/>
                      <w:szCs w:val="18"/>
                      <w:highlight w:val="none"/>
                      <w:lang w:eastAsia="zh-CN"/>
                      <w14:textFill>
                        <w14:solidFill>
                          <w14:schemeClr w14:val="tx1"/>
                        </w14:solidFill>
                      </w14:textFill>
                    </w:rPr>
                    <w:t>、烟气黑度</w:t>
                  </w:r>
                  <w:r>
                    <w:rPr>
                      <w:rFonts w:hint="default"/>
                      <w:color w:val="000000" w:themeColor="text1"/>
                      <w:sz w:val="18"/>
                      <w:szCs w:val="18"/>
                      <w:highlight w:val="none"/>
                      <w14:textFill>
                        <w14:solidFill>
                          <w14:schemeClr w14:val="tx1"/>
                        </w14:solidFill>
                      </w14:textFill>
                    </w:rPr>
                    <w:t>、SO</w:t>
                  </w:r>
                  <w:r>
                    <w:rPr>
                      <w:rFonts w:hint="default"/>
                      <w:color w:val="000000" w:themeColor="text1"/>
                      <w:sz w:val="18"/>
                      <w:szCs w:val="18"/>
                      <w:highlight w:val="none"/>
                      <w:vertAlign w:val="subscript"/>
                      <w14:textFill>
                        <w14:solidFill>
                          <w14:schemeClr w14:val="tx1"/>
                        </w14:solidFill>
                      </w14:textFill>
                    </w:rPr>
                    <w:t>2</w:t>
                  </w:r>
                  <w:r>
                    <w:rPr>
                      <w:rFonts w:hint="eastAsia"/>
                      <w:color w:val="000000" w:themeColor="text1"/>
                      <w:sz w:val="18"/>
                      <w:szCs w:val="18"/>
                      <w:highlight w:val="none"/>
                      <w:vertAlign w:val="baseline"/>
                      <w:lang w:eastAsia="zh-CN"/>
                      <w14:textFill>
                        <w14:solidFill>
                          <w14:schemeClr w14:val="tx1"/>
                        </w14:solidFill>
                      </w14:textFill>
                    </w:rPr>
                    <w:t>、</w:t>
                  </w:r>
                  <w:r>
                    <w:rPr>
                      <w:rFonts w:hint="default"/>
                      <w:color w:val="000000" w:themeColor="text1"/>
                      <w:sz w:val="18"/>
                      <w:szCs w:val="18"/>
                      <w:highlight w:val="none"/>
                      <w14:textFill>
                        <w14:solidFill>
                          <w14:schemeClr w14:val="tx1"/>
                        </w14:solidFill>
                      </w14:textFill>
                    </w:rPr>
                    <w:t>NO</w:t>
                  </w:r>
                  <w:r>
                    <w:rPr>
                      <w:rFonts w:hint="default"/>
                      <w:color w:val="000000" w:themeColor="text1"/>
                      <w:sz w:val="18"/>
                      <w:szCs w:val="18"/>
                      <w:highlight w:val="none"/>
                      <w:vertAlign w:val="subscript"/>
                      <w14:textFill>
                        <w14:solidFill>
                          <w14:schemeClr w14:val="tx1"/>
                        </w14:solidFill>
                      </w14:textFill>
                    </w:rPr>
                    <w:t>X</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17D92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w:t>
                  </w:r>
                  <w:r>
                    <w:rPr>
                      <w:rFonts w:hint="default" w:ascii="Times New Roman" w:hAnsi="Times New Roman" w:cs="Times New Roman"/>
                      <w:color w:val="000000" w:themeColor="text1"/>
                      <w:sz w:val="18"/>
                      <w:szCs w:val="18"/>
                      <w:highlight w:val="none"/>
                      <w14:textFill>
                        <w14:solidFill>
                          <w14:schemeClr w14:val="tx1"/>
                        </w14:solidFill>
                      </w14:textFill>
                    </w:rPr>
                    <w:t>次/</w:t>
                  </w:r>
                  <w:r>
                    <w:rPr>
                      <w:rFonts w:hint="eastAsia" w:cs="Times New Roman"/>
                      <w:color w:val="000000" w:themeColor="text1"/>
                      <w:sz w:val="18"/>
                      <w:szCs w:val="18"/>
                      <w:highlight w:val="none"/>
                      <w:lang w:val="en-US" w:eastAsia="zh-CN"/>
                      <w14:textFill>
                        <w14:solidFill>
                          <w14:schemeClr w14:val="tx1"/>
                        </w14:solidFill>
                      </w14:textFill>
                    </w:rPr>
                    <w:t>年</w:t>
                  </w:r>
                </w:p>
              </w:tc>
              <w:tc>
                <w:tcPr>
                  <w:tcW w:w="1112" w:type="dxa"/>
                  <w:tcBorders>
                    <w:top w:val="single" w:color="auto" w:sz="4" w:space="0"/>
                    <w:left w:val="single" w:color="auto" w:sz="4" w:space="0"/>
                    <w:right w:val="nil"/>
                  </w:tcBorders>
                  <w:noWrap w:val="0"/>
                  <w:vAlign w:val="center"/>
                </w:tcPr>
                <w:p w14:paraId="00201D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12月-3月</w:t>
                  </w:r>
                </w:p>
              </w:tc>
              <w:tc>
                <w:tcPr>
                  <w:tcW w:w="2197" w:type="dxa"/>
                  <w:tcBorders>
                    <w:top w:val="single" w:color="auto" w:sz="4" w:space="0"/>
                    <w:left w:val="single" w:color="auto" w:sz="4" w:space="0"/>
                    <w:right w:val="nil"/>
                  </w:tcBorders>
                  <w:noWrap w:val="0"/>
                  <w:vAlign w:val="center"/>
                </w:tcPr>
                <w:p w14:paraId="0869C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14:textFill>
                        <w14:solidFill>
                          <w14:schemeClr w14:val="tx1"/>
                        </w14:solidFill>
                      </w14:textFill>
                    </w:rPr>
                  </w:pPr>
                  <w:r>
                    <w:rPr>
                      <w:rFonts w:hint="eastAsia"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《工业炉窑大气污染物排放标准》（GB9078-1996）</w:t>
                  </w:r>
                </w:p>
              </w:tc>
            </w:tr>
          </w:tbl>
          <w:p w14:paraId="25318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表4-</w:t>
            </w:r>
            <w:r>
              <w:rPr>
                <w:rFonts w:hint="eastAsia"/>
                <w:b/>
                <w:bCs/>
                <w:color w:val="000000" w:themeColor="text1"/>
                <w:highlight w:val="none"/>
                <w:lang w:val="en-US" w:eastAsia="zh-CN"/>
                <w14:textFill>
                  <w14:solidFill>
                    <w14:schemeClr w14:val="tx1"/>
                  </w14:solidFill>
                </w14:textFill>
              </w:rPr>
              <w:t>5</w:t>
            </w:r>
            <w:r>
              <w:rPr>
                <w:rFonts w:hint="default"/>
                <w:b/>
                <w:bCs/>
                <w:color w:val="000000" w:themeColor="text1"/>
                <w:highlight w:val="none"/>
                <w14:textFill>
                  <w14:solidFill>
                    <w14:schemeClr w14:val="tx1"/>
                  </w14:solidFill>
                </w14:textFill>
              </w:rPr>
              <w:t xml:space="preserve"> 无组织废气监测要求</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108"/>
              <w:gridCol w:w="2109"/>
              <w:gridCol w:w="2109"/>
            </w:tblGrid>
            <w:tr w14:paraId="5D604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0DAE0DBD">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监测点位</w:t>
                  </w:r>
                </w:p>
              </w:tc>
              <w:tc>
                <w:tcPr>
                  <w:tcW w:w="2862" w:type="dxa"/>
                  <w:noWrap w:val="0"/>
                  <w:vAlign w:val="center"/>
                </w:tcPr>
                <w:p w14:paraId="612AAB9B">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监测因子</w:t>
                  </w:r>
                </w:p>
              </w:tc>
              <w:tc>
                <w:tcPr>
                  <w:tcW w:w="2863" w:type="dxa"/>
                  <w:noWrap w:val="0"/>
                  <w:vAlign w:val="center"/>
                </w:tcPr>
                <w:p w14:paraId="57988633">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监测频次</w:t>
                  </w:r>
                </w:p>
              </w:tc>
              <w:tc>
                <w:tcPr>
                  <w:tcW w:w="2863" w:type="dxa"/>
                  <w:noWrap w:val="0"/>
                  <w:vAlign w:val="center"/>
                </w:tcPr>
                <w:p w14:paraId="635DDE34">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监测时间</w:t>
                  </w:r>
                </w:p>
              </w:tc>
            </w:tr>
            <w:tr w14:paraId="285C2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7CCDC60E">
                  <w:pPr>
                    <w:keepNext w:val="0"/>
                    <w:keepLines w:val="0"/>
                    <w:suppressLineNumbers w:val="0"/>
                    <w:adjustRightInd w:val="0"/>
                    <w:snapToGrid w:val="0"/>
                    <w:spacing w:before="0" w:beforeAutospacing="0" w:after="0" w:afterAutospacing="0"/>
                    <w:ind w:left="0" w:right="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厂界</w:t>
                  </w:r>
                </w:p>
              </w:tc>
              <w:tc>
                <w:tcPr>
                  <w:tcW w:w="2862" w:type="dxa"/>
                  <w:noWrap w:val="0"/>
                  <w:vAlign w:val="center"/>
                </w:tcPr>
                <w:p w14:paraId="791004F4">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颗粒物</w:t>
                  </w:r>
                </w:p>
              </w:tc>
              <w:tc>
                <w:tcPr>
                  <w:tcW w:w="2863" w:type="dxa"/>
                  <w:noWrap w:val="0"/>
                  <w:vAlign w:val="center"/>
                </w:tcPr>
                <w:p w14:paraId="227AFB28">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18"/>
                      <w:szCs w:val="18"/>
                      <w:highlight w:val="none"/>
                      <w:lang w:val="en-US" w:eastAsia="zh-CN"/>
                      <w14:textFill>
                        <w14:solidFill>
                          <w14:schemeClr w14:val="tx1"/>
                        </w14:solidFill>
                      </w14:textFill>
                    </w:rPr>
                  </w:pPr>
                  <w:r>
                    <w:rPr>
                      <w:rFonts w:hint="default"/>
                      <w:color w:val="000000" w:themeColor="text1"/>
                      <w:sz w:val="18"/>
                      <w:szCs w:val="18"/>
                      <w:highlight w:val="none"/>
                      <w14:textFill>
                        <w14:solidFill>
                          <w14:schemeClr w14:val="tx1"/>
                        </w14:solidFill>
                      </w14:textFill>
                    </w:rPr>
                    <w:t>1次/</w:t>
                  </w:r>
                  <w:r>
                    <w:rPr>
                      <w:rFonts w:hint="eastAsia"/>
                      <w:color w:val="000000" w:themeColor="text1"/>
                      <w:sz w:val="18"/>
                      <w:szCs w:val="18"/>
                      <w:highlight w:val="none"/>
                      <w:lang w:val="en-US" w:eastAsia="zh-CN"/>
                      <w14:textFill>
                        <w14:solidFill>
                          <w14:schemeClr w14:val="tx1"/>
                        </w14:solidFill>
                      </w14:textFill>
                    </w:rPr>
                    <w:t>年</w:t>
                  </w:r>
                </w:p>
              </w:tc>
              <w:tc>
                <w:tcPr>
                  <w:tcW w:w="2863" w:type="dxa"/>
                  <w:noWrap w:val="0"/>
                  <w:vAlign w:val="center"/>
                </w:tcPr>
                <w:p w14:paraId="134286E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12月-3月</w:t>
                  </w:r>
                </w:p>
              </w:tc>
            </w:tr>
            <w:tr w14:paraId="1C58E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9" w:type="dxa"/>
                  <w:noWrap w:val="0"/>
                  <w:vAlign w:val="center"/>
                </w:tcPr>
                <w:p w14:paraId="6C6BBE43">
                  <w:pPr>
                    <w:keepNext w:val="0"/>
                    <w:keepLines w:val="0"/>
                    <w:suppressLineNumbers w:val="0"/>
                    <w:adjustRightInd w:val="0"/>
                    <w:snapToGrid w:val="0"/>
                    <w:spacing w:before="0" w:beforeAutospacing="0" w:after="0" w:afterAutospacing="0"/>
                    <w:ind w:left="0" w:leftChars="0" w:right="0" w:rightChars="0"/>
                    <w:jc w:val="center"/>
                    <w:rPr>
                      <w:rFonts w:hint="default"/>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有车间厂房</w:t>
                  </w:r>
                </w:p>
              </w:tc>
              <w:tc>
                <w:tcPr>
                  <w:tcW w:w="2862" w:type="dxa"/>
                  <w:noWrap w:val="0"/>
                  <w:vAlign w:val="center"/>
                </w:tcPr>
                <w:p w14:paraId="57875321">
                  <w:pPr>
                    <w:keepNext w:val="0"/>
                    <w:keepLines w:val="0"/>
                    <w:suppressLineNumbers w:val="0"/>
                    <w:adjustRightInd w:val="0"/>
                    <w:snapToGrid w:val="0"/>
                    <w:spacing w:before="0" w:beforeAutospacing="0" w:after="0" w:afterAutospacing="0"/>
                    <w:ind w:left="0" w:leftChars="0" w:right="0" w:rightChars="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颗粒物</w:t>
                  </w:r>
                </w:p>
              </w:tc>
              <w:tc>
                <w:tcPr>
                  <w:tcW w:w="2863" w:type="dxa"/>
                  <w:noWrap w:val="0"/>
                  <w:vAlign w:val="center"/>
                </w:tcPr>
                <w:p w14:paraId="3A57BF1A">
                  <w:pPr>
                    <w:keepNext w:val="0"/>
                    <w:keepLines w:val="0"/>
                    <w:suppressLineNumbers w:val="0"/>
                    <w:adjustRightInd w:val="0"/>
                    <w:snapToGrid w:val="0"/>
                    <w:spacing w:before="0" w:beforeAutospacing="0" w:after="0" w:afterAutospacing="0"/>
                    <w:ind w:left="0" w:leftChars="0" w:right="0" w:rightChars="0"/>
                    <w:jc w:val="center"/>
                    <w:rPr>
                      <w:rFonts w:hint="default"/>
                      <w:color w:val="000000" w:themeColor="text1"/>
                      <w:sz w:val="18"/>
                      <w:szCs w:val="18"/>
                      <w:highlight w:val="none"/>
                      <w14:textFill>
                        <w14:solidFill>
                          <w14:schemeClr w14:val="tx1"/>
                        </w14:solidFill>
                      </w14:textFill>
                    </w:rPr>
                  </w:pPr>
                  <w:r>
                    <w:rPr>
                      <w:rFonts w:hint="default"/>
                      <w:color w:val="000000" w:themeColor="text1"/>
                      <w:sz w:val="18"/>
                      <w:szCs w:val="18"/>
                      <w:highlight w:val="none"/>
                      <w14:textFill>
                        <w14:solidFill>
                          <w14:schemeClr w14:val="tx1"/>
                        </w14:solidFill>
                      </w14:textFill>
                    </w:rPr>
                    <w:t>1次/</w:t>
                  </w:r>
                  <w:r>
                    <w:rPr>
                      <w:rFonts w:hint="eastAsia"/>
                      <w:color w:val="000000" w:themeColor="text1"/>
                      <w:sz w:val="18"/>
                      <w:szCs w:val="18"/>
                      <w:highlight w:val="none"/>
                      <w:lang w:val="en-US" w:eastAsia="zh-CN"/>
                      <w14:textFill>
                        <w14:solidFill>
                          <w14:schemeClr w14:val="tx1"/>
                        </w14:solidFill>
                      </w14:textFill>
                    </w:rPr>
                    <w:t>年</w:t>
                  </w:r>
                </w:p>
              </w:tc>
              <w:tc>
                <w:tcPr>
                  <w:tcW w:w="2863" w:type="dxa"/>
                  <w:noWrap w:val="0"/>
                  <w:vAlign w:val="center"/>
                </w:tcPr>
                <w:p w14:paraId="515290DF">
                  <w:pPr>
                    <w:keepNext w:val="0"/>
                    <w:keepLines w:val="0"/>
                    <w:suppressLineNumbers w:val="0"/>
                    <w:adjustRightInd w:val="0"/>
                    <w:snapToGrid w:val="0"/>
                    <w:spacing w:before="0" w:beforeAutospacing="0" w:after="0" w:afterAutospacing="0"/>
                    <w:ind w:left="0" w:right="0"/>
                    <w:jc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12月-3月</w:t>
                  </w:r>
                </w:p>
              </w:tc>
            </w:tr>
          </w:tbl>
          <w:p w14:paraId="3A11B1FD">
            <w:pPr>
              <w:keepNext w:val="0"/>
              <w:keepLines w:val="0"/>
              <w:suppressLineNumbers w:val="0"/>
              <w:adjustRightInd w:val="0"/>
              <w:snapToGrid w:val="0"/>
              <w:spacing w:before="0" w:beforeAutospacing="0" w:after="0" w:afterAutospacing="0" w:line="360" w:lineRule="auto"/>
              <w:ind w:left="0" w:right="0" w:firstLine="420" w:firstLineChars="200"/>
              <w:rPr>
                <w:rFonts w:hint="eastAsia" w:cs="Times New Roman"/>
                <w:bCs/>
                <w:color w:val="000000" w:themeColor="text1"/>
                <w:szCs w:val="21"/>
                <w:highlight w:val="none"/>
                <w:lang w:eastAsia="zh-CN"/>
                <w14:textFill>
                  <w14:solidFill>
                    <w14:schemeClr w14:val="tx1"/>
                  </w14:solidFill>
                </w14:textFill>
              </w:rPr>
            </w:pPr>
            <w:r>
              <w:rPr>
                <w:rFonts w:hint="eastAsia" w:cs="Times New Roman"/>
                <w:bCs/>
                <w:color w:val="000000" w:themeColor="text1"/>
                <w:szCs w:val="21"/>
                <w:highlight w:val="none"/>
                <w:lang w:eastAsia="zh-CN"/>
                <w14:textFill>
                  <w14:solidFill>
                    <w14:schemeClr w14:val="tx1"/>
                  </w14:solidFill>
                </w14:textFill>
              </w:rPr>
              <w:t>（</w:t>
            </w:r>
            <w:r>
              <w:rPr>
                <w:rFonts w:hint="eastAsia" w:cs="Times New Roman"/>
                <w:bCs/>
                <w:color w:val="000000" w:themeColor="text1"/>
                <w:szCs w:val="21"/>
                <w:highlight w:val="none"/>
                <w:lang w:val="en-US" w:eastAsia="zh-CN"/>
                <w14:textFill>
                  <w14:solidFill>
                    <w14:schemeClr w14:val="tx1"/>
                  </w14:solidFill>
                </w14:textFill>
              </w:rPr>
              <w:t>5）废气处理技术</w:t>
            </w:r>
            <w:r>
              <w:rPr>
                <w:rFonts w:hint="eastAsia" w:cs="Times New Roman"/>
                <w:bCs/>
                <w:color w:val="000000" w:themeColor="text1"/>
                <w:szCs w:val="21"/>
                <w:highlight w:val="none"/>
                <w:lang w:eastAsia="zh-CN"/>
                <w14:textFill>
                  <w14:solidFill>
                    <w14:schemeClr w14:val="tx1"/>
                  </w14:solidFill>
                </w14:textFill>
              </w:rPr>
              <w:t>可行性分析</w:t>
            </w:r>
          </w:p>
          <w:p w14:paraId="645BC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《排污许可证申请与核发技术规范 工业炉窑》（HJ1121</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2020）中对污染防治可行技术的要求，</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项目燃生物质热风炉采取布袋除尘器处理烟气，属于可行技术。</w:t>
            </w:r>
          </w:p>
          <w:p w14:paraId="66915641">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14:textFill>
                  <w14:solidFill>
                    <w14:schemeClr w14:val="tx1"/>
                  </w14:solidFill>
                </w14:textFill>
              </w:rPr>
              <w:t>设置合理性分析</w:t>
            </w:r>
          </w:p>
          <w:p w14:paraId="78EE0C33">
            <w:pPr>
              <w:pStyle w:val="47"/>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rightChars="0" w:firstLine="420" w:firstLineChars="200"/>
              <w:jc w:val="both"/>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w:t>
            </w:r>
            <w:r>
              <w:rPr>
                <w:rFonts w:hint="default" w:ascii="Times New Roman" w:hAnsi="Times New Roman" w:cs="Times New Roman"/>
                <w:color w:val="000000" w:themeColor="text1"/>
                <w:sz w:val="21"/>
                <w:szCs w:val="21"/>
                <w:highlight w:val="none"/>
                <w14:textFill>
                  <w14:solidFill>
                    <w14:schemeClr w14:val="tx1"/>
                  </w14:solidFill>
                </w14:textFill>
              </w:rPr>
              <w:t>《工业炉窑大气污染物排放标准》（GB9078-1996）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中对于</w:t>
            </w:r>
            <w:r>
              <w:rPr>
                <w:rFonts w:hint="default" w:ascii="Times New Roman" w:hAnsi="Times New Roman" w:cs="Times New Roman"/>
                <w:color w:val="000000" w:themeColor="text1"/>
                <w:sz w:val="21"/>
                <w:szCs w:val="21"/>
                <w:highlight w:val="none"/>
                <w14:textFill>
                  <w14:solidFill>
                    <w14:schemeClr w14:val="tx1"/>
                  </w14:solidFill>
                </w14:textFill>
              </w:rPr>
              <w:t>工业炉窑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的要求可知，</w:t>
            </w:r>
            <w:r>
              <w:rPr>
                <w:rFonts w:hint="default" w:ascii="Times New Roman" w:hAnsi="Times New Roman" w:cs="Times New Roman"/>
                <w:color w:val="000000" w:themeColor="text1"/>
                <w:sz w:val="21"/>
                <w:szCs w:val="21"/>
                <w:highlight w:val="none"/>
                <w14:textFill>
                  <w14:solidFill>
                    <w14:schemeClr w14:val="tx1"/>
                  </w14:solidFill>
                </w14:textFill>
              </w:rPr>
              <w:t>工业炉窑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应不低于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m，并应高于周边200m范围最高建筑物高度3m以上，本项目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热风炉</w:t>
            </w:r>
            <w:r>
              <w:rPr>
                <w:rFonts w:hint="eastAsia"/>
                <w:color w:val="000000" w:themeColor="text1"/>
                <w:sz w:val="21"/>
                <w:szCs w:val="21"/>
                <w:highlight w:val="none"/>
                <w:lang w:val="en-US" w:eastAsia="zh-CN"/>
                <w14:textFill>
                  <w14:solidFill>
                    <w14:schemeClr w14:val="tx1"/>
                  </w14:solidFill>
                </w14:textFill>
              </w:rPr>
              <w:t>烟囱</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m，周边200m范围内最高建筑物建筑高度</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m，因此本项目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热风炉烟囱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cs="Times New Roman"/>
                <w:color w:val="000000" w:themeColor="text1"/>
                <w:sz w:val="21"/>
                <w:szCs w:val="21"/>
                <w:highlight w:val="none"/>
                <w14:textFill>
                  <w14:solidFill>
                    <w14:schemeClr w14:val="tx1"/>
                  </w14:solidFill>
                </w14:textFill>
              </w:rPr>
              <w:t>《工业炉窑大气污染物排放标准》（GB9078-1996）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对于</w:t>
            </w:r>
            <w:r>
              <w:rPr>
                <w:rFonts w:hint="default" w:ascii="Times New Roman" w:hAnsi="Times New Roman" w:cs="Times New Roman"/>
                <w:color w:val="000000" w:themeColor="text1"/>
                <w:sz w:val="21"/>
                <w:szCs w:val="21"/>
                <w:highlight w:val="none"/>
                <w14:textFill>
                  <w14:solidFill>
                    <w14:schemeClr w14:val="tx1"/>
                  </w14:solidFill>
                </w14:textFill>
              </w:rPr>
              <w:t>工业炉窑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高度的要求。</w:t>
            </w:r>
          </w:p>
          <w:p w14:paraId="6F1E32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szCs w:val="21"/>
                <w:highlight w:val="none"/>
                <w:lang w:eastAsia="zh-CN"/>
                <w14:textFill>
                  <w14:solidFill>
                    <w14:schemeClr w14:val="tx1"/>
                  </w14:solidFill>
                </w14:textFill>
              </w:rPr>
              <w:t>（</w:t>
            </w:r>
            <w:r>
              <w:rPr>
                <w:rFonts w:hint="eastAsia" w:cs="Times New Roman"/>
                <w:b w:val="0"/>
                <w:bCs w:val="0"/>
                <w:color w:val="000000" w:themeColor="text1"/>
                <w:szCs w:val="21"/>
                <w:highlight w:val="none"/>
                <w:lang w:val="en-US" w:eastAsia="zh-CN"/>
                <w14:textFill>
                  <w14:solidFill>
                    <w14:schemeClr w14:val="tx1"/>
                  </w14:solidFill>
                </w14:textFill>
              </w:rPr>
              <w:t>7</w:t>
            </w:r>
            <w:r>
              <w:rPr>
                <w:rFonts w:hint="eastAsia" w:ascii="Times New Roman" w:hAnsi="Times New Roman" w:cs="Times New Roman"/>
                <w:b w:val="0"/>
                <w:bCs w:val="0"/>
                <w:color w:val="000000" w:themeColor="text1"/>
                <w:szCs w:val="21"/>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Cs w:val="21"/>
                <w:highlight w:val="none"/>
                <w14:textFill>
                  <w14:solidFill>
                    <w14:schemeClr w14:val="tx1"/>
                  </w14:solidFill>
                </w14:textFill>
              </w:rPr>
              <w:t>废气排放环境影响</w:t>
            </w:r>
          </w:p>
          <w:p w14:paraId="62CC4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本项目热风炉烟气通过布袋除尘器处理后经</w:t>
            </w:r>
            <w:r>
              <w:rPr>
                <w:rFonts w:hint="eastAsia" w:cs="Times New Roman"/>
                <w:b w:val="0"/>
                <w:bCs w:val="0"/>
                <w:color w:val="000000" w:themeColor="text1"/>
                <w:sz w:val="21"/>
                <w:szCs w:val="21"/>
                <w:highlight w:val="no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w:t>
            </w:r>
            <w:r>
              <w:rPr>
                <w:rFonts w:hint="eastAsia" w:cs="Times New Roman"/>
                <w:color w:val="000000" w:themeColor="text1"/>
                <w:sz w:val="21"/>
                <w:szCs w:val="21"/>
                <w:highlight w:val="none"/>
                <w:lang w:eastAsia="zh-CN"/>
                <w14:textFill>
                  <w14:solidFill>
                    <w14:schemeClr w14:val="tx1"/>
                  </w14:solidFill>
                </w14:textFill>
              </w:rPr>
              <w:t>烟囱</w:t>
            </w:r>
            <w:r>
              <w:rPr>
                <w:rFonts w:hint="eastAsia" w:cs="Times New Roman"/>
                <w:b w:val="0"/>
                <w:bCs w:val="0"/>
                <w:color w:val="000000" w:themeColor="text1"/>
                <w:sz w:val="21"/>
                <w:szCs w:val="21"/>
                <w:highlight w:val="none"/>
                <w:lang w:val="en-US" w:eastAsia="zh-CN"/>
                <w14:textFill>
                  <w14:solidFill>
                    <w14:schemeClr w14:val="tx1"/>
                  </w14:solidFill>
                </w14:textFill>
              </w:rPr>
              <w:t>（DA001）</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高空排放，SO</w:t>
            </w:r>
            <w:r>
              <w:rPr>
                <w:rFonts w:hint="eastAsia"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排放浓度</w:t>
            </w:r>
            <w:r>
              <w:rPr>
                <w:rFonts w:hint="eastAsia" w:cs="Times New Roman"/>
                <w:b w:val="0"/>
                <w:bCs w:val="0"/>
                <w:color w:val="000000" w:themeColor="text1"/>
                <w:sz w:val="21"/>
                <w:szCs w:val="21"/>
                <w:highlight w:val="none"/>
                <w:lang w:val="en-US" w:eastAsia="zh-CN"/>
                <w14:textFill>
                  <w14:solidFill>
                    <w14:schemeClr w14:val="tx1"/>
                  </w14:solidFill>
                </w14:textFill>
              </w:rPr>
              <w:t>符合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《工业炉窑大气污染物排放标准》（GB9078-1996）中的表4中的二级标准，</w:t>
            </w:r>
            <w:r>
              <w:rPr>
                <w:rFonts w:hint="eastAsia" w:cs="Times New Roman"/>
                <w:b w:val="0"/>
                <w:bCs w:val="0"/>
                <w:color w:val="000000" w:themeColor="text1"/>
                <w:sz w:val="21"/>
                <w:szCs w:val="21"/>
                <w:highlight w:val="none"/>
                <w:lang w:val="en-US" w:eastAsia="zh-CN"/>
                <w14:textFill>
                  <w14:solidFill>
                    <w14:schemeClr w14:val="tx1"/>
                  </w14:solidFill>
                </w14:textFill>
              </w:rPr>
              <w:t>颗粒物排放浓度及烟气黑度符合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《工业炉窑大气污染物排放标准》（GB9078-1996）中的表2中的二级标准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原料烘干</w:t>
            </w:r>
            <w:r>
              <w:rPr>
                <w:rFonts w:hint="default" w:ascii="Times New Roman" w:hAnsi="Times New Roman" w:cs="Times New Roman"/>
                <w:color w:val="000000" w:themeColor="text1"/>
                <w:sz w:val="21"/>
                <w:szCs w:val="21"/>
                <w:highlight w:val="none"/>
                <w:lang w:eastAsia="zh-CN"/>
                <w14:textFill>
                  <w14:solidFill>
                    <w14:schemeClr w14:val="tx1"/>
                  </w14:solidFill>
                </w14:textFill>
              </w:rPr>
              <w:t>、运输</w:t>
            </w:r>
            <w:r>
              <w:rPr>
                <w:rFonts w:hint="eastAsia" w:cs="Times New Roman"/>
                <w:color w:val="000000" w:themeColor="text1"/>
                <w:sz w:val="21"/>
                <w:szCs w:val="21"/>
                <w:highlight w:val="none"/>
                <w:lang w:val="en-US" w:eastAsia="zh-CN"/>
                <w14:textFill>
                  <w14:solidFill>
                    <w14:schemeClr w14:val="tx1"/>
                  </w14:solidFill>
                </w14:textFill>
              </w:rPr>
              <w:t>及筛分</w:t>
            </w:r>
            <w:r>
              <w:rPr>
                <w:rFonts w:hint="default" w:ascii="Times New Roman" w:hAnsi="Times New Roman" w:cs="Times New Roman"/>
                <w:color w:val="000000" w:themeColor="text1"/>
                <w:sz w:val="21"/>
                <w:szCs w:val="21"/>
                <w:highlight w:val="none"/>
                <w14:textFill>
                  <w14:solidFill>
                    <w14:schemeClr w14:val="tx1"/>
                  </w14:solidFill>
                </w14:textFill>
              </w:rPr>
              <w:t>过程会有</w:t>
            </w:r>
            <w:r>
              <w:rPr>
                <w:rFonts w:hint="default" w:ascii="Times New Roman" w:hAnsi="Times New Roman"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cs="Times New Roman"/>
                <w:color w:val="000000" w:themeColor="text1"/>
                <w:sz w:val="21"/>
                <w:szCs w:val="21"/>
                <w:highlight w:val="none"/>
                <w14:textFill>
                  <w14:solidFill>
                    <w14:schemeClr w14:val="tx1"/>
                  </w14:solidFill>
                </w14:textFill>
              </w:rPr>
              <w:t>产生，此部分</w:t>
            </w:r>
            <w:r>
              <w:rPr>
                <w:rFonts w:hint="default" w:ascii="Times New Roman" w:hAnsi="Times New Roman" w:cs="Times New Roman"/>
                <w:color w:val="000000" w:themeColor="text1"/>
                <w:sz w:val="21"/>
                <w:szCs w:val="21"/>
                <w:highlight w:val="none"/>
                <w:lang w:eastAsia="zh-CN"/>
                <w14:textFill>
                  <w14:solidFill>
                    <w14:schemeClr w14:val="tx1"/>
                  </w14:solidFill>
                </w14:textFill>
              </w:rPr>
              <w:t>粉尘</w:t>
            </w:r>
            <w:r>
              <w:rPr>
                <w:rFonts w:hint="default" w:ascii="Times New Roman" w:hAnsi="Times New Roman" w:cs="Times New Roman"/>
                <w:color w:val="000000" w:themeColor="text1"/>
                <w:sz w:val="21"/>
                <w:szCs w:val="21"/>
                <w:highlight w:val="none"/>
                <w14:textFill>
                  <w14:solidFill>
                    <w14:schemeClr w14:val="tx1"/>
                  </w14:solidFill>
                </w14:textFill>
              </w:rPr>
              <w:t>以无组织的形式排放。装卸工段</w:t>
            </w:r>
            <w:r>
              <w:rPr>
                <w:rFonts w:hint="eastAsia"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采用</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密闭性良好的设备，全封闭输送机、原粮入</w:t>
            </w:r>
            <w:r>
              <w:rPr>
                <w:rFonts w:hint="eastAsia" w:cs="Times New Roman"/>
                <w:color w:val="000000" w:themeColor="text1"/>
                <w:spacing w:val="0"/>
                <w:kern w:val="0"/>
                <w:sz w:val="21"/>
                <w:szCs w:val="21"/>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采取封闭和减小装卸高度</w:t>
            </w:r>
            <w:r>
              <w:rPr>
                <w:rFonts w:hint="default" w:ascii="Times New Roman" w:hAnsi="Times New Roman" w:cs="Times New Roman"/>
                <w:color w:val="000000" w:themeColor="text1"/>
                <w:sz w:val="21"/>
                <w:szCs w:val="21"/>
                <w:highlight w:val="none"/>
                <w14:textFill>
                  <w14:solidFill>
                    <w14:schemeClr w14:val="tx1"/>
                  </w14:solidFill>
                </w14:textFill>
              </w:rPr>
              <w:t>等降尘措施，运输过程中采用封闭输送</w:t>
            </w:r>
            <w:r>
              <w:rPr>
                <w:rFonts w:hint="eastAsia" w:ascii="Times New Roman" w:hAnsi="Times New Roman" w:cs="Times New Roman"/>
                <w:color w:val="000000" w:themeColor="text1"/>
                <w:sz w:val="21"/>
                <w:szCs w:val="21"/>
                <w:highlight w:val="none"/>
                <w:lang w:eastAsia="zh-CN"/>
                <w14:textFill>
                  <w14:solidFill>
                    <w14:schemeClr w14:val="tx1"/>
                  </w14:solidFill>
                </w14:textFill>
              </w:rPr>
              <w:t>；清粮采用全密闭</w:t>
            </w:r>
            <w:r>
              <w:rPr>
                <w:rFonts w:hint="eastAsia" w:cs="Times New Roman"/>
                <w:color w:val="000000" w:themeColor="text1"/>
                <w:sz w:val="21"/>
                <w:szCs w:val="21"/>
                <w:highlight w:val="none"/>
                <w:lang w:val="en-US" w:eastAsia="zh-CN"/>
                <w14:textFill>
                  <w14:solidFill>
                    <w14:schemeClr w14:val="tx1"/>
                  </w14:solidFill>
                </w14:textFill>
              </w:rPr>
              <w:t>筛分机</w:t>
            </w:r>
            <w:r>
              <w:rPr>
                <w:rFonts w:hint="eastAsia" w:ascii="Times New Roman" w:hAnsi="Times New Roman" w:cs="Times New Roman"/>
                <w:color w:val="000000" w:themeColor="text1"/>
                <w:sz w:val="21"/>
                <w:szCs w:val="21"/>
                <w:highlight w:val="none"/>
                <w:lang w:eastAsia="zh-CN"/>
                <w14:textFill>
                  <w14:solidFill>
                    <w14:schemeClr w14:val="tx1"/>
                  </w14:solidFill>
                </w14:textFill>
              </w:rPr>
              <w:t>，产生的粉尘经设备自带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21"/>
                <w:szCs w:val="21"/>
                <w:highlight w:val="none"/>
                <w:lang w:eastAsia="zh-CN"/>
                <w14:textFill>
                  <w14:solidFill>
                    <w14:schemeClr w14:val="tx1"/>
                  </w14:solidFill>
                </w14:textFill>
              </w:rPr>
              <w:t>处理后排放；烘干塔内部自带重力沉降室，烘干塔底部四周设置防尘挡板，粉尘受挡板格挡后受重力作用回落到烘干塔底部收尘设施中</w:t>
            </w:r>
            <w:r>
              <w:rPr>
                <w:rFonts w:hint="default" w:ascii="Times New Roman" w:hAnsi="Times New Roman" w:cs="Times New Roman"/>
                <w:color w:val="000000" w:themeColor="text1"/>
                <w:sz w:val="21"/>
                <w:szCs w:val="21"/>
                <w:highlight w:val="none"/>
                <w:lang w:eastAsia="zh-CN"/>
                <w14:textFill>
                  <w14:solidFill>
                    <w14:schemeClr w14:val="tx1"/>
                  </w14:solidFill>
                </w14:textFill>
              </w:rPr>
              <w:t>。燃料库</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default" w:ascii="Times New Roman" w:hAnsi="Times New Roman" w:cs="Times New Roman"/>
                <w:color w:val="000000" w:themeColor="text1"/>
                <w:sz w:val="21"/>
                <w:szCs w:val="21"/>
                <w:highlight w:val="none"/>
                <w:lang w:eastAsia="zh-CN"/>
                <w14:textFill>
                  <w14:solidFill>
                    <w14:schemeClr w14:val="tx1"/>
                  </w14:solidFill>
                </w14:textFill>
              </w:rPr>
              <w:t>密闭并定期洒水抑尘，减少粉尘扩散，</w:t>
            </w:r>
            <w:r>
              <w:rPr>
                <w:rFonts w:hint="default" w:ascii="Times New Roman" w:hAnsi="Times New Roman" w:cs="Times New Roman"/>
                <w:color w:val="000000" w:themeColor="text1"/>
                <w:sz w:val="21"/>
                <w:szCs w:val="21"/>
                <w:highlight w:val="none"/>
                <w14:textFill>
                  <w14:solidFill>
                    <w14:schemeClr w14:val="tx1"/>
                  </w14:solidFill>
                </w14:textFill>
              </w:rPr>
              <w:t>厂界颗粒物排放浓度符合《大气污染物综合排放标准》（GB16297-1996）表2无组织排放浓度限值要求</w:t>
            </w:r>
            <w:r>
              <w:rPr>
                <w:rFonts w:hint="eastAsia" w:cs="Times New Roman"/>
                <w:color w:val="000000" w:themeColor="text1"/>
                <w:sz w:val="18"/>
                <w:szCs w:val="18"/>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热风炉周边无组织排放颗粒物浓度执行</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《工业炉窑大气污染物排放标准》（GB9078-1996）中的表</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3中标准限值</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4BECB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综上所述，在落实污染防治措施的前提下，并保证环保设施正常运行，本项目排放的污染物对评价区域环境空气质量影响较小</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对周边环境保护目标产生影响较小</w:t>
            </w:r>
            <w:r>
              <w:rPr>
                <w:rFonts w:hint="default" w:ascii="Times New Roman" w:hAnsi="Times New Roman" w:cs="Times New Roman"/>
                <w:color w:val="000000" w:themeColor="text1"/>
                <w:sz w:val="21"/>
                <w:szCs w:val="21"/>
                <w:highlight w:val="none"/>
                <w14:textFill>
                  <w14:solidFill>
                    <w14:schemeClr w14:val="tx1"/>
                  </w14:solidFill>
                </w14:textFill>
              </w:rPr>
              <w:t>。</w:t>
            </w:r>
          </w:p>
          <w:p w14:paraId="4D63BF70">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2、废水</w:t>
            </w:r>
          </w:p>
          <w:p w14:paraId="4A49109B">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000000" w:themeColor="text1"/>
                <w:highlight w:val="none"/>
                <w:lang w:val="en-US" w:eastAsia="zh-CN"/>
                <w14:textFill>
                  <w14:solidFill>
                    <w14:schemeClr w14:val="tx1"/>
                  </w14:solidFill>
                </w14:textFill>
              </w:rPr>
            </w:pPr>
            <w:r>
              <w:rPr>
                <w:rFonts w:hint="eastAsia"/>
                <w:bCs/>
                <w:color w:val="000000" w:themeColor="text1"/>
                <w:szCs w:val="21"/>
                <w:highlight w:val="none"/>
                <w14:textFill>
                  <w14:solidFill>
                    <w14:schemeClr w14:val="tx1"/>
                  </w14:solidFill>
                </w14:textFill>
              </w:rPr>
              <w:t>本项目生产过程中无废水产生，项目不新增员工，因此无新增废水。</w:t>
            </w:r>
          </w:p>
          <w:p w14:paraId="233E1B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3、噪声</w:t>
            </w:r>
          </w:p>
          <w:p w14:paraId="1D8AFC8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（1）噪声污染源源强核算结果及相关参数见表4-</w:t>
            </w:r>
            <w:r>
              <w:rPr>
                <w:rFonts w:hint="eastAsia" w:cs="Times New Roman"/>
                <w:bCs/>
                <w:color w:val="000000" w:themeColor="text1"/>
                <w:szCs w:val="21"/>
                <w:highlight w:val="none"/>
                <w:lang w:val="en-US" w:eastAsia="zh-CN"/>
                <w14:textFill>
                  <w14:solidFill>
                    <w14:schemeClr w14:val="tx1"/>
                  </w14:solidFill>
                </w14:textFill>
              </w:rPr>
              <w:t>6</w:t>
            </w:r>
            <w:r>
              <w:rPr>
                <w:rFonts w:hint="default" w:ascii="Times New Roman" w:hAnsi="Times New Roman" w:cs="Times New Roman"/>
                <w:bCs/>
                <w:color w:val="000000" w:themeColor="text1"/>
                <w:szCs w:val="21"/>
                <w:highlight w:val="none"/>
                <w14:textFill>
                  <w14:solidFill>
                    <w14:schemeClr w14:val="tx1"/>
                  </w14:solidFill>
                </w14:textFill>
              </w:rPr>
              <w:t>。</w:t>
            </w:r>
          </w:p>
          <w:p w14:paraId="42B13E23">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pacing w:val="0"/>
                <w:kern w:val="2"/>
                <w:sz w:val="21"/>
                <w:szCs w:val="21"/>
                <w:highlight w:val="none"/>
                <w:lang w:val="en-US" w:eastAsia="zh-CN" w:bidi="ar-SA"/>
                <w14:textFill>
                  <w14:solidFill>
                    <w14:schemeClr w14:val="tx1"/>
                  </w14:solidFill>
                </w14:textFill>
              </w:rPr>
              <w:t>表4-</w:t>
            </w:r>
            <w:r>
              <w:rPr>
                <w:rFonts w:hint="eastAsia" w:cs="Times New Roman"/>
                <w:b/>
                <w:color w:val="000000" w:themeColor="text1"/>
                <w:spacing w:val="0"/>
                <w:kern w:val="2"/>
                <w:sz w:val="21"/>
                <w:szCs w:val="21"/>
                <w:highlight w:val="none"/>
                <w:lang w:val="en-US" w:eastAsia="zh-CN" w:bidi="ar-SA"/>
                <w14:textFill>
                  <w14:solidFill>
                    <w14:schemeClr w14:val="tx1"/>
                  </w14:solidFill>
                </w14:textFill>
              </w:rPr>
              <w:t xml:space="preserve">6 </w:t>
            </w:r>
            <w:r>
              <w:rPr>
                <w:rFonts w:hint="default"/>
                <w:b/>
                <w:color w:val="000000" w:themeColor="text1"/>
                <w:szCs w:val="21"/>
                <w:highlight w:val="none"/>
                <w14:textFill>
                  <w14:solidFill>
                    <w14:schemeClr w14:val="tx1"/>
                  </w14:solidFill>
                </w14:textFill>
              </w:rPr>
              <w:t>污染源源强核算结果及相关参数一览表</w:t>
            </w:r>
          </w:p>
          <w:tbl>
            <w:tblPr>
              <w:tblStyle w:val="33"/>
              <w:tblW w:w="5000" w:type="pct"/>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26"/>
              <w:gridCol w:w="1639"/>
              <w:gridCol w:w="1435"/>
              <w:gridCol w:w="1048"/>
              <w:gridCol w:w="995"/>
              <w:gridCol w:w="1051"/>
              <w:gridCol w:w="628"/>
            </w:tblGrid>
            <w:tr w14:paraId="54932B42">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restart"/>
                  <w:tcBorders>
                    <w:left w:val="nil"/>
                    <w:right w:val="single" w:color="auto" w:sz="4" w:space="0"/>
                  </w:tcBorders>
                  <w:noWrap w:val="0"/>
                  <w:vAlign w:val="center"/>
                </w:tcPr>
                <w:p w14:paraId="4FB04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序号</w:t>
                  </w:r>
                </w:p>
              </w:tc>
              <w:tc>
                <w:tcPr>
                  <w:tcW w:w="512" w:type="pct"/>
                  <w:vMerge w:val="restart"/>
                  <w:tcBorders>
                    <w:left w:val="nil"/>
                    <w:right w:val="single" w:color="auto" w:sz="4" w:space="0"/>
                  </w:tcBorders>
                  <w:noWrap w:val="0"/>
                  <w:vAlign w:val="center"/>
                </w:tcPr>
                <w:p w14:paraId="2086A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工序/生产线</w:t>
                  </w:r>
                </w:p>
              </w:tc>
              <w:tc>
                <w:tcPr>
                  <w:tcW w:w="1017" w:type="pct"/>
                  <w:vMerge w:val="restart"/>
                  <w:tcBorders>
                    <w:left w:val="single" w:color="auto" w:sz="4" w:space="0"/>
                    <w:right w:val="single" w:color="auto" w:sz="4" w:space="0"/>
                  </w:tcBorders>
                  <w:noWrap w:val="0"/>
                  <w:vAlign w:val="center"/>
                </w:tcPr>
                <w:p w14:paraId="3B4EA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噪声源</w:t>
                  </w:r>
                </w:p>
              </w:tc>
              <w:tc>
                <w:tcPr>
                  <w:tcW w:w="890" w:type="pct"/>
                  <w:tcBorders>
                    <w:left w:val="single" w:color="auto" w:sz="4" w:space="0"/>
                    <w:bottom w:val="single" w:color="auto" w:sz="4" w:space="0"/>
                    <w:right w:val="single" w:color="auto" w:sz="4" w:space="0"/>
                  </w:tcBorders>
                  <w:noWrap w:val="0"/>
                  <w:vAlign w:val="center"/>
                </w:tcPr>
                <w:p w14:paraId="131D2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噪声源源强</w:t>
                  </w:r>
                </w:p>
              </w:tc>
              <w:tc>
                <w:tcPr>
                  <w:tcW w:w="1268" w:type="pct"/>
                  <w:gridSpan w:val="2"/>
                  <w:tcBorders>
                    <w:left w:val="single" w:color="auto" w:sz="4" w:space="0"/>
                    <w:bottom w:val="single" w:color="auto" w:sz="4" w:space="0"/>
                    <w:right w:val="nil"/>
                  </w:tcBorders>
                  <w:noWrap w:val="0"/>
                  <w:vAlign w:val="center"/>
                </w:tcPr>
                <w:p w14:paraId="4996E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降噪措施</w:t>
                  </w:r>
                </w:p>
              </w:tc>
              <w:tc>
                <w:tcPr>
                  <w:tcW w:w="652" w:type="pct"/>
                  <w:tcBorders>
                    <w:left w:val="single" w:color="auto" w:sz="4" w:space="0"/>
                    <w:bottom w:val="single" w:color="auto" w:sz="4" w:space="0"/>
                    <w:right w:val="nil"/>
                  </w:tcBorders>
                  <w:noWrap w:val="0"/>
                  <w:vAlign w:val="center"/>
                </w:tcPr>
                <w:p w14:paraId="2E76A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噪声排放值</w:t>
                  </w:r>
                </w:p>
              </w:tc>
              <w:tc>
                <w:tcPr>
                  <w:tcW w:w="389" w:type="pct"/>
                  <w:vMerge w:val="restart"/>
                  <w:tcBorders>
                    <w:left w:val="single" w:color="auto" w:sz="4" w:space="0"/>
                    <w:right w:val="nil"/>
                  </w:tcBorders>
                  <w:noWrap w:val="0"/>
                  <w:vAlign w:val="center"/>
                </w:tcPr>
                <w:p w14:paraId="19548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运行时段</w:t>
                  </w:r>
                </w:p>
              </w:tc>
            </w:tr>
            <w:tr w14:paraId="472DFEBF">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vMerge w:val="continue"/>
                  <w:tcBorders>
                    <w:left w:val="nil"/>
                    <w:bottom w:val="single" w:color="auto" w:sz="4" w:space="0"/>
                    <w:right w:val="single" w:color="auto" w:sz="4" w:space="0"/>
                  </w:tcBorders>
                  <w:noWrap w:val="0"/>
                  <w:vAlign w:val="center"/>
                </w:tcPr>
                <w:p w14:paraId="194CE2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512" w:type="pct"/>
                  <w:vMerge w:val="continue"/>
                  <w:tcBorders>
                    <w:left w:val="nil"/>
                    <w:bottom w:val="single" w:color="auto" w:sz="4" w:space="0"/>
                    <w:right w:val="single" w:color="auto" w:sz="4" w:space="0"/>
                  </w:tcBorders>
                  <w:noWrap w:val="0"/>
                  <w:vAlign w:val="center"/>
                </w:tcPr>
                <w:p w14:paraId="0BAB1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017" w:type="pct"/>
                  <w:vMerge w:val="continue"/>
                  <w:tcBorders>
                    <w:left w:val="single" w:color="auto" w:sz="4" w:space="0"/>
                    <w:bottom w:val="single" w:color="auto" w:sz="4" w:space="0"/>
                    <w:right w:val="single" w:color="auto" w:sz="4" w:space="0"/>
                  </w:tcBorders>
                  <w:noWrap w:val="0"/>
                  <w:vAlign w:val="center"/>
                </w:tcPr>
                <w:p w14:paraId="3762F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890" w:type="pct"/>
                  <w:tcBorders>
                    <w:top w:val="single" w:color="auto" w:sz="4" w:space="0"/>
                    <w:left w:val="single" w:color="auto" w:sz="4" w:space="0"/>
                    <w:bottom w:val="single" w:color="auto" w:sz="4" w:space="0"/>
                    <w:right w:val="single" w:color="auto" w:sz="4" w:space="0"/>
                  </w:tcBorders>
                  <w:noWrap w:val="0"/>
                  <w:vAlign w:val="center"/>
                </w:tcPr>
                <w:p w14:paraId="36D90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噪声值</w:t>
                  </w: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/dB(</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w:t>
                  </w:r>
                </w:p>
              </w:tc>
              <w:tc>
                <w:tcPr>
                  <w:tcW w:w="650" w:type="pct"/>
                  <w:tcBorders>
                    <w:top w:val="single" w:color="auto" w:sz="4" w:space="0"/>
                    <w:left w:val="single" w:color="auto" w:sz="4" w:space="0"/>
                    <w:bottom w:val="single" w:color="auto" w:sz="4" w:space="0"/>
                    <w:right w:val="nil"/>
                  </w:tcBorders>
                  <w:noWrap w:val="0"/>
                  <w:vAlign w:val="center"/>
                </w:tcPr>
                <w:p w14:paraId="2D7E97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工艺</w:t>
                  </w:r>
                </w:p>
              </w:tc>
              <w:tc>
                <w:tcPr>
                  <w:tcW w:w="617" w:type="pct"/>
                  <w:tcBorders>
                    <w:left w:val="single" w:color="auto" w:sz="4" w:space="0"/>
                    <w:bottom w:val="single" w:color="auto" w:sz="4" w:space="0"/>
                    <w:right w:val="nil"/>
                  </w:tcBorders>
                  <w:noWrap w:val="0"/>
                  <w:vAlign w:val="center"/>
                </w:tcPr>
                <w:p w14:paraId="3854CC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降噪效果/(dB)</w:t>
                  </w:r>
                </w:p>
              </w:tc>
              <w:tc>
                <w:tcPr>
                  <w:tcW w:w="652" w:type="pct"/>
                  <w:tcBorders>
                    <w:top w:val="single" w:color="auto" w:sz="4" w:space="0"/>
                    <w:left w:val="single" w:color="auto" w:sz="4" w:space="0"/>
                    <w:bottom w:val="single" w:color="auto" w:sz="4" w:space="0"/>
                    <w:right w:val="nil"/>
                  </w:tcBorders>
                  <w:noWrap w:val="0"/>
                  <w:vAlign w:val="center"/>
                </w:tcPr>
                <w:p w14:paraId="1A7134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18"/>
                      <w:szCs w:val="18"/>
                      <w:highlight w:val="none"/>
                      <w14:textFill>
                        <w14:solidFill>
                          <w14:schemeClr w14:val="tx1"/>
                        </w14:solidFill>
                      </w14:textFill>
                    </w:rPr>
                    <w:t>噪声值/(dB)</w:t>
                  </w:r>
                </w:p>
              </w:tc>
              <w:tc>
                <w:tcPr>
                  <w:tcW w:w="389" w:type="pct"/>
                  <w:vMerge w:val="continue"/>
                  <w:tcBorders>
                    <w:left w:val="single" w:color="auto" w:sz="4" w:space="0"/>
                    <w:bottom w:val="single" w:color="auto" w:sz="4" w:space="0"/>
                    <w:right w:val="nil"/>
                  </w:tcBorders>
                  <w:noWrap w:val="0"/>
                  <w:vAlign w:val="center"/>
                </w:tcPr>
                <w:p w14:paraId="2ACE8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kern w:val="0"/>
                      <w:sz w:val="18"/>
                      <w:szCs w:val="18"/>
                      <w:highlight w:val="none"/>
                      <w:lang w:val="en-US" w:eastAsia="zh-CN" w:bidi="ar-SA"/>
                      <w14:textFill>
                        <w14:solidFill>
                          <w14:schemeClr w14:val="tx1"/>
                        </w14:solidFill>
                      </w14:textFill>
                    </w:rPr>
                  </w:pPr>
                </w:p>
              </w:tc>
            </w:tr>
            <w:tr w14:paraId="504FA68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right w:val="single" w:color="auto" w:sz="4" w:space="0"/>
                  </w:tcBorders>
                  <w:noWrap w:val="0"/>
                  <w:vAlign w:val="center"/>
                </w:tcPr>
                <w:p w14:paraId="09AAD8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1</w:t>
                  </w:r>
                </w:p>
              </w:tc>
              <w:tc>
                <w:tcPr>
                  <w:tcW w:w="512" w:type="pct"/>
                  <w:vMerge w:val="restart"/>
                  <w:tcBorders>
                    <w:top w:val="single" w:color="auto" w:sz="4" w:space="0"/>
                    <w:left w:val="nil"/>
                    <w:right w:val="single" w:color="auto" w:sz="4" w:space="0"/>
                  </w:tcBorders>
                  <w:noWrap w:val="0"/>
                  <w:vAlign w:val="center"/>
                </w:tcPr>
                <w:p w14:paraId="73C30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烘干</w:t>
                  </w:r>
                </w:p>
                <w:p w14:paraId="553E5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工序</w:t>
                  </w:r>
                </w:p>
              </w:tc>
              <w:tc>
                <w:tcPr>
                  <w:tcW w:w="1017" w:type="pct"/>
                  <w:tcBorders>
                    <w:top w:val="single" w:color="auto" w:sz="4" w:space="0"/>
                    <w:left w:val="single" w:color="auto" w:sz="4" w:space="0"/>
                    <w:bottom w:val="single" w:color="auto" w:sz="4" w:space="0"/>
                    <w:right w:val="single" w:color="auto" w:sz="4" w:space="0"/>
                  </w:tcBorders>
                  <w:noWrap w:val="0"/>
                  <w:vAlign w:val="center"/>
                </w:tcPr>
                <w:p w14:paraId="64399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提升机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4626D9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80</w:t>
                  </w:r>
                </w:p>
              </w:tc>
              <w:tc>
                <w:tcPr>
                  <w:tcW w:w="650" w:type="pct"/>
                  <w:vMerge w:val="restart"/>
                  <w:tcBorders>
                    <w:top w:val="single" w:color="auto" w:sz="4" w:space="0"/>
                    <w:left w:val="single" w:color="auto" w:sz="4" w:space="0"/>
                    <w:right w:val="nil"/>
                  </w:tcBorders>
                  <w:noWrap w:val="0"/>
                  <w:vAlign w:val="center"/>
                </w:tcPr>
                <w:p w14:paraId="136B8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低噪声设备、基础减振</w:t>
                  </w:r>
                </w:p>
              </w:tc>
              <w:tc>
                <w:tcPr>
                  <w:tcW w:w="617" w:type="pct"/>
                  <w:tcBorders>
                    <w:top w:val="single" w:color="auto" w:sz="4" w:space="0"/>
                    <w:left w:val="single" w:color="auto" w:sz="4" w:space="0"/>
                    <w:right w:val="nil"/>
                  </w:tcBorders>
                  <w:noWrap w:val="0"/>
                  <w:vAlign w:val="center"/>
                </w:tcPr>
                <w:p w14:paraId="5AACE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top w:val="single" w:color="auto" w:sz="4" w:space="0"/>
                    <w:left w:val="single" w:color="auto" w:sz="4" w:space="0"/>
                    <w:right w:val="nil"/>
                  </w:tcBorders>
                  <w:noWrap w:val="0"/>
                  <w:vAlign w:val="center"/>
                </w:tcPr>
                <w:p w14:paraId="3C385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restart"/>
                  <w:tcBorders>
                    <w:top w:val="single" w:color="auto" w:sz="4" w:space="0"/>
                    <w:left w:val="single" w:color="auto" w:sz="4" w:space="0"/>
                    <w:right w:val="nil"/>
                  </w:tcBorders>
                  <w:noWrap w:val="0"/>
                  <w:vAlign w:val="center"/>
                </w:tcPr>
                <w:p w14:paraId="340A2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960</w:t>
                  </w:r>
                </w:p>
              </w:tc>
            </w:tr>
            <w:tr w14:paraId="26C3FEF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left w:val="nil"/>
                    <w:right w:val="single" w:color="auto" w:sz="4" w:space="0"/>
                  </w:tcBorders>
                  <w:noWrap w:val="0"/>
                  <w:vAlign w:val="center"/>
                </w:tcPr>
                <w:p w14:paraId="745656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w:t>
                  </w:r>
                </w:p>
              </w:tc>
              <w:tc>
                <w:tcPr>
                  <w:tcW w:w="512" w:type="pct"/>
                  <w:vMerge w:val="continue"/>
                  <w:tcBorders>
                    <w:left w:val="nil"/>
                    <w:right w:val="single" w:color="auto" w:sz="4" w:space="0"/>
                  </w:tcBorders>
                  <w:noWrap w:val="0"/>
                  <w:vAlign w:val="center"/>
                </w:tcPr>
                <w:p w14:paraId="5CFF1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62F04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输送机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132AE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7</w:t>
                  </w:r>
                  <w:r>
                    <w:rPr>
                      <w:rFonts w:hint="eastAsia" w:cs="Times New Roman"/>
                      <w:color w:val="000000" w:themeColor="text1"/>
                      <w:spacing w:val="0"/>
                      <w:sz w:val="18"/>
                      <w:szCs w:val="18"/>
                      <w:highlight w:val="none"/>
                      <w:lang w:val="en-US" w:eastAsia="zh-CN"/>
                      <w14:textFill>
                        <w14:solidFill>
                          <w14:schemeClr w14:val="tx1"/>
                        </w14:solidFill>
                      </w14:textFill>
                    </w:rPr>
                    <w:t>0</w:t>
                  </w:r>
                </w:p>
              </w:tc>
              <w:tc>
                <w:tcPr>
                  <w:tcW w:w="650" w:type="pct"/>
                  <w:vMerge w:val="continue"/>
                  <w:tcBorders>
                    <w:left w:val="single" w:color="auto" w:sz="4" w:space="0"/>
                    <w:right w:val="nil"/>
                  </w:tcBorders>
                  <w:noWrap w:val="0"/>
                  <w:vAlign w:val="center"/>
                </w:tcPr>
                <w:p w14:paraId="76F589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c>
                <w:tcPr>
                  <w:tcW w:w="617" w:type="pct"/>
                  <w:tcBorders>
                    <w:left w:val="single" w:color="auto" w:sz="4" w:space="0"/>
                    <w:right w:val="nil"/>
                  </w:tcBorders>
                  <w:noWrap w:val="0"/>
                  <w:vAlign w:val="center"/>
                </w:tcPr>
                <w:p w14:paraId="572F5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06BBA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5</w:t>
                  </w:r>
                  <w:r>
                    <w:rPr>
                      <w:rFonts w:hint="eastAsia" w:cs="Times New Roman"/>
                      <w:color w:val="000000" w:themeColor="text1"/>
                      <w:spacing w:val="0"/>
                      <w:sz w:val="18"/>
                      <w:szCs w:val="18"/>
                      <w:highlight w:val="none"/>
                      <w:lang w:val="en-US" w:eastAsia="zh-CN"/>
                      <w14:textFill>
                        <w14:solidFill>
                          <w14:schemeClr w14:val="tx1"/>
                        </w14:solidFill>
                      </w14:textFill>
                    </w:rPr>
                    <w:t>0</w:t>
                  </w:r>
                </w:p>
              </w:tc>
              <w:tc>
                <w:tcPr>
                  <w:tcW w:w="389" w:type="pct"/>
                  <w:vMerge w:val="continue"/>
                  <w:tcBorders>
                    <w:left w:val="single" w:color="auto" w:sz="4" w:space="0"/>
                    <w:right w:val="nil"/>
                  </w:tcBorders>
                  <w:noWrap w:val="0"/>
                  <w:vAlign w:val="center"/>
                </w:tcPr>
                <w:p w14:paraId="3E48C3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14:textFill>
                        <w14:solidFill>
                          <w14:schemeClr w14:val="tx1"/>
                        </w14:solidFill>
                      </w14:textFill>
                    </w:rPr>
                  </w:pPr>
                </w:p>
              </w:tc>
            </w:tr>
            <w:tr w14:paraId="1D120CA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3BB01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3</w:t>
                  </w:r>
                </w:p>
              </w:tc>
              <w:tc>
                <w:tcPr>
                  <w:tcW w:w="512" w:type="pct"/>
                  <w:vMerge w:val="continue"/>
                  <w:tcBorders>
                    <w:left w:val="nil"/>
                    <w:right w:val="single" w:color="auto" w:sz="4" w:space="0"/>
                  </w:tcBorders>
                  <w:noWrap w:val="0"/>
                  <w:vAlign w:val="center"/>
                </w:tcPr>
                <w:p w14:paraId="4B289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7F082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筛选机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3A87E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75</w:t>
                  </w:r>
                </w:p>
              </w:tc>
              <w:tc>
                <w:tcPr>
                  <w:tcW w:w="650" w:type="pct"/>
                  <w:vMerge w:val="continue"/>
                  <w:tcBorders>
                    <w:left w:val="single" w:color="auto" w:sz="4" w:space="0"/>
                    <w:right w:val="nil"/>
                  </w:tcBorders>
                  <w:noWrap w:val="0"/>
                  <w:vAlign w:val="center"/>
                </w:tcPr>
                <w:p w14:paraId="6E4F59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617" w:type="pct"/>
                  <w:tcBorders>
                    <w:left w:val="single" w:color="auto" w:sz="4" w:space="0"/>
                    <w:right w:val="nil"/>
                  </w:tcBorders>
                  <w:noWrap w:val="0"/>
                  <w:vAlign w:val="center"/>
                </w:tcPr>
                <w:p w14:paraId="5405A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0C68D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55</w:t>
                  </w:r>
                </w:p>
              </w:tc>
              <w:tc>
                <w:tcPr>
                  <w:tcW w:w="389" w:type="pct"/>
                  <w:vMerge w:val="continue"/>
                  <w:tcBorders>
                    <w:left w:val="single" w:color="auto" w:sz="4" w:space="0"/>
                    <w:right w:val="nil"/>
                  </w:tcBorders>
                  <w:noWrap w:val="0"/>
                  <w:vAlign w:val="center"/>
                </w:tcPr>
                <w:p w14:paraId="59290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5FED5CB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4CF02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4</w:t>
                  </w:r>
                </w:p>
              </w:tc>
              <w:tc>
                <w:tcPr>
                  <w:tcW w:w="512" w:type="pct"/>
                  <w:vMerge w:val="continue"/>
                  <w:tcBorders>
                    <w:left w:val="nil"/>
                    <w:right w:val="single" w:color="auto" w:sz="4" w:space="0"/>
                  </w:tcBorders>
                  <w:noWrap w:val="0"/>
                  <w:vAlign w:val="center"/>
                </w:tcPr>
                <w:p w14:paraId="728AD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53AE8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eastAsia"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t>布袋除尘器</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7A6974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80</w:t>
                  </w:r>
                </w:p>
              </w:tc>
              <w:tc>
                <w:tcPr>
                  <w:tcW w:w="650" w:type="pct"/>
                  <w:tcBorders>
                    <w:left w:val="single" w:color="auto" w:sz="4" w:space="0"/>
                    <w:right w:val="nil"/>
                  </w:tcBorders>
                  <w:noWrap w:val="0"/>
                  <w:vAlign w:val="center"/>
                </w:tcPr>
                <w:p w14:paraId="457A4A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eastAsia" w:cs="Times New Roman"/>
                      <w:color w:val="000000" w:themeColor="text1"/>
                      <w:spacing w:val="0"/>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6C0EC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2E783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continue"/>
                  <w:tcBorders>
                    <w:left w:val="single" w:color="auto" w:sz="4" w:space="0"/>
                    <w:right w:val="nil"/>
                  </w:tcBorders>
                  <w:noWrap w:val="0"/>
                  <w:vAlign w:val="center"/>
                </w:tcPr>
                <w:p w14:paraId="226926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4379AF9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tcBorders>
                    <w:top w:val="single" w:color="auto" w:sz="4" w:space="0"/>
                    <w:left w:val="nil"/>
                    <w:bottom w:val="single" w:color="auto" w:sz="4" w:space="0"/>
                    <w:right w:val="single" w:color="auto" w:sz="4" w:space="0"/>
                  </w:tcBorders>
                  <w:noWrap w:val="0"/>
                  <w:vAlign w:val="center"/>
                </w:tcPr>
                <w:p w14:paraId="27F20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5</w:t>
                  </w:r>
                </w:p>
              </w:tc>
              <w:tc>
                <w:tcPr>
                  <w:tcW w:w="512" w:type="pct"/>
                  <w:vMerge w:val="continue"/>
                  <w:tcBorders>
                    <w:left w:val="nil"/>
                    <w:right w:val="single" w:color="auto" w:sz="4" w:space="0"/>
                  </w:tcBorders>
                  <w:noWrap w:val="0"/>
                  <w:vAlign w:val="center"/>
                </w:tcPr>
                <w:p w14:paraId="34B32A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c>
                <w:tcPr>
                  <w:tcW w:w="1017" w:type="pct"/>
                  <w:tcBorders>
                    <w:top w:val="single" w:color="auto" w:sz="4" w:space="0"/>
                    <w:left w:val="single" w:color="auto" w:sz="4" w:space="0"/>
                    <w:bottom w:val="single" w:color="auto" w:sz="4" w:space="0"/>
                    <w:right w:val="single" w:color="auto" w:sz="4" w:space="0"/>
                  </w:tcBorders>
                  <w:noWrap w:val="0"/>
                  <w:vAlign w:val="center"/>
                </w:tcPr>
                <w:p w14:paraId="0DA8B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i w:val="0"/>
                      <w:iCs w:val="0"/>
                      <w:caps w:val="0"/>
                      <w:color w:val="000000" w:themeColor="text1"/>
                      <w:spacing w:val="0"/>
                      <w:kern w:val="0"/>
                      <w:sz w:val="18"/>
                      <w:szCs w:val="18"/>
                      <w:highlight w:val="none"/>
                      <w:u w:val="none"/>
                      <w:lang w:val="en-US" w:eastAsia="zh-CN" w:bidi="ar"/>
                      <w14:textFill>
                        <w14:solidFill>
                          <w14:schemeClr w14:val="tx1"/>
                        </w14:solidFill>
                      </w14:textFill>
                    </w:rPr>
                  </w:pPr>
                  <w:r>
                    <w:rPr>
                      <w:rFonts w:hint="eastAsia" w:eastAsia="宋体"/>
                      <w:color w:val="000000" w:themeColor="text1"/>
                      <w:sz w:val="18"/>
                      <w:szCs w:val="18"/>
                      <w:highlight w:val="none"/>
                      <w:lang w:val="en-US" w:eastAsia="zh-CN"/>
                      <w14:textFill>
                        <w14:solidFill>
                          <w14:schemeClr w14:val="tx1"/>
                        </w14:solidFill>
                      </w14:textFill>
                    </w:rPr>
                    <w:t>烘干塔</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562F2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80</w:t>
                  </w:r>
                </w:p>
              </w:tc>
              <w:tc>
                <w:tcPr>
                  <w:tcW w:w="650" w:type="pct"/>
                  <w:tcBorders>
                    <w:left w:val="single" w:color="auto" w:sz="4" w:space="0"/>
                    <w:right w:val="nil"/>
                  </w:tcBorders>
                  <w:noWrap w:val="0"/>
                  <w:vAlign w:val="center"/>
                </w:tcPr>
                <w:p w14:paraId="06FFB8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eastAsia" w:cs="Times New Roman"/>
                      <w:color w:val="000000" w:themeColor="text1"/>
                      <w:spacing w:val="0"/>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5903D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5025C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60</w:t>
                  </w:r>
                </w:p>
              </w:tc>
              <w:tc>
                <w:tcPr>
                  <w:tcW w:w="389" w:type="pct"/>
                  <w:vMerge w:val="continue"/>
                  <w:tcBorders>
                    <w:left w:val="single" w:color="auto" w:sz="4" w:space="0"/>
                    <w:right w:val="nil"/>
                  </w:tcBorders>
                  <w:noWrap w:val="0"/>
                  <w:vAlign w:val="center"/>
                </w:tcPr>
                <w:p w14:paraId="4BCD9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r w14:paraId="6D825A8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8" w:type="pct"/>
                  <w:tcBorders>
                    <w:top w:val="single" w:color="auto" w:sz="4" w:space="0"/>
                    <w:left w:val="nil"/>
                    <w:bottom w:val="single" w:color="auto" w:sz="4" w:space="0"/>
                    <w:right w:val="single" w:color="auto" w:sz="4" w:space="0"/>
                  </w:tcBorders>
                  <w:noWrap w:val="0"/>
                  <w:vAlign w:val="center"/>
                </w:tcPr>
                <w:p w14:paraId="7ADC5D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color w:val="000000" w:themeColor="text1"/>
                      <w:spacing w:val="0"/>
                      <w:sz w:val="18"/>
                      <w:szCs w:val="18"/>
                      <w:highlight w:val="none"/>
                      <w:lang w:val="en-US" w:eastAsia="zh-CN"/>
                      <w14:textFill>
                        <w14:solidFill>
                          <w14:schemeClr w14:val="tx1"/>
                        </w14:solidFill>
                      </w14:textFill>
                    </w:rPr>
                    <w:t>6</w:t>
                  </w:r>
                </w:p>
              </w:tc>
              <w:tc>
                <w:tcPr>
                  <w:tcW w:w="512" w:type="pct"/>
                  <w:tcBorders>
                    <w:left w:val="nil"/>
                    <w:right w:val="single" w:color="auto" w:sz="4" w:space="0"/>
                  </w:tcBorders>
                  <w:noWrap w:val="0"/>
                  <w:vAlign w:val="center"/>
                </w:tcPr>
                <w:p w14:paraId="07F1C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cs="Times New Roman"/>
                      <w:bCs/>
                      <w:color w:val="000000" w:themeColor="text1"/>
                      <w:kern w:val="0"/>
                      <w:sz w:val="18"/>
                      <w:szCs w:val="18"/>
                      <w:highlight w:val="none"/>
                      <w:lang w:val="en-US" w:eastAsia="zh-CN"/>
                      <w14:textFill>
                        <w14:solidFill>
                          <w14:schemeClr w14:val="tx1"/>
                        </w14:solidFill>
                      </w14:textFill>
                    </w:rPr>
                    <w:t>热风炉房</w:t>
                  </w:r>
                </w:p>
              </w:tc>
              <w:tc>
                <w:tcPr>
                  <w:tcW w:w="1017" w:type="pct"/>
                  <w:tcBorders>
                    <w:top w:val="single" w:color="auto" w:sz="4" w:space="0"/>
                    <w:left w:val="single" w:color="auto" w:sz="4" w:space="0"/>
                    <w:bottom w:val="single" w:color="auto" w:sz="4" w:space="0"/>
                    <w:right w:val="single" w:color="auto" w:sz="4" w:space="0"/>
                  </w:tcBorders>
                  <w:noWrap w:val="0"/>
                  <w:vAlign w:val="center"/>
                </w:tcPr>
                <w:p w14:paraId="28C30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热风炉</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风机</w:t>
                  </w:r>
                </w:p>
              </w:tc>
              <w:tc>
                <w:tcPr>
                  <w:tcW w:w="890" w:type="pct"/>
                  <w:tcBorders>
                    <w:top w:val="single" w:color="auto" w:sz="4" w:space="0"/>
                    <w:left w:val="single" w:color="auto" w:sz="4" w:space="0"/>
                    <w:bottom w:val="single" w:color="auto" w:sz="4" w:space="0"/>
                    <w:right w:val="single" w:color="auto" w:sz="4" w:space="0"/>
                  </w:tcBorders>
                  <w:noWrap w:val="0"/>
                  <w:vAlign w:val="center"/>
                </w:tcPr>
                <w:p w14:paraId="1DFBE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8</w:t>
                  </w: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0</w:t>
                  </w:r>
                </w:p>
              </w:tc>
              <w:tc>
                <w:tcPr>
                  <w:tcW w:w="650" w:type="pct"/>
                  <w:tcBorders>
                    <w:left w:val="single" w:color="auto" w:sz="4" w:space="0"/>
                    <w:right w:val="nil"/>
                  </w:tcBorders>
                  <w:noWrap w:val="0"/>
                  <w:vAlign w:val="center"/>
                </w:tcPr>
                <w:p w14:paraId="0926A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14:textFill>
                        <w14:solidFill>
                          <w14:schemeClr w14:val="tx1"/>
                        </w14:solidFill>
                      </w14:textFill>
                    </w:rPr>
                    <w:t>基础减振，</w:t>
                  </w: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隔声</w:t>
                  </w:r>
                </w:p>
              </w:tc>
              <w:tc>
                <w:tcPr>
                  <w:tcW w:w="617" w:type="pct"/>
                  <w:tcBorders>
                    <w:left w:val="single" w:color="auto" w:sz="4" w:space="0"/>
                    <w:right w:val="nil"/>
                  </w:tcBorders>
                  <w:noWrap w:val="0"/>
                  <w:vAlign w:val="center"/>
                </w:tcPr>
                <w:p w14:paraId="10EE0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20</w:t>
                  </w:r>
                </w:p>
              </w:tc>
              <w:tc>
                <w:tcPr>
                  <w:tcW w:w="652" w:type="pct"/>
                  <w:tcBorders>
                    <w:left w:val="single" w:color="auto" w:sz="4" w:space="0"/>
                    <w:right w:val="nil"/>
                  </w:tcBorders>
                  <w:noWrap w:val="0"/>
                  <w:vAlign w:val="center"/>
                </w:tcPr>
                <w:p w14:paraId="394D8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t>6</w:t>
                  </w:r>
                  <w:r>
                    <w:rPr>
                      <w:rFonts w:hint="eastAsia" w:ascii="Times New Roman" w:hAnsi="Times New Roman" w:cs="Times New Roman"/>
                      <w:color w:val="000000" w:themeColor="text1"/>
                      <w:spacing w:val="0"/>
                      <w:sz w:val="18"/>
                      <w:szCs w:val="18"/>
                      <w:highlight w:val="none"/>
                      <w:lang w:val="en-US" w:eastAsia="zh-CN"/>
                      <w14:textFill>
                        <w14:solidFill>
                          <w14:schemeClr w14:val="tx1"/>
                        </w14:solidFill>
                      </w14:textFill>
                    </w:rPr>
                    <w:t>0</w:t>
                  </w:r>
                </w:p>
              </w:tc>
              <w:tc>
                <w:tcPr>
                  <w:tcW w:w="389" w:type="pct"/>
                  <w:vMerge w:val="continue"/>
                  <w:tcBorders>
                    <w:left w:val="single" w:color="auto" w:sz="4" w:space="0"/>
                    <w:right w:val="nil"/>
                  </w:tcBorders>
                  <w:noWrap w:val="0"/>
                  <w:vAlign w:val="center"/>
                </w:tcPr>
                <w:p w14:paraId="7D90A0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color w:val="000000" w:themeColor="text1"/>
                      <w:spacing w:val="0"/>
                      <w:sz w:val="18"/>
                      <w:szCs w:val="18"/>
                      <w:highlight w:val="none"/>
                      <w:lang w:val="en-US" w:eastAsia="zh-CN"/>
                      <w14:textFill>
                        <w14:solidFill>
                          <w14:schemeClr w14:val="tx1"/>
                        </w14:solidFill>
                      </w14:textFill>
                    </w:rPr>
                  </w:pPr>
                </w:p>
              </w:tc>
            </w:tr>
          </w:tbl>
          <w:p w14:paraId="4683D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2</w:t>
            </w:r>
            <w:r>
              <w:rPr>
                <w:rFonts w:hint="default"/>
                <w:bCs/>
                <w:color w:val="000000" w:themeColor="text1"/>
                <w:szCs w:val="21"/>
                <w:highlight w:val="none"/>
                <w14:textFill>
                  <w14:solidFill>
                    <w14:schemeClr w14:val="tx1"/>
                  </w14:solidFill>
                </w14:textFill>
              </w:rPr>
              <w:t>）污染防治措施及环境影响分析</w:t>
            </w:r>
          </w:p>
          <w:p w14:paraId="05A97B3E">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本项目运营期采取如下降噪措施：</w:t>
            </w:r>
          </w:p>
          <w:p w14:paraId="13D6C2F6">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①在厂区总体布置中应注意防噪间距，以减少噪声的污染；</w:t>
            </w:r>
          </w:p>
          <w:p w14:paraId="66F9DAF1">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Chars="200"/>
              <w:jc w:val="both"/>
              <w:textAlignment w:val="auto"/>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②</w:t>
            </w:r>
            <w:r>
              <w:rPr>
                <w:rFonts w:hint="eastAsia"/>
                <w:color w:val="000000" w:themeColor="text1"/>
                <w:sz w:val="21"/>
                <w:szCs w:val="21"/>
                <w:highlight w:val="none"/>
                <w14:textFill>
                  <w14:solidFill>
                    <w14:schemeClr w14:val="tx1"/>
                  </w14:solidFill>
                </w14:textFill>
              </w:rPr>
              <w:t>选用低噪声设备，建筑采取隔声、降噪措施，设置减振器，风机进出口均设软管连接等措施</w:t>
            </w:r>
            <w:r>
              <w:rPr>
                <w:rFonts w:hint="eastAsia"/>
                <w:color w:val="000000" w:themeColor="text1"/>
                <w:sz w:val="21"/>
                <w:szCs w:val="21"/>
                <w:highlight w:val="none"/>
                <w:lang w:eastAsia="zh-CN"/>
                <w14:textFill>
                  <w14:solidFill>
                    <w14:schemeClr w14:val="tx1"/>
                  </w14:solidFill>
                </w14:textFill>
              </w:rPr>
              <w:t>；</w:t>
            </w:r>
          </w:p>
          <w:p w14:paraId="509A822A">
            <w:pPr>
              <w:pStyle w:val="30"/>
              <w:keepNext w:val="0"/>
              <w:keepLines w:val="0"/>
              <w:widowControl w:val="0"/>
              <w:suppressLineNumbers w:val="0"/>
              <w:snapToGrid/>
              <w:spacing w:before="0" w:beforeAutospacing="0" w:after="0" w:afterAutospacing="0" w:line="360" w:lineRule="auto"/>
              <w:ind w:left="0" w:right="0" w:firstLineChars="200"/>
              <w:jc w:val="both"/>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③定期对设备进行检查、维修，保持设备最佳运行状态，减少噪声产生量；</w:t>
            </w:r>
          </w:p>
          <w:p w14:paraId="70669C04">
            <w:pPr>
              <w:pStyle w:val="30"/>
              <w:keepNext w:val="0"/>
              <w:keepLines w:val="0"/>
              <w:widowControl w:val="0"/>
              <w:suppressLineNumbers w:val="0"/>
              <w:snapToGrid/>
              <w:spacing w:before="0" w:beforeAutospacing="0" w:after="0" w:afterAutospacing="0" w:line="360" w:lineRule="auto"/>
              <w:ind w:left="0" w:right="0" w:firstLineChars="200"/>
              <w:jc w:val="both"/>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④厂房隔声，合理布局，优化平面布局。</w:t>
            </w:r>
          </w:p>
          <w:p w14:paraId="40CCC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采用</w:t>
            </w:r>
            <w:r>
              <w:rPr>
                <w:rFonts w:hint="default"/>
                <w:color w:val="000000" w:themeColor="text1"/>
                <w:sz w:val="21"/>
                <w:szCs w:val="21"/>
                <w:highlight w:val="none"/>
                <w14:textFill>
                  <w14:solidFill>
                    <w14:schemeClr w14:val="tx1"/>
                  </w14:solidFill>
                </w14:textFill>
              </w:rPr>
              <w:t>《环境影响评价技术导则声环境》（HJ2.4-2021）预测</w:t>
            </w:r>
            <w:r>
              <w:rPr>
                <w:rFonts w:hint="default"/>
                <w:color w:val="000000" w:themeColor="text1"/>
                <w:sz w:val="21"/>
                <w:szCs w:val="21"/>
                <w:highlight w:val="none"/>
                <w:lang w:val="en-US" w:eastAsia="zh-CN"/>
                <w14:textFill>
                  <w14:solidFill>
                    <w14:schemeClr w14:val="tx1"/>
                  </w14:solidFill>
                </w14:textFill>
              </w:rPr>
              <w:t>模式，</w:t>
            </w:r>
            <w:r>
              <w:rPr>
                <w:rFonts w:hint="default"/>
                <w:color w:val="000000" w:themeColor="text1"/>
                <w:sz w:val="21"/>
                <w:szCs w:val="21"/>
                <w:highlight w:val="none"/>
                <w14:textFill>
                  <w14:solidFill>
                    <w14:schemeClr w14:val="tx1"/>
                  </w14:solidFill>
                </w14:textFill>
              </w:rPr>
              <w:t>根据项目特点，本次预测不考虑大气吸收、地面效应等衰减因素，仅考</w:t>
            </w:r>
            <w:r>
              <w:rPr>
                <w:rFonts w:hint="default"/>
                <w:color w:val="000000" w:themeColor="text1"/>
                <w:sz w:val="21"/>
                <w:szCs w:val="21"/>
                <w:highlight w:val="none"/>
                <w:lang w:val="en-US" w:eastAsia="zh-CN"/>
                <w14:textFill>
                  <w14:solidFill>
                    <w14:schemeClr w14:val="tx1"/>
                  </w14:solidFill>
                </w14:textFill>
              </w:rPr>
              <w:t>建筑物隔声和几何发散</w:t>
            </w:r>
            <w:r>
              <w:rPr>
                <w:rFonts w:hint="default"/>
                <w:color w:val="000000" w:themeColor="text1"/>
                <w:sz w:val="21"/>
                <w:szCs w:val="21"/>
                <w:highlight w:val="none"/>
                <w14:textFill>
                  <w14:solidFill>
                    <w14:schemeClr w14:val="tx1"/>
                  </w14:solidFill>
                </w14:textFill>
              </w:rPr>
              <w:t>衰减</w:t>
            </w:r>
            <w:r>
              <w:rPr>
                <w:rFonts w:hint="default"/>
                <w:color w:val="000000" w:themeColor="text1"/>
                <w:sz w:val="21"/>
                <w:szCs w:val="21"/>
                <w:highlight w:val="none"/>
                <w:lang w:val="en-US"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预测点的A声级</w:t>
            </w:r>
            <w:r>
              <w:rPr>
                <w:rFonts w:hint="default"/>
                <w:color w:val="000000" w:themeColor="text1"/>
                <w:sz w:val="21"/>
                <w:szCs w:val="21"/>
                <w:highlight w:val="none"/>
                <w14:textFill>
                  <w14:solidFill>
                    <w14:schemeClr w14:val="tx1"/>
                  </w14:solidFill>
                </w14:textFill>
              </w:rPr>
              <w:object>
                <v:shape id="_x0000_i1027" o:spt="75" type="#_x0000_t75" style="height:17.25pt;width:30.75pt;" o:ole="t" fillcolor="#6D6D6D"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default"/>
                <w:color w:val="000000" w:themeColor="text1"/>
                <w:sz w:val="21"/>
                <w:szCs w:val="21"/>
                <w:highlight w:val="none"/>
                <w14:textFill>
                  <w14:solidFill>
                    <w14:schemeClr w14:val="tx1"/>
                  </w14:solidFill>
                </w14:textFill>
              </w:rPr>
              <w:t>可按下式计算</w:t>
            </w:r>
            <w:r>
              <w:rPr>
                <w:rFonts w:hint="default"/>
                <w:color w:val="000000" w:themeColor="text1"/>
                <w:sz w:val="21"/>
                <w:szCs w:val="21"/>
                <w:highlight w:val="none"/>
                <w:lang w:eastAsia="zh-CN"/>
                <w14:textFill>
                  <w14:solidFill>
                    <w14:schemeClr w14:val="tx1"/>
                  </w14:solidFill>
                </w14:textFill>
              </w:rPr>
              <w:t>：</w:t>
            </w:r>
          </w:p>
          <w:p w14:paraId="67D94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L</w:t>
            </w:r>
            <w:r>
              <w:rPr>
                <w:rFonts w:hint="default"/>
                <w:color w:val="000000" w:themeColor="text1"/>
                <w:sz w:val="21"/>
                <w:szCs w:val="21"/>
                <w:highlight w:val="none"/>
                <w:vertAlign w:val="subscript"/>
                <w:lang w:val="en-US" w:eastAsia="zh-CN"/>
                <w14:textFill>
                  <w14:solidFill>
                    <w14:schemeClr w14:val="tx1"/>
                  </w14:solidFill>
                </w14:textFill>
              </w:rPr>
              <w:t>A</w:t>
            </w:r>
            <w:r>
              <w:rPr>
                <w:rFonts w:hint="default"/>
                <w:color w:val="000000" w:themeColor="text1"/>
                <w:sz w:val="21"/>
                <w:szCs w:val="21"/>
                <w:highlight w:val="none"/>
                <w:lang w:val="en-US" w:eastAsia="zh-CN"/>
                <w14:textFill>
                  <w14:solidFill>
                    <w14:schemeClr w14:val="tx1"/>
                  </w14:solidFill>
                </w14:textFill>
              </w:rPr>
              <w:t>(r)=L</w:t>
            </w:r>
            <w:r>
              <w:rPr>
                <w:rFonts w:hint="default"/>
                <w:color w:val="000000" w:themeColor="text1"/>
                <w:sz w:val="21"/>
                <w:szCs w:val="21"/>
                <w:highlight w:val="none"/>
                <w:vertAlign w:val="subscript"/>
                <w:lang w:val="en-US" w:eastAsia="zh-CN"/>
                <w14:textFill>
                  <w14:solidFill>
                    <w14:schemeClr w14:val="tx1"/>
                  </w14:solidFill>
                </w14:textFill>
              </w:rPr>
              <w:t>A</w:t>
            </w:r>
            <w:r>
              <w:rPr>
                <w:rFonts w:hint="default"/>
                <w:color w:val="000000" w:themeColor="text1"/>
                <w:sz w:val="21"/>
                <w:szCs w:val="21"/>
                <w:highlight w:val="none"/>
                <w:lang w:val="en-US" w:eastAsia="zh-CN"/>
                <w14:textFill>
                  <w14:solidFill>
                    <w14:schemeClr w14:val="tx1"/>
                  </w14:solidFill>
                </w14:textFill>
              </w:rPr>
              <w:t>(r</w:t>
            </w:r>
            <w:r>
              <w:rPr>
                <w:rFonts w:hint="default"/>
                <w:color w:val="000000" w:themeColor="text1"/>
                <w:sz w:val="21"/>
                <w:szCs w:val="21"/>
                <w:highlight w:val="none"/>
                <w:vertAlign w:val="subscript"/>
                <w:lang w:val="en-US" w:eastAsia="zh-CN"/>
                <w14:textFill>
                  <w14:solidFill>
                    <w14:schemeClr w14:val="tx1"/>
                  </w14:solidFill>
                </w14:textFill>
              </w:rPr>
              <w:t>0</w:t>
            </w:r>
            <w:r>
              <w:rPr>
                <w:rFonts w:hint="default"/>
                <w:color w:val="000000" w:themeColor="text1"/>
                <w:sz w:val="21"/>
                <w:szCs w:val="21"/>
                <w:highlight w:val="none"/>
                <w:lang w:val="en-US" w:eastAsia="zh-CN"/>
                <w14:textFill>
                  <w14:solidFill>
                    <w14:schemeClr w14:val="tx1"/>
                  </w14:solidFill>
                </w14:textFill>
              </w:rPr>
              <w:t>)-A</w:t>
            </w:r>
            <w:r>
              <w:rPr>
                <w:rFonts w:hint="default"/>
                <w:color w:val="000000" w:themeColor="text1"/>
                <w:sz w:val="21"/>
                <w:szCs w:val="21"/>
                <w:highlight w:val="none"/>
                <w:vertAlign w:val="subscript"/>
                <w:lang w:val="en-US" w:eastAsia="zh-CN"/>
                <w14:textFill>
                  <w14:solidFill>
                    <w14:schemeClr w14:val="tx1"/>
                  </w14:solidFill>
                </w14:textFill>
              </w:rPr>
              <w:t>div</w:t>
            </w:r>
          </w:p>
          <w:p w14:paraId="42252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式中：L</w:t>
            </w:r>
            <w:r>
              <w:rPr>
                <w:rFonts w:hint="default"/>
                <w:color w:val="000000" w:themeColor="text1"/>
                <w:sz w:val="21"/>
                <w:szCs w:val="21"/>
                <w:highlight w:val="none"/>
                <w:vertAlign w:val="subscript"/>
                <w:lang w:val="en-US" w:eastAsia="zh-CN"/>
                <w14:textFill>
                  <w14:solidFill>
                    <w14:schemeClr w14:val="tx1"/>
                  </w14:solidFill>
                </w14:textFill>
              </w:rPr>
              <w:t>A</w:t>
            </w:r>
            <w:r>
              <w:rPr>
                <w:rFonts w:hint="default"/>
                <w:color w:val="000000" w:themeColor="text1"/>
                <w:sz w:val="21"/>
                <w:szCs w:val="21"/>
                <w:highlight w:val="none"/>
                <w:lang w:val="en-US" w:eastAsia="zh-CN"/>
                <w14:textFill>
                  <w14:solidFill>
                    <w14:schemeClr w14:val="tx1"/>
                  </w14:solidFill>
                </w14:textFill>
              </w:rPr>
              <w:t>(r)——距声源r处的A声级，dB(A)；</w:t>
            </w:r>
          </w:p>
          <w:p w14:paraId="79D14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L</w:t>
            </w:r>
            <w:r>
              <w:rPr>
                <w:rFonts w:hint="default"/>
                <w:color w:val="000000" w:themeColor="text1"/>
                <w:sz w:val="21"/>
                <w:szCs w:val="21"/>
                <w:highlight w:val="none"/>
                <w:vertAlign w:val="subscript"/>
                <w:lang w:val="en-US" w:eastAsia="zh-CN"/>
                <w14:textFill>
                  <w14:solidFill>
                    <w14:schemeClr w14:val="tx1"/>
                  </w14:solidFill>
                </w14:textFill>
              </w:rPr>
              <w:t>A</w:t>
            </w:r>
            <w:r>
              <w:rPr>
                <w:rFonts w:hint="default"/>
                <w:color w:val="000000" w:themeColor="text1"/>
                <w:sz w:val="21"/>
                <w:szCs w:val="21"/>
                <w:highlight w:val="none"/>
                <w:lang w:val="en-US" w:eastAsia="zh-CN"/>
                <w14:textFill>
                  <w14:solidFill>
                    <w14:schemeClr w14:val="tx1"/>
                  </w14:solidFill>
                </w14:textFill>
              </w:rPr>
              <w:t>(r</w:t>
            </w:r>
            <w:r>
              <w:rPr>
                <w:rFonts w:hint="default"/>
                <w:color w:val="000000" w:themeColor="text1"/>
                <w:sz w:val="21"/>
                <w:szCs w:val="21"/>
                <w:highlight w:val="none"/>
                <w:vertAlign w:val="subscript"/>
                <w:lang w:val="en-US" w:eastAsia="zh-CN"/>
                <w14:textFill>
                  <w14:solidFill>
                    <w14:schemeClr w14:val="tx1"/>
                  </w14:solidFill>
                </w14:textFill>
              </w:rPr>
              <w:t>0</w:t>
            </w:r>
            <w:r>
              <w:rPr>
                <w:rFonts w:hint="default"/>
                <w:color w:val="000000" w:themeColor="text1"/>
                <w:sz w:val="21"/>
                <w:szCs w:val="21"/>
                <w:highlight w:val="none"/>
                <w:lang w:val="en-US" w:eastAsia="zh-CN"/>
                <w14:textFill>
                  <w14:solidFill>
                    <w14:schemeClr w14:val="tx1"/>
                  </w14:solidFill>
                </w14:textFill>
              </w:rPr>
              <w:t>)——参考位置r0处的A声级，dB(A)；</w:t>
            </w:r>
          </w:p>
          <w:p w14:paraId="45C144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A</w:t>
            </w:r>
            <w:r>
              <w:rPr>
                <w:rFonts w:hint="default"/>
                <w:color w:val="000000" w:themeColor="text1"/>
                <w:sz w:val="21"/>
                <w:szCs w:val="21"/>
                <w:highlight w:val="none"/>
                <w:vertAlign w:val="subscript"/>
                <w:lang w:val="en-US" w:eastAsia="zh-CN"/>
                <w14:textFill>
                  <w14:solidFill>
                    <w14:schemeClr w14:val="tx1"/>
                  </w14:solidFill>
                </w14:textFill>
              </w:rPr>
              <w:t>div</w:t>
            </w:r>
            <w:r>
              <w:rPr>
                <w:rFonts w:hint="default"/>
                <w:color w:val="000000" w:themeColor="text1"/>
                <w:sz w:val="21"/>
                <w:szCs w:val="21"/>
                <w:highlight w:val="none"/>
                <w:lang w:val="en-US" w:eastAsia="zh-CN"/>
                <w14:textFill>
                  <w14:solidFill>
                    <w14:schemeClr w14:val="tx1"/>
                  </w14:solidFill>
                </w14:textFill>
              </w:rPr>
              <w:t>——几何发散引起的衰减，dB。</w:t>
            </w:r>
          </w:p>
          <w:p w14:paraId="24267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预测结果见表4-</w:t>
            </w:r>
            <w:r>
              <w:rPr>
                <w:rFonts w:hint="eastAsia"/>
                <w:color w:val="000000" w:themeColor="text1"/>
                <w:sz w:val="21"/>
                <w:szCs w:val="21"/>
                <w:highlight w:val="none"/>
                <w:lang w:val="en-US" w:eastAsia="zh-CN"/>
                <w14:textFill>
                  <w14:solidFill>
                    <w14:schemeClr w14:val="tx1"/>
                  </w14:solidFill>
                </w14:textFill>
              </w:rPr>
              <w:t>7</w:t>
            </w:r>
            <w:r>
              <w:rPr>
                <w:rFonts w:hint="default"/>
                <w:color w:val="000000" w:themeColor="text1"/>
                <w:sz w:val="21"/>
                <w:szCs w:val="21"/>
                <w:highlight w:val="none"/>
                <w14:textFill>
                  <w14:solidFill>
                    <w14:schemeClr w14:val="tx1"/>
                  </w14:solidFill>
                </w14:textFill>
              </w:rPr>
              <w:t>、表4-</w:t>
            </w:r>
            <w:r>
              <w:rPr>
                <w:rFonts w:hint="eastAsia"/>
                <w:color w:val="000000" w:themeColor="text1"/>
                <w:sz w:val="21"/>
                <w:szCs w:val="21"/>
                <w:highlight w:val="none"/>
                <w:lang w:val="en-US" w:eastAsia="zh-CN"/>
                <w14:textFill>
                  <w14:solidFill>
                    <w14:schemeClr w14:val="tx1"/>
                  </w14:solidFill>
                </w14:textFill>
              </w:rPr>
              <w:t>8</w:t>
            </w:r>
            <w:r>
              <w:rPr>
                <w:rFonts w:hint="default"/>
                <w:color w:val="000000" w:themeColor="text1"/>
                <w:sz w:val="21"/>
                <w:szCs w:val="21"/>
                <w:highlight w:val="none"/>
                <w14:textFill>
                  <w14:solidFill>
                    <w14:schemeClr w14:val="tx1"/>
                  </w14:solidFill>
                </w14:textFill>
              </w:rPr>
              <w:t>。</w:t>
            </w:r>
          </w:p>
          <w:p w14:paraId="3F8EDA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表4-</w:t>
            </w:r>
            <w:r>
              <w:rPr>
                <w:rFonts w:hint="eastAsia"/>
                <w:b/>
                <w:bCs/>
                <w:color w:val="000000" w:themeColor="text1"/>
                <w:sz w:val="21"/>
                <w:szCs w:val="21"/>
                <w:highlight w:val="none"/>
                <w:lang w:val="en-US" w:eastAsia="zh-CN"/>
                <w14:textFill>
                  <w14:solidFill>
                    <w14:schemeClr w14:val="tx1"/>
                  </w14:solidFill>
                </w14:textFill>
              </w:rPr>
              <w:t>7</w:t>
            </w:r>
            <w:r>
              <w:rPr>
                <w:rFonts w:hint="default"/>
                <w:b/>
                <w:bCs/>
                <w:color w:val="000000" w:themeColor="text1"/>
                <w:sz w:val="21"/>
                <w:szCs w:val="21"/>
                <w:highlight w:val="none"/>
                <w14:textFill>
                  <w14:solidFill>
                    <w14:schemeClr w14:val="tx1"/>
                  </w14:solidFill>
                </w14:textFill>
              </w:rPr>
              <w:t xml:space="preserve">  厂界声环境影响预测结果     单位：dB(A)</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742"/>
              <w:gridCol w:w="1190"/>
              <w:gridCol w:w="1192"/>
              <w:gridCol w:w="1098"/>
              <w:gridCol w:w="1094"/>
            </w:tblGrid>
            <w:tr w14:paraId="2A0F8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Merge w:val="restart"/>
                  <w:vAlign w:val="center"/>
                </w:tcPr>
                <w:p w14:paraId="57D0F779">
                  <w:pPr>
                    <w:pStyle w:val="90"/>
                    <w:keepNext w:val="0"/>
                    <w:keepLines w:val="0"/>
                    <w:suppressLineNumbers w:val="0"/>
                    <w:spacing w:before="0" w:beforeAutospacing="0" w:after="0" w:afterAutospacing="0"/>
                    <w:ind w:left="0" w:leftChars="0" w:right="0" w:firstLine="0" w:firstLine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编号</w:t>
                  </w:r>
                </w:p>
              </w:tc>
              <w:tc>
                <w:tcPr>
                  <w:tcW w:w="2742" w:type="dxa"/>
                  <w:vMerge w:val="restart"/>
                  <w:vAlign w:val="center"/>
                </w:tcPr>
                <w:p w14:paraId="72EFD5A7">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预测点</w:t>
                  </w:r>
                </w:p>
              </w:tc>
              <w:tc>
                <w:tcPr>
                  <w:tcW w:w="2382" w:type="dxa"/>
                  <w:gridSpan w:val="2"/>
                  <w:vAlign w:val="center"/>
                </w:tcPr>
                <w:p w14:paraId="39D7A2C9">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贡献值</w:t>
                  </w:r>
                </w:p>
              </w:tc>
              <w:tc>
                <w:tcPr>
                  <w:tcW w:w="2192" w:type="dxa"/>
                  <w:gridSpan w:val="2"/>
                  <w:vAlign w:val="center"/>
                </w:tcPr>
                <w:p w14:paraId="29E0A7BB">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标准</w:t>
                  </w:r>
                </w:p>
              </w:tc>
            </w:tr>
            <w:tr w14:paraId="4DA8B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Merge w:val="continue"/>
                  <w:vAlign w:val="center"/>
                </w:tcPr>
                <w:p w14:paraId="1809E3FE">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p>
              </w:tc>
              <w:tc>
                <w:tcPr>
                  <w:tcW w:w="2742" w:type="dxa"/>
                  <w:vMerge w:val="continue"/>
                  <w:vAlign w:val="center"/>
                </w:tcPr>
                <w:p w14:paraId="24D8C58C">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p>
              </w:tc>
              <w:tc>
                <w:tcPr>
                  <w:tcW w:w="1190" w:type="dxa"/>
                  <w:vAlign w:val="center"/>
                </w:tcPr>
                <w:p w14:paraId="10F65FF0">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1192" w:type="dxa"/>
                  <w:vAlign w:val="center"/>
                </w:tcPr>
                <w:p w14:paraId="49C4F2C0">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c>
                <w:tcPr>
                  <w:tcW w:w="1098" w:type="dxa"/>
                  <w:vAlign w:val="center"/>
                </w:tcPr>
                <w:p w14:paraId="53AFCABD">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1094" w:type="dxa"/>
                  <w:vAlign w:val="center"/>
                </w:tcPr>
                <w:p w14:paraId="16C072EF">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r>
            <w:tr w14:paraId="7C6FE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4F6F659A">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1</w:t>
                  </w:r>
                </w:p>
              </w:tc>
              <w:tc>
                <w:tcPr>
                  <w:tcW w:w="2742" w:type="dxa"/>
                  <w:vAlign w:val="center"/>
                </w:tcPr>
                <w:p w14:paraId="0D1962F4">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东侧厂界外1m</w:t>
                  </w:r>
                </w:p>
              </w:tc>
              <w:tc>
                <w:tcPr>
                  <w:tcW w:w="1190" w:type="dxa"/>
                  <w:vAlign w:val="center"/>
                </w:tcPr>
                <w:p w14:paraId="3DCE7CBE">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eastAsia="zh-CN"/>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39.2</w:t>
                  </w:r>
                </w:p>
              </w:tc>
              <w:tc>
                <w:tcPr>
                  <w:tcW w:w="1192" w:type="dxa"/>
                  <w:vAlign w:val="center"/>
                </w:tcPr>
                <w:p w14:paraId="4522204F">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39.2</w:t>
                  </w:r>
                </w:p>
              </w:tc>
              <w:tc>
                <w:tcPr>
                  <w:tcW w:w="1098" w:type="dxa"/>
                  <w:vAlign w:val="center"/>
                </w:tcPr>
                <w:p w14:paraId="74A07F66">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60</w:t>
                  </w:r>
                </w:p>
              </w:tc>
              <w:tc>
                <w:tcPr>
                  <w:tcW w:w="1094" w:type="dxa"/>
                  <w:vAlign w:val="center"/>
                </w:tcPr>
                <w:p w14:paraId="004224E2">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50</w:t>
                  </w:r>
                </w:p>
              </w:tc>
            </w:tr>
            <w:tr w14:paraId="5BD62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2C946503">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2</w:t>
                  </w:r>
                </w:p>
              </w:tc>
              <w:tc>
                <w:tcPr>
                  <w:tcW w:w="2742" w:type="dxa"/>
                  <w:vAlign w:val="center"/>
                </w:tcPr>
                <w:p w14:paraId="747321CA">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南侧厂界外1m</w:t>
                  </w:r>
                </w:p>
              </w:tc>
              <w:tc>
                <w:tcPr>
                  <w:tcW w:w="1190" w:type="dxa"/>
                  <w:vAlign w:val="center"/>
                </w:tcPr>
                <w:p w14:paraId="03BE3BAF">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eastAsia="zh-CN"/>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35.6</w:t>
                  </w:r>
                </w:p>
              </w:tc>
              <w:tc>
                <w:tcPr>
                  <w:tcW w:w="1192" w:type="dxa"/>
                  <w:vAlign w:val="center"/>
                </w:tcPr>
                <w:p w14:paraId="5A438723">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35.6</w:t>
                  </w:r>
                </w:p>
              </w:tc>
              <w:tc>
                <w:tcPr>
                  <w:tcW w:w="1098" w:type="dxa"/>
                  <w:vAlign w:val="center"/>
                </w:tcPr>
                <w:p w14:paraId="68E6C757">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60</w:t>
                  </w:r>
                </w:p>
              </w:tc>
              <w:tc>
                <w:tcPr>
                  <w:tcW w:w="1094" w:type="dxa"/>
                  <w:vAlign w:val="center"/>
                </w:tcPr>
                <w:p w14:paraId="75B993C4">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50</w:t>
                  </w:r>
                </w:p>
              </w:tc>
            </w:tr>
            <w:tr w14:paraId="0C964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6A4B44A4">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3</w:t>
                  </w:r>
                </w:p>
              </w:tc>
              <w:tc>
                <w:tcPr>
                  <w:tcW w:w="2742" w:type="dxa"/>
                  <w:vAlign w:val="center"/>
                </w:tcPr>
                <w:p w14:paraId="495FA7EA">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西侧厂界外1m</w:t>
                  </w:r>
                </w:p>
              </w:tc>
              <w:tc>
                <w:tcPr>
                  <w:tcW w:w="1190" w:type="dxa"/>
                  <w:vAlign w:val="center"/>
                </w:tcPr>
                <w:p w14:paraId="6D368D10">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eastAsia="zh-CN"/>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37.3</w:t>
                  </w:r>
                </w:p>
              </w:tc>
              <w:tc>
                <w:tcPr>
                  <w:tcW w:w="1192" w:type="dxa"/>
                  <w:vAlign w:val="center"/>
                </w:tcPr>
                <w:p w14:paraId="4AAB45CD">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37.3</w:t>
                  </w:r>
                </w:p>
              </w:tc>
              <w:tc>
                <w:tcPr>
                  <w:tcW w:w="1098" w:type="dxa"/>
                  <w:vAlign w:val="center"/>
                </w:tcPr>
                <w:p w14:paraId="41B9DC62">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60</w:t>
                  </w:r>
                </w:p>
              </w:tc>
              <w:tc>
                <w:tcPr>
                  <w:tcW w:w="1094" w:type="dxa"/>
                  <w:vAlign w:val="center"/>
                </w:tcPr>
                <w:p w14:paraId="4D4A01C6">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50</w:t>
                  </w:r>
                </w:p>
              </w:tc>
            </w:tr>
            <w:tr w14:paraId="38511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8" w:type="dxa"/>
                  <w:vAlign w:val="center"/>
                </w:tcPr>
                <w:p w14:paraId="599A5768">
                  <w:pPr>
                    <w:pStyle w:val="90"/>
                    <w:keepNext w:val="0"/>
                    <w:keepLines w:val="0"/>
                    <w:suppressLineNumbers w:val="0"/>
                    <w:spacing w:before="0" w:beforeAutospacing="0" w:after="0" w:afterAutospacing="0"/>
                    <w:ind w:left="0" w:right="0" w:firstLine="360" w:firstLineChars="20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4</w:t>
                  </w:r>
                </w:p>
              </w:tc>
              <w:tc>
                <w:tcPr>
                  <w:tcW w:w="2742" w:type="dxa"/>
                  <w:vAlign w:val="center"/>
                </w:tcPr>
                <w:p w14:paraId="08C0A19F">
                  <w:pPr>
                    <w:pStyle w:val="146"/>
                    <w:keepNext w:val="0"/>
                    <w:keepLines w:val="0"/>
                    <w:suppressLineNumbers w:val="0"/>
                    <w:spacing w:before="0" w:beforeAutospacing="0" w:after="0" w:afterAutospacing="0"/>
                    <w:ind w:left="0" w:right="0"/>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北侧厂界外1m</w:t>
                  </w:r>
                </w:p>
              </w:tc>
              <w:tc>
                <w:tcPr>
                  <w:tcW w:w="1190" w:type="dxa"/>
                  <w:vAlign w:val="center"/>
                </w:tcPr>
                <w:p w14:paraId="0B9A4784">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eastAsia="zh-CN"/>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37.3</w:t>
                  </w:r>
                </w:p>
              </w:tc>
              <w:tc>
                <w:tcPr>
                  <w:tcW w:w="1192" w:type="dxa"/>
                  <w:vAlign w:val="center"/>
                </w:tcPr>
                <w:p w14:paraId="6C682803">
                  <w:pPr>
                    <w:keepNext w:val="0"/>
                    <w:keepLines w:val="0"/>
                    <w:widowControl/>
                    <w:suppressLineNumbers w:val="0"/>
                    <w:spacing w:before="0" w:beforeAutospacing="0" w:after="0" w:afterAutospacing="0"/>
                    <w:ind w:left="0" w:right="0"/>
                    <w:jc w:val="center"/>
                    <w:textAlignment w:val="center"/>
                    <w:rPr>
                      <w:rFonts w:hint="default"/>
                      <w:color w:val="000000" w:themeColor="text1"/>
                      <w:sz w:val="18"/>
                      <w:szCs w:val="18"/>
                      <w:highlight w:val="none"/>
                      <w:lang w:val="en-US"/>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37.3</w:t>
                  </w:r>
                </w:p>
              </w:tc>
              <w:tc>
                <w:tcPr>
                  <w:tcW w:w="1098" w:type="dxa"/>
                  <w:vAlign w:val="center"/>
                </w:tcPr>
                <w:p w14:paraId="1B7B71FB">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60</w:t>
                  </w:r>
                </w:p>
              </w:tc>
              <w:tc>
                <w:tcPr>
                  <w:tcW w:w="1094" w:type="dxa"/>
                  <w:vAlign w:val="center"/>
                </w:tcPr>
                <w:p w14:paraId="5EC2751F">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50</w:t>
                  </w:r>
                </w:p>
              </w:tc>
            </w:tr>
          </w:tbl>
          <w:p w14:paraId="478691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表4-</w:t>
            </w:r>
            <w:r>
              <w:rPr>
                <w:rFonts w:hint="eastAsia"/>
                <w:b/>
                <w:bCs/>
                <w:color w:val="000000" w:themeColor="text1"/>
                <w:sz w:val="21"/>
                <w:szCs w:val="21"/>
                <w:highlight w:val="none"/>
                <w:lang w:val="en-US" w:eastAsia="zh-CN"/>
                <w14:textFill>
                  <w14:solidFill>
                    <w14:schemeClr w14:val="tx1"/>
                  </w14:solidFill>
                </w14:textFill>
              </w:rPr>
              <w:t>8</w:t>
            </w:r>
            <w:r>
              <w:rPr>
                <w:rFonts w:hint="default"/>
                <w:b/>
                <w:bCs/>
                <w:color w:val="000000" w:themeColor="text1"/>
                <w:sz w:val="21"/>
                <w:szCs w:val="21"/>
                <w:highlight w:val="none"/>
                <w14:textFill>
                  <w14:solidFill>
                    <w14:schemeClr w14:val="tx1"/>
                  </w14:solidFill>
                </w14:textFill>
              </w:rPr>
              <w:t xml:space="preserve">  声环境保护目标声环境影响预测结果     单位：dB(A)</w:t>
            </w:r>
          </w:p>
          <w:tbl>
            <w:tblPr>
              <w:tblStyle w:val="33"/>
              <w:tblW w:w="806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261"/>
              <w:gridCol w:w="646"/>
              <w:gridCol w:w="646"/>
              <w:gridCol w:w="646"/>
              <w:gridCol w:w="646"/>
              <w:gridCol w:w="646"/>
              <w:gridCol w:w="646"/>
              <w:gridCol w:w="646"/>
              <w:gridCol w:w="647"/>
            </w:tblGrid>
            <w:tr w14:paraId="6595D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32" w:hRule="atLeast"/>
              </w:trPr>
              <w:tc>
                <w:tcPr>
                  <w:tcW w:w="636" w:type="dxa"/>
                  <w:vMerge w:val="restart"/>
                  <w:tcBorders>
                    <w:tl2br w:val="nil"/>
                    <w:tr2bl w:val="nil"/>
                  </w:tcBorders>
                  <w:vAlign w:val="center"/>
                </w:tcPr>
                <w:p w14:paraId="659CC8D4">
                  <w:pPr>
                    <w:pStyle w:val="90"/>
                    <w:keepNext w:val="0"/>
                    <w:keepLines w:val="0"/>
                    <w:suppressLineNumbers w:val="0"/>
                    <w:spacing w:before="0" w:beforeAutospacing="0" w:after="0" w:afterAutospacing="0"/>
                    <w:ind w:left="0" w:leftChars="0" w:right="0" w:firstLine="0" w:firstLine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编号</w:t>
                  </w:r>
                </w:p>
              </w:tc>
              <w:tc>
                <w:tcPr>
                  <w:tcW w:w="2261" w:type="dxa"/>
                  <w:vMerge w:val="restart"/>
                  <w:tcBorders>
                    <w:tl2br w:val="nil"/>
                    <w:tr2bl w:val="nil"/>
                  </w:tcBorders>
                  <w:vAlign w:val="center"/>
                </w:tcPr>
                <w:p w14:paraId="1D224585">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预测点</w:t>
                  </w:r>
                </w:p>
              </w:tc>
              <w:tc>
                <w:tcPr>
                  <w:tcW w:w="1292" w:type="dxa"/>
                  <w:gridSpan w:val="2"/>
                  <w:tcBorders>
                    <w:tl2br w:val="nil"/>
                    <w:tr2bl w:val="nil"/>
                  </w:tcBorders>
                  <w:vAlign w:val="center"/>
                </w:tcPr>
                <w:p w14:paraId="76B45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Style w:val="161"/>
                      <w:color w:val="000000" w:themeColor="text1"/>
                      <w:sz w:val="18"/>
                      <w:szCs w:val="18"/>
                      <w:highlight w:val="none"/>
                      <w14:textFill>
                        <w14:solidFill>
                          <w14:schemeClr w14:val="tx1"/>
                        </w14:solidFill>
                      </w14:textFill>
                    </w:rPr>
                    <w:t>贡献值</w:t>
                  </w:r>
                </w:p>
              </w:tc>
              <w:tc>
                <w:tcPr>
                  <w:tcW w:w="1292" w:type="dxa"/>
                  <w:gridSpan w:val="2"/>
                  <w:tcBorders>
                    <w:tl2br w:val="nil"/>
                    <w:tr2bl w:val="nil"/>
                  </w:tcBorders>
                  <w:vAlign w:val="center"/>
                </w:tcPr>
                <w:p w14:paraId="4423554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背景值</w:t>
                  </w:r>
                </w:p>
              </w:tc>
              <w:tc>
                <w:tcPr>
                  <w:tcW w:w="1292" w:type="dxa"/>
                  <w:gridSpan w:val="2"/>
                  <w:tcBorders>
                    <w:tl2br w:val="nil"/>
                    <w:tr2bl w:val="nil"/>
                  </w:tcBorders>
                  <w:vAlign w:val="center"/>
                </w:tcPr>
                <w:p w14:paraId="4D7E7A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t>预测值</w:t>
                  </w:r>
                </w:p>
              </w:tc>
              <w:tc>
                <w:tcPr>
                  <w:tcW w:w="1293" w:type="dxa"/>
                  <w:gridSpan w:val="2"/>
                  <w:tcBorders>
                    <w:tl2br w:val="nil"/>
                    <w:tr2bl w:val="nil"/>
                  </w:tcBorders>
                  <w:vAlign w:val="center"/>
                </w:tcPr>
                <w:p w14:paraId="00BF09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Style w:val="161"/>
                      <w:color w:val="000000" w:themeColor="text1"/>
                      <w:sz w:val="18"/>
                      <w:szCs w:val="18"/>
                      <w:highlight w:val="none"/>
                      <w14:textFill>
                        <w14:solidFill>
                          <w14:schemeClr w14:val="tx1"/>
                        </w14:solidFill>
                      </w14:textFill>
                    </w:rPr>
                    <w:t>标准</w:t>
                  </w:r>
                </w:p>
              </w:tc>
            </w:tr>
            <w:tr w14:paraId="5835E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36" w:type="dxa"/>
                  <w:vMerge w:val="continue"/>
                  <w:tcBorders>
                    <w:tl2br w:val="nil"/>
                    <w:tr2bl w:val="nil"/>
                  </w:tcBorders>
                  <w:vAlign w:val="center"/>
                </w:tcPr>
                <w:p w14:paraId="4DBCA86F">
                  <w:pPr>
                    <w:keepNext w:val="0"/>
                    <w:keepLines w:val="0"/>
                    <w:widowControl/>
                    <w:suppressLineNumbers w:val="0"/>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p>
              </w:tc>
              <w:tc>
                <w:tcPr>
                  <w:tcW w:w="2261" w:type="dxa"/>
                  <w:vMerge w:val="continue"/>
                  <w:tcBorders>
                    <w:tl2br w:val="nil"/>
                    <w:tr2bl w:val="nil"/>
                  </w:tcBorders>
                  <w:vAlign w:val="center"/>
                </w:tcPr>
                <w:p w14:paraId="169AEF8A">
                  <w:pPr>
                    <w:keepNext w:val="0"/>
                    <w:keepLines w:val="0"/>
                    <w:widowControl/>
                    <w:suppressLineNumbers w:val="0"/>
                    <w:spacing w:before="0" w:beforeAutospacing="0" w:after="0" w:afterAutospacing="0"/>
                    <w:ind w:left="0" w:right="0"/>
                    <w:jc w:val="center"/>
                    <w:textAlignment w:val="center"/>
                    <w:rPr>
                      <w:rFonts w:hint="default"/>
                      <w:color w:val="000000" w:themeColor="text1"/>
                      <w:highlight w:val="none"/>
                      <w14:textFill>
                        <w14:solidFill>
                          <w14:schemeClr w14:val="tx1"/>
                        </w14:solidFill>
                      </w14:textFill>
                    </w:rPr>
                  </w:pPr>
                </w:p>
              </w:tc>
              <w:tc>
                <w:tcPr>
                  <w:tcW w:w="646" w:type="dxa"/>
                  <w:tcBorders>
                    <w:tl2br w:val="nil"/>
                    <w:tr2bl w:val="nil"/>
                  </w:tcBorders>
                  <w:vAlign w:val="center"/>
                </w:tcPr>
                <w:p w14:paraId="0ADD76E8">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646" w:type="dxa"/>
                  <w:tcBorders>
                    <w:tl2br w:val="nil"/>
                    <w:tr2bl w:val="nil"/>
                  </w:tcBorders>
                  <w:vAlign w:val="center"/>
                </w:tcPr>
                <w:p w14:paraId="625F1A58">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c>
                <w:tcPr>
                  <w:tcW w:w="646" w:type="dxa"/>
                  <w:tcBorders>
                    <w:tl2br w:val="nil"/>
                    <w:tr2bl w:val="nil"/>
                  </w:tcBorders>
                  <w:vAlign w:val="center"/>
                </w:tcPr>
                <w:p w14:paraId="17A51C7E">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646" w:type="dxa"/>
                  <w:tcBorders>
                    <w:tl2br w:val="nil"/>
                    <w:tr2bl w:val="nil"/>
                  </w:tcBorders>
                  <w:vAlign w:val="center"/>
                </w:tcPr>
                <w:p w14:paraId="32C33EE7">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c>
                <w:tcPr>
                  <w:tcW w:w="646" w:type="dxa"/>
                  <w:tcBorders>
                    <w:tl2br w:val="nil"/>
                    <w:tr2bl w:val="nil"/>
                  </w:tcBorders>
                  <w:vAlign w:val="center"/>
                </w:tcPr>
                <w:p w14:paraId="074AC49A">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646" w:type="dxa"/>
                  <w:tcBorders>
                    <w:tl2br w:val="nil"/>
                    <w:tr2bl w:val="nil"/>
                  </w:tcBorders>
                  <w:vAlign w:val="center"/>
                </w:tcPr>
                <w:p w14:paraId="463F3175">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c>
                <w:tcPr>
                  <w:tcW w:w="646" w:type="dxa"/>
                  <w:tcBorders>
                    <w:tl2br w:val="nil"/>
                    <w:tr2bl w:val="nil"/>
                  </w:tcBorders>
                  <w:vAlign w:val="center"/>
                </w:tcPr>
                <w:p w14:paraId="321AB58B">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昼间</w:t>
                  </w:r>
                </w:p>
              </w:tc>
              <w:tc>
                <w:tcPr>
                  <w:tcW w:w="647" w:type="dxa"/>
                  <w:tcBorders>
                    <w:tl2br w:val="nil"/>
                    <w:tr2bl w:val="nil"/>
                  </w:tcBorders>
                  <w:vAlign w:val="center"/>
                </w:tcPr>
                <w:p w14:paraId="4F2C7970">
                  <w:pPr>
                    <w:pStyle w:val="90"/>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Style w:val="161"/>
                      <w:color w:val="000000" w:themeColor="text1"/>
                      <w:sz w:val="18"/>
                      <w:szCs w:val="18"/>
                      <w:highlight w:val="none"/>
                      <w14:textFill>
                        <w14:solidFill>
                          <w14:schemeClr w14:val="tx1"/>
                        </w14:solidFill>
                      </w14:textFill>
                    </w:rPr>
                    <w:t>夜间</w:t>
                  </w:r>
                </w:p>
              </w:tc>
            </w:tr>
            <w:tr w14:paraId="2572D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tcBorders>
                    <w:tl2br w:val="nil"/>
                    <w:tr2bl w:val="nil"/>
                  </w:tcBorders>
                  <w:vAlign w:val="center"/>
                </w:tcPr>
                <w:p w14:paraId="4F3AFB18">
                  <w:pPr>
                    <w:pStyle w:val="90"/>
                    <w:keepNext w:val="0"/>
                    <w:keepLines w:val="0"/>
                    <w:suppressLineNumbers w:val="0"/>
                    <w:spacing w:before="0" w:beforeAutospacing="0" w:after="0" w:afterAutospacing="0"/>
                    <w:ind w:left="0" w:leftChars="0" w:right="0" w:firstLine="0" w:firstLine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2261" w:type="dxa"/>
                  <w:tcBorders>
                    <w:tl2br w:val="nil"/>
                    <w:tr2bl w:val="nil"/>
                  </w:tcBorders>
                  <w:vAlign w:val="center"/>
                </w:tcPr>
                <w:p w14:paraId="6CFBAC05">
                  <w:pPr>
                    <w:keepNext w:val="0"/>
                    <w:keepLines w:val="0"/>
                    <w:suppressLineNumbers w:val="0"/>
                    <w:spacing w:before="0" w:beforeAutospacing="0" w:after="0" w:afterAutospacing="0"/>
                    <w:ind w:left="0" w:right="0"/>
                    <w:jc w:val="center"/>
                    <w:rPr>
                      <w:rFonts w:hint="default" w:eastAsia="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银东村委会</w:t>
                  </w:r>
                </w:p>
              </w:tc>
              <w:tc>
                <w:tcPr>
                  <w:tcW w:w="646" w:type="dxa"/>
                  <w:tcBorders>
                    <w:tl2br w:val="nil"/>
                    <w:tr2bl w:val="nil"/>
                  </w:tcBorders>
                  <w:vAlign w:val="center"/>
                </w:tcPr>
                <w:p w14:paraId="0E1A139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36.1</w:t>
                  </w:r>
                </w:p>
              </w:tc>
              <w:tc>
                <w:tcPr>
                  <w:tcW w:w="646" w:type="dxa"/>
                  <w:tcBorders>
                    <w:tl2br w:val="nil"/>
                    <w:tr2bl w:val="nil"/>
                  </w:tcBorders>
                  <w:vAlign w:val="center"/>
                </w:tcPr>
                <w:p w14:paraId="44582E1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36.1</w:t>
                  </w:r>
                </w:p>
              </w:tc>
              <w:tc>
                <w:tcPr>
                  <w:tcW w:w="646" w:type="dxa"/>
                  <w:tcBorders>
                    <w:tl2br w:val="nil"/>
                    <w:tr2bl w:val="nil"/>
                  </w:tcBorders>
                  <w:vAlign w:val="center"/>
                </w:tcPr>
                <w:p w14:paraId="2945A4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46.2</w:t>
                  </w:r>
                </w:p>
              </w:tc>
              <w:tc>
                <w:tcPr>
                  <w:tcW w:w="646" w:type="dxa"/>
                  <w:tcBorders>
                    <w:tl2br w:val="nil"/>
                    <w:tr2bl w:val="nil"/>
                  </w:tcBorders>
                  <w:vAlign w:val="center"/>
                </w:tcPr>
                <w:p w14:paraId="4F1C38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39.4</w:t>
                  </w:r>
                </w:p>
              </w:tc>
              <w:tc>
                <w:tcPr>
                  <w:tcW w:w="646" w:type="dxa"/>
                  <w:tcBorders>
                    <w:tl2br w:val="nil"/>
                    <w:tr2bl w:val="nil"/>
                  </w:tcBorders>
                  <w:vAlign w:val="center"/>
                </w:tcPr>
                <w:p w14:paraId="296F9C7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46.6</w:t>
                  </w:r>
                </w:p>
              </w:tc>
              <w:tc>
                <w:tcPr>
                  <w:tcW w:w="646" w:type="dxa"/>
                  <w:tcBorders>
                    <w:tl2br w:val="nil"/>
                    <w:tr2bl w:val="nil"/>
                  </w:tcBorders>
                  <w:vAlign w:val="center"/>
                </w:tcPr>
                <w:p w14:paraId="01462C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41.1</w:t>
                  </w:r>
                </w:p>
              </w:tc>
              <w:tc>
                <w:tcPr>
                  <w:tcW w:w="646" w:type="dxa"/>
                  <w:tcBorders>
                    <w:tl2br w:val="nil"/>
                    <w:tr2bl w:val="nil"/>
                  </w:tcBorders>
                  <w:vAlign w:val="center"/>
                </w:tcPr>
                <w:p w14:paraId="649037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60</w:t>
                  </w:r>
                </w:p>
              </w:tc>
              <w:tc>
                <w:tcPr>
                  <w:tcW w:w="647" w:type="dxa"/>
                  <w:tcBorders>
                    <w:tl2br w:val="nil"/>
                    <w:tr2bl w:val="nil"/>
                  </w:tcBorders>
                  <w:vAlign w:val="center"/>
                </w:tcPr>
                <w:p w14:paraId="169CF4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50</w:t>
                  </w:r>
                </w:p>
              </w:tc>
            </w:tr>
            <w:tr w14:paraId="66261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36" w:type="dxa"/>
                  <w:tcBorders>
                    <w:tl2br w:val="nil"/>
                    <w:tr2bl w:val="nil"/>
                  </w:tcBorders>
                  <w:vAlign w:val="center"/>
                </w:tcPr>
                <w:p w14:paraId="3E700B2D">
                  <w:pPr>
                    <w:pStyle w:val="90"/>
                    <w:keepNext w:val="0"/>
                    <w:keepLines w:val="0"/>
                    <w:suppressLineNumbers w:val="0"/>
                    <w:spacing w:before="0" w:beforeAutospacing="0" w:after="0" w:afterAutospacing="0"/>
                    <w:ind w:left="0" w:leftChars="0" w:right="0" w:firstLine="0" w:firstLineChars="0"/>
                    <w:jc w:val="center"/>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2261" w:type="dxa"/>
                  <w:tcBorders>
                    <w:tl2br w:val="nil"/>
                    <w:tr2bl w:val="nil"/>
                  </w:tcBorders>
                  <w:vAlign w:val="center"/>
                </w:tcPr>
                <w:p w14:paraId="6CFEF5FE">
                  <w:pPr>
                    <w:keepNext w:val="0"/>
                    <w:keepLines w:val="0"/>
                    <w:suppressLineNumbers w:val="0"/>
                    <w:spacing w:before="0" w:beforeAutospacing="0" w:after="0" w:afterAutospacing="0"/>
                    <w:ind w:left="0" w:right="0"/>
                    <w:jc w:val="center"/>
                    <w:rPr>
                      <w:rFonts w:hint="eastAsia" w:eastAsia="宋体"/>
                      <w:color w:val="000000" w:themeColor="text1"/>
                      <w:sz w:val="18"/>
                      <w:szCs w:val="18"/>
                      <w:highlight w:val="none"/>
                      <w:lang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敬老中心楼</w:t>
                  </w:r>
                </w:p>
              </w:tc>
              <w:tc>
                <w:tcPr>
                  <w:tcW w:w="646" w:type="dxa"/>
                  <w:tcBorders>
                    <w:tl2br w:val="nil"/>
                    <w:tr2bl w:val="nil"/>
                  </w:tcBorders>
                  <w:vAlign w:val="center"/>
                </w:tcPr>
                <w:p w14:paraId="2EFCFB5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37.3</w:t>
                  </w:r>
                </w:p>
              </w:tc>
              <w:tc>
                <w:tcPr>
                  <w:tcW w:w="646" w:type="dxa"/>
                  <w:tcBorders>
                    <w:tl2br w:val="nil"/>
                    <w:tr2bl w:val="nil"/>
                  </w:tcBorders>
                  <w:vAlign w:val="center"/>
                </w:tcPr>
                <w:p w14:paraId="611F7D9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37.3</w:t>
                  </w:r>
                </w:p>
              </w:tc>
              <w:tc>
                <w:tcPr>
                  <w:tcW w:w="646" w:type="dxa"/>
                  <w:tcBorders>
                    <w:tl2br w:val="nil"/>
                    <w:tr2bl w:val="nil"/>
                  </w:tcBorders>
                  <w:vAlign w:val="center"/>
                </w:tcPr>
                <w:p w14:paraId="357248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42.5</w:t>
                  </w:r>
                </w:p>
              </w:tc>
              <w:tc>
                <w:tcPr>
                  <w:tcW w:w="646" w:type="dxa"/>
                  <w:tcBorders>
                    <w:tl2br w:val="nil"/>
                    <w:tr2bl w:val="nil"/>
                  </w:tcBorders>
                  <w:vAlign w:val="center"/>
                </w:tcPr>
                <w:p w14:paraId="405D73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40.6</w:t>
                  </w:r>
                </w:p>
              </w:tc>
              <w:tc>
                <w:tcPr>
                  <w:tcW w:w="646" w:type="dxa"/>
                  <w:tcBorders>
                    <w:tl2br w:val="nil"/>
                    <w:tr2bl w:val="nil"/>
                  </w:tcBorders>
                  <w:vAlign w:val="center"/>
                </w:tcPr>
                <w:p w14:paraId="1FE3895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43.6</w:t>
                  </w:r>
                </w:p>
              </w:tc>
              <w:tc>
                <w:tcPr>
                  <w:tcW w:w="646" w:type="dxa"/>
                  <w:tcBorders>
                    <w:tl2br w:val="nil"/>
                    <w:tr2bl w:val="nil"/>
                  </w:tcBorders>
                  <w:vAlign w:val="center"/>
                </w:tcPr>
                <w:p w14:paraId="42AB3F2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42.3</w:t>
                  </w:r>
                </w:p>
              </w:tc>
              <w:tc>
                <w:tcPr>
                  <w:tcW w:w="646" w:type="dxa"/>
                  <w:tcBorders>
                    <w:tl2br w:val="nil"/>
                    <w:tr2bl w:val="nil"/>
                  </w:tcBorders>
                  <w:vAlign w:val="center"/>
                </w:tcPr>
                <w:p w14:paraId="3D3016C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60</w:t>
                  </w:r>
                </w:p>
              </w:tc>
              <w:tc>
                <w:tcPr>
                  <w:tcW w:w="647" w:type="dxa"/>
                  <w:tcBorders>
                    <w:tl2br w:val="nil"/>
                    <w:tr2bl w:val="nil"/>
                  </w:tcBorders>
                  <w:vAlign w:val="center"/>
                </w:tcPr>
                <w:p w14:paraId="4D406B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18"/>
                      <w:szCs w:val="18"/>
                      <w:highlight w:val="none"/>
                      <w:u w:val="none"/>
                      <w:lang w:val="en-US" w:eastAsia="zh-CN" w:bidi="ar"/>
                      <w14:textFill>
                        <w14:solidFill>
                          <w14:schemeClr w14:val="tx1"/>
                        </w14:solidFill>
                      </w14:textFill>
                    </w:rPr>
                    <w:t>50</w:t>
                  </w:r>
                </w:p>
              </w:tc>
            </w:tr>
          </w:tbl>
          <w:p w14:paraId="053D0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由预测结果可以看出，本项目选用低噪声设备，通过采取减振、消声、隔声等措施后，本项目厂界噪声贡献值满足《工业企业厂界环境噪声排放标准》（GB12348-2008）中的2类标准限值要求，周围敏感点满足《声环境质量标准》(GB3096-2008)中2类标准要求，同时运营期落实好报告中提出的监测要求，发现超标及时采取降噪措施，保证厂界噪声达标排放，避免噪声扰民情况发生，项目建设对对周围声环境影响较小。</w:t>
            </w:r>
          </w:p>
          <w:p w14:paraId="152215B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（3）监测要求</w:t>
            </w:r>
          </w:p>
          <w:p w14:paraId="775A02F0">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根据《排污单位自行监测技术指南 总则》（HJ819-2017），本项目噪声监测计划如下：</w:t>
            </w:r>
          </w:p>
          <w:p w14:paraId="00C03632">
            <w:pPr>
              <w:keepNext w:val="0"/>
              <w:keepLines w:val="0"/>
              <w:suppressLineNumbers w:val="0"/>
              <w:spacing w:before="0" w:beforeAutospacing="0" w:after="0" w:afterAutospacing="0"/>
              <w:ind w:left="0" w:right="0"/>
              <w:jc w:val="center"/>
              <w:rPr>
                <w:rFonts w:hint="default"/>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表4</w:t>
            </w:r>
            <w:r>
              <w:rPr>
                <w:rFonts w:hint="eastAsia" w:cs="Times New Roman"/>
                <w:b/>
                <w:color w:val="000000" w:themeColor="text1"/>
                <w:szCs w:val="21"/>
                <w:highlight w:val="none"/>
                <w:lang w:val="en-US" w:eastAsia="zh-CN"/>
                <w14:textFill>
                  <w14:solidFill>
                    <w14:schemeClr w14:val="tx1"/>
                  </w14:solidFill>
                </w14:textFill>
              </w:rPr>
              <w:t xml:space="preserve">-9 </w:t>
            </w:r>
            <w:r>
              <w:rPr>
                <w:rFonts w:hint="eastAsia" w:hAnsi="宋体"/>
                <w:b/>
                <w:color w:val="000000" w:themeColor="text1"/>
                <w:szCs w:val="21"/>
                <w:highlight w:val="none"/>
                <w14:textFill>
                  <w14:solidFill>
                    <w14:schemeClr w14:val="tx1"/>
                  </w14:solidFill>
                </w14:textFill>
              </w:rPr>
              <w:t>项目噪声监测计划表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173"/>
              <w:gridCol w:w="1631"/>
              <w:gridCol w:w="2063"/>
              <w:gridCol w:w="2063"/>
            </w:tblGrid>
            <w:tr w14:paraId="6FA265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0" w:type="dxa"/>
                  <w:tcBorders>
                    <w:left w:val="nil"/>
                    <w:bottom w:val="single" w:color="auto" w:sz="4" w:space="0"/>
                    <w:right w:val="single" w:color="auto" w:sz="4" w:space="0"/>
                  </w:tcBorders>
                  <w:noWrap w:val="0"/>
                  <w:vAlign w:val="center"/>
                </w:tcPr>
                <w:p w14:paraId="7B2590BF">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类别</w:t>
                  </w:r>
                </w:p>
              </w:tc>
              <w:tc>
                <w:tcPr>
                  <w:tcW w:w="1557" w:type="dxa"/>
                  <w:tcBorders>
                    <w:left w:val="single" w:color="auto" w:sz="4" w:space="0"/>
                    <w:bottom w:val="single" w:color="auto" w:sz="4" w:space="0"/>
                    <w:right w:val="single" w:color="auto" w:sz="4" w:space="0"/>
                  </w:tcBorders>
                  <w:noWrap w:val="0"/>
                  <w:vAlign w:val="center"/>
                </w:tcPr>
                <w:p w14:paraId="0BB1A924">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监测点位</w:t>
                  </w:r>
                </w:p>
              </w:tc>
              <w:tc>
                <w:tcPr>
                  <w:tcW w:w="2200" w:type="dxa"/>
                  <w:tcBorders>
                    <w:left w:val="single" w:color="auto" w:sz="4" w:space="0"/>
                    <w:bottom w:val="single" w:color="auto" w:sz="4" w:space="0"/>
                    <w:right w:val="single" w:color="auto" w:sz="4" w:space="0"/>
                  </w:tcBorders>
                  <w:noWrap w:val="0"/>
                  <w:vAlign w:val="center"/>
                </w:tcPr>
                <w:p w14:paraId="3E0783B3">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监测项目</w:t>
                  </w:r>
                </w:p>
              </w:tc>
              <w:tc>
                <w:tcPr>
                  <w:tcW w:w="2807" w:type="dxa"/>
                  <w:tcBorders>
                    <w:left w:val="single" w:color="auto" w:sz="4" w:space="0"/>
                    <w:bottom w:val="single" w:color="auto" w:sz="4" w:space="0"/>
                    <w:right w:val="nil"/>
                  </w:tcBorders>
                  <w:noWrap w:val="0"/>
                  <w:vAlign w:val="center"/>
                </w:tcPr>
                <w:p w14:paraId="3CEC1535">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监测频次</w:t>
                  </w:r>
                </w:p>
              </w:tc>
              <w:tc>
                <w:tcPr>
                  <w:tcW w:w="2807" w:type="dxa"/>
                  <w:tcBorders>
                    <w:left w:val="single" w:color="auto" w:sz="4" w:space="0"/>
                    <w:bottom w:val="single" w:color="auto" w:sz="4" w:space="0"/>
                    <w:right w:val="nil"/>
                  </w:tcBorders>
                  <w:noWrap w:val="0"/>
                  <w:vAlign w:val="center"/>
                </w:tcPr>
                <w:p w14:paraId="38277E41">
                  <w:pPr>
                    <w:keepNext w:val="0"/>
                    <w:keepLines w:val="0"/>
                    <w:suppressLineNumbers w:val="0"/>
                    <w:spacing w:before="0" w:beforeAutospacing="0" w:after="0" w:afterAutospacing="0"/>
                    <w:ind w:left="0" w:right="0"/>
                    <w:jc w:val="center"/>
                    <w:rPr>
                      <w:rFonts w:hint="default" w:hAnsi="宋体" w:eastAsia="宋体"/>
                      <w:color w:val="000000" w:themeColor="text1"/>
                      <w:kern w:val="0"/>
                      <w:sz w:val="18"/>
                      <w:szCs w:val="18"/>
                      <w:highlight w:val="none"/>
                      <w:lang w:val="en-US" w:eastAsia="zh-CN"/>
                      <w14:textFill>
                        <w14:solidFill>
                          <w14:schemeClr w14:val="tx1"/>
                        </w14:solidFill>
                      </w14:textFill>
                    </w:rPr>
                  </w:pPr>
                  <w:r>
                    <w:rPr>
                      <w:rFonts w:hint="eastAsia" w:hAnsi="宋体"/>
                      <w:color w:val="000000" w:themeColor="text1"/>
                      <w:kern w:val="0"/>
                      <w:sz w:val="18"/>
                      <w:szCs w:val="18"/>
                      <w:highlight w:val="none"/>
                      <w:lang w:val="en-US" w:eastAsia="zh-CN"/>
                      <w14:textFill>
                        <w14:solidFill>
                          <w14:schemeClr w14:val="tx1"/>
                        </w14:solidFill>
                      </w14:textFill>
                    </w:rPr>
                    <w:t>监测时间</w:t>
                  </w:r>
                </w:p>
              </w:tc>
            </w:tr>
            <w:tr w14:paraId="01D5F2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0" w:type="dxa"/>
                  <w:tcBorders>
                    <w:top w:val="single" w:color="auto" w:sz="4" w:space="0"/>
                    <w:left w:val="nil"/>
                    <w:right w:val="single" w:color="auto" w:sz="4" w:space="0"/>
                  </w:tcBorders>
                  <w:noWrap w:val="0"/>
                  <w:vAlign w:val="center"/>
                </w:tcPr>
                <w:p w14:paraId="1916F6C7">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厂界噪声</w:t>
                  </w:r>
                </w:p>
              </w:tc>
              <w:tc>
                <w:tcPr>
                  <w:tcW w:w="1557" w:type="dxa"/>
                  <w:tcBorders>
                    <w:top w:val="single" w:color="auto" w:sz="4" w:space="0"/>
                    <w:left w:val="single" w:color="auto" w:sz="4" w:space="0"/>
                    <w:right w:val="single" w:color="auto" w:sz="4" w:space="0"/>
                  </w:tcBorders>
                  <w:noWrap w:val="0"/>
                  <w:vAlign w:val="center"/>
                </w:tcPr>
                <w:p w14:paraId="03779C77">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厂界四周</w:t>
                  </w:r>
                </w:p>
              </w:tc>
              <w:tc>
                <w:tcPr>
                  <w:tcW w:w="2200" w:type="dxa"/>
                  <w:tcBorders>
                    <w:top w:val="single" w:color="auto" w:sz="4" w:space="0"/>
                    <w:left w:val="single" w:color="auto" w:sz="4" w:space="0"/>
                    <w:right w:val="single" w:color="auto" w:sz="4" w:space="0"/>
                  </w:tcBorders>
                  <w:noWrap w:val="0"/>
                  <w:vAlign w:val="center"/>
                </w:tcPr>
                <w:p w14:paraId="32B0D83A">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eastAsia" w:hAnsi="宋体"/>
                      <w:color w:val="000000" w:themeColor="text1"/>
                      <w:kern w:val="0"/>
                      <w:sz w:val="18"/>
                      <w:szCs w:val="18"/>
                      <w:highlight w:val="none"/>
                      <w14:textFill>
                        <w14:solidFill>
                          <w14:schemeClr w14:val="tx1"/>
                        </w14:solidFill>
                      </w14:textFill>
                    </w:rPr>
                    <w:t>等效连续</w:t>
                  </w:r>
                  <w:r>
                    <w:rPr>
                      <w:rFonts w:hint="default" w:hAnsi="宋体"/>
                      <w:color w:val="000000" w:themeColor="text1"/>
                      <w:kern w:val="0"/>
                      <w:sz w:val="18"/>
                      <w:szCs w:val="18"/>
                      <w:highlight w:val="none"/>
                      <w14:textFill>
                        <w14:solidFill>
                          <w14:schemeClr w14:val="tx1"/>
                        </w14:solidFill>
                      </w14:textFill>
                    </w:rPr>
                    <w:t>A</w:t>
                  </w:r>
                  <w:r>
                    <w:rPr>
                      <w:rFonts w:hint="eastAsia" w:hAnsi="宋体"/>
                      <w:color w:val="000000" w:themeColor="text1"/>
                      <w:kern w:val="0"/>
                      <w:sz w:val="18"/>
                      <w:szCs w:val="18"/>
                      <w:highlight w:val="none"/>
                      <w14:textFill>
                        <w14:solidFill>
                          <w14:schemeClr w14:val="tx1"/>
                        </w14:solidFill>
                      </w14:textFill>
                    </w:rPr>
                    <w:t>声级</w:t>
                  </w:r>
                </w:p>
              </w:tc>
              <w:tc>
                <w:tcPr>
                  <w:tcW w:w="2807" w:type="dxa"/>
                  <w:tcBorders>
                    <w:top w:val="single" w:color="auto" w:sz="4" w:space="0"/>
                    <w:left w:val="single" w:color="auto" w:sz="4" w:space="0"/>
                    <w:right w:val="nil"/>
                  </w:tcBorders>
                  <w:noWrap w:val="0"/>
                  <w:vAlign w:val="center"/>
                </w:tcPr>
                <w:p w14:paraId="04E6C15B">
                  <w:pPr>
                    <w:keepNext w:val="0"/>
                    <w:keepLines w:val="0"/>
                    <w:suppressLineNumbers w:val="0"/>
                    <w:spacing w:before="0" w:beforeAutospacing="0" w:after="0" w:afterAutospacing="0"/>
                    <w:ind w:left="0" w:right="0"/>
                    <w:jc w:val="center"/>
                    <w:rPr>
                      <w:rFonts w:hint="default" w:hAnsi="宋体"/>
                      <w:color w:val="000000" w:themeColor="text1"/>
                      <w:kern w:val="0"/>
                      <w:sz w:val="18"/>
                      <w:szCs w:val="18"/>
                      <w:highlight w:val="none"/>
                      <w14:textFill>
                        <w14:solidFill>
                          <w14:schemeClr w14:val="tx1"/>
                        </w14:solidFill>
                      </w14:textFill>
                    </w:rPr>
                  </w:pPr>
                  <w:r>
                    <w:rPr>
                      <w:rFonts w:hint="default" w:hAnsi="宋体"/>
                      <w:color w:val="000000" w:themeColor="text1"/>
                      <w:kern w:val="0"/>
                      <w:sz w:val="18"/>
                      <w:szCs w:val="18"/>
                      <w:highlight w:val="none"/>
                      <w14:textFill>
                        <w14:solidFill>
                          <w14:schemeClr w14:val="tx1"/>
                        </w14:solidFill>
                      </w14:textFill>
                    </w:rPr>
                    <w:t>1</w:t>
                  </w:r>
                  <w:r>
                    <w:rPr>
                      <w:rFonts w:hint="eastAsia" w:hAnsi="宋体"/>
                      <w:color w:val="000000" w:themeColor="text1"/>
                      <w:kern w:val="0"/>
                      <w:sz w:val="18"/>
                      <w:szCs w:val="18"/>
                      <w:highlight w:val="none"/>
                      <w14:textFill>
                        <w14:solidFill>
                          <w14:schemeClr w14:val="tx1"/>
                        </w14:solidFill>
                      </w14:textFill>
                    </w:rPr>
                    <w:t>次</w:t>
                  </w:r>
                  <w:r>
                    <w:rPr>
                      <w:rFonts w:hint="default" w:hAnsi="宋体"/>
                      <w:color w:val="000000" w:themeColor="text1"/>
                      <w:kern w:val="0"/>
                      <w:sz w:val="18"/>
                      <w:szCs w:val="18"/>
                      <w:highlight w:val="none"/>
                      <w14:textFill>
                        <w14:solidFill>
                          <w14:schemeClr w14:val="tx1"/>
                        </w14:solidFill>
                      </w14:textFill>
                    </w:rPr>
                    <w:t>/</w:t>
                  </w:r>
                  <w:r>
                    <w:rPr>
                      <w:rFonts w:hint="eastAsia" w:hAnsi="宋体"/>
                      <w:color w:val="000000" w:themeColor="text1"/>
                      <w:kern w:val="0"/>
                      <w:sz w:val="18"/>
                      <w:szCs w:val="18"/>
                      <w:highlight w:val="none"/>
                      <w14:textFill>
                        <w14:solidFill>
                          <w14:schemeClr w14:val="tx1"/>
                        </w14:solidFill>
                      </w14:textFill>
                    </w:rPr>
                    <w:t>季度</w:t>
                  </w:r>
                </w:p>
              </w:tc>
              <w:tc>
                <w:tcPr>
                  <w:tcW w:w="2807" w:type="dxa"/>
                  <w:tcBorders>
                    <w:top w:val="single" w:color="auto" w:sz="4" w:space="0"/>
                    <w:left w:val="single" w:color="auto" w:sz="4" w:space="0"/>
                    <w:right w:val="nil"/>
                  </w:tcBorders>
                  <w:noWrap w:val="0"/>
                  <w:vAlign w:val="center"/>
                </w:tcPr>
                <w:p w14:paraId="103376F8">
                  <w:pPr>
                    <w:keepNext w:val="0"/>
                    <w:keepLines w:val="0"/>
                    <w:suppressLineNumbers w:val="0"/>
                    <w:spacing w:before="0" w:beforeAutospacing="0" w:after="0" w:afterAutospacing="0"/>
                    <w:ind w:left="0" w:right="0"/>
                    <w:jc w:val="center"/>
                    <w:rPr>
                      <w:rFonts w:hint="default" w:hAnsi="宋体" w:eastAsia="宋体"/>
                      <w:color w:val="000000" w:themeColor="text1"/>
                      <w:kern w:val="0"/>
                      <w:sz w:val="18"/>
                      <w:szCs w:val="18"/>
                      <w:highlight w:val="none"/>
                      <w:lang w:val="en-US" w:eastAsia="zh-CN"/>
                      <w14:textFill>
                        <w14:solidFill>
                          <w14:schemeClr w14:val="tx1"/>
                        </w14:solidFill>
                      </w14:textFill>
                    </w:rPr>
                  </w:pPr>
                  <w:r>
                    <w:rPr>
                      <w:rFonts w:hint="eastAsia" w:hAnsi="宋体"/>
                      <w:color w:val="000000" w:themeColor="text1"/>
                      <w:kern w:val="0"/>
                      <w:sz w:val="18"/>
                      <w:szCs w:val="18"/>
                      <w:highlight w:val="none"/>
                      <w:lang w:val="en-US" w:eastAsia="zh-CN"/>
                      <w14:textFill>
                        <w14:solidFill>
                          <w14:schemeClr w14:val="tx1"/>
                        </w14:solidFill>
                      </w14:textFill>
                    </w:rPr>
                    <w:t>12月-3月</w:t>
                  </w:r>
                </w:p>
              </w:tc>
            </w:tr>
          </w:tbl>
          <w:p w14:paraId="06A01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4、固体废物</w:t>
            </w:r>
          </w:p>
          <w:p w14:paraId="29BE54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（1）固体废物排放信息</w:t>
            </w:r>
          </w:p>
          <w:p w14:paraId="51479BE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color w:val="000000" w:themeColor="text1"/>
                <w:szCs w:val="21"/>
                <w:highlight w:val="none"/>
                <w:lang w:eastAsia="zh-CN"/>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表4-</w:t>
            </w:r>
            <w:r>
              <w:rPr>
                <w:rFonts w:hint="eastAsia" w:cs="Times New Roman"/>
                <w:b/>
                <w:color w:val="000000" w:themeColor="text1"/>
                <w:szCs w:val="21"/>
                <w:highlight w:val="none"/>
                <w:lang w:val="en-US" w:eastAsia="zh-CN"/>
                <w14:textFill>
                  <w14:solidFill>
                    <w14:schemeClr w14:val="tx1"/>
                  </w14:solidFill>
                </w14:textFill>
              </w:rPr>
              <w:t xml:space="preserve">10 </w:t>
            </w:r>
            <w:r>
              <w:rPr>
                <w:rFonts w:hint="default" w:ascii="Times New Roman" w:hAnsi="Times New Roman" w:cs="Times New Roman"/>
                <w:b/>
                <w:color w:val="000000" w:themeColor="text1"/>
                <w:szCs w:val="21"/>
                <w:highlight w:val="none"/>
                <w14:textFill>
                  <w14:solidFill>
                    <w14:schemeClr w14:val="tx1"/>
                  </w14:solidFill>
                </w14:textFill>
              </w:rPr>
              <w:t>固体废物排放</w:t>
            </w:r>
            <w:r>
              <w:rPr>
                <w:rFonts w:hint="eastAsia" w:cs="Times New Roman"/>
                <w:b/>
                <w:color w:val="000000" w:themeColor="text1"/>
                <w:szCs w:val="21"/>
                <w:highlight w:val="none"/>
                <w:lang w:val="en-US" w:eastAsia="zh-CN"/>
                <w14:textFill>
                  <w14:solidFill>
                    <w14:schemeClr w14:val="tx1"/>
                  </w14:solidFill>
                </w14:textFill>
              </w:rPr>
              <w:t>一览表</w:t>
            </w:r>
          </w:p>
          <w:tbl>
            <w:tblPr>
              <w:tblStyle w:val="33"/>
              <w:tblW w:w="462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139"/>
              <w:gridCol w:w="1349"/>
              <w:gridCol w:w="750"/>
              <w:gridCol w:w="1463"/>
              <w:gridCol w:w="787"/>
              <w:gridCol w:w="1009"/>
            </w:tblGrid>
            <w:tr w14:paraId="17D4F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noWrap w:val="0"/>
                  <w:vAlign w:val="center"/>
                </w:tcPr>
                <w:p w14:paraId="0A18369D">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产生环节</w:t>
                  </w:r>
                </w:p>
              </w:tc>
              <w:tc>
                <w:tcPr>
                  <w:tcW w:w="1139" w:type="dxa"/>
                  <w:noWrap w:val="0"/>
                  <w:vAlign w:val="center"/>
                </w:tcPr>
                <w:p w14:paraId="72ABC9DB">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p w14:paraId="4638C30F">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名称</w:t>
                  </w:r>
                </w:p>
              </w:tc>
              <w:tc>
                <w:tcPr>
                  <w:tcW w:w="1349" w:type="dxa"/>
                  <w:noWrap w:val="0"/>
                  <w:vAlign w:val="center"/>
                </w:tcPr>
                <w:p w14:paraId="13F0E944">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固体废物</w:t>
                  </w:r>
                </w:p>
                <w:p w14:paraId="10E6CCF5">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属性</w:t>
                  </w:r>
                </w:p>
              </w:tc>
              <w:tc>
                <w:tcPr>
                  <w:tcW w:w="750" w:type="dxa"/>
                  <w:noWrap w:val="0"/>
                  <w:vAlign w:val="center"/>
                </w:tcPr>
                <w:p w14:paraId="633A7A73">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产生量t/a</w:t>
                  </w:r>
                </w:p>
              </w:tc>
              <w:tc>
                <w:tcPr>
                  <w:tcW w:w="1463" w:type="dxa"/>
                  <w:noWrap w:val="0"/>
                  <w:vAlign w:val="center"/>
                </w:tcPr>
                <w:p w14:paraId="1240AD2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贮存方式</w:t>
                  </w:r>
                </w:p>
              </w:tc>
              <w:tc>
                <w:tcPr>
                  <w:tcW w:w="787" w:type="dxa"/>
                  <w:noWrap w:val="0"/>
                  <w:vAlign w:val="center"/>
                </w:tcPr>
                <w:p w14:paraId="6CE657D8">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处置量t/a</w:t>
                  </w:r>
                </w:p>
              </w:tc>
              <w:tc>
                <w:tcPr>
                  <w:tcW w:w="1009" w:type="dxa"/>
                  <w:noWrap w:val="0"/>
                  <w:vAlign w:val="center"/>
                </w:tcPr>
                <w:p w14:paraId="314F3417">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最终去向</w:t>
                  </w:r>
                </w:p>
              </w:tc>
            </w:tr>
            <w:tr w14:paraId="629D9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945" w:type="dxa"/>
                  <w:vMerge w:val="restart"/>
                  <w:noWrap w:val="0"/>
                  <w:vAlign w:val="center"/>
                </w:tcPr>
                <w:p w14:paraId="2F62DFB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热风炉</w:t>
                  </w:r>
                </w:p>
              </w:tc>
              <w:tc>
                <w:tcPr>
                  <w:tcW w:w="1139" w:type="dxa"/>
                  <w:noWrap w:val="0"/>
                  <w:vAlign w:val="center"/>
                </w:tcPr>
                <w:p w14:paraId="374D2FBE">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热风炉炉</w:t>
                  </w:r>
                  <w:r>
                    <w:rPr>
                      <w:rFonts w:hint="eastAsia" w:cs="Times New Roman"/>
                      <w:color w:val="000000" w:themeColor="text1"/>
                      <w:sz w:val="18"/>
                      <w:szCs w:val="18"/>
                      <w:highlight w:val="none"/>
                      <w:lang w:val="en-US" w:eastAsia="zh-CN"/>
                      <w14:textFill>
                        <w14:solidFill>
                          <w14:schemeClr w14:val="tx1"/>
                        </w14:solidFill>
                      </w14:textFill>
                    </w:rPr>
                    <w:t>渣及</w:t>
                  </w:r>
                  <w:r>
                    <w:rPr>
                      <w:rFonts w:hint="default" w:ascii="Times New Roman" w:hAnsi="Times New Roman" w:cs="Times New Roman"/>
                      <w:color w:val="000000" w:themeColor="text1"/>
                      <w:sz w:val="18"/>
                      <w:szCs w:val="18"/>
                      <w:highlight w:val="none"/>
                      <w:lang w:eastAsia="zh-CN"/>
                      <w14:textFill>
                        <w14:solidFill>
                          <w14:schemeClr w14:val="tx1"/>
                        </w14:solidFill>
                      </w14:textFill>
                    </w:rPr>
                    <w:t>除尘器回收粉尘</w:t>
                  </w:r>
                </w:p>
              </w:tc>
              <w:tc>
                <w:tcPr>
                  <w:tcW w:w="1349" w:type="dxa"/>
                  <w:noWrap w:val="0"/>
                  <w:vAlign w:val="center"/>
                </w:tcPr>
                <w:p w14:paraId="709400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工业固体废物900-099-S03</w:t>
                  </w:r>
                </w:p>
              </w:tc>
              <w:tc>
                <w:tcPr>
                  <w:tcW w:w="750" w:type="dxa"/>
                  <w:noWrap w:val="0"/>
                  <w:vAlign w:val="center"/>
                </w:tcPr>
                <w:p w14:paraId="69AC7857">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142.22</w:t>
                  </w:r>
                </w:p>
              </w:tc>
              <w:tc>
                <w:tcPr>
                  <w:tcW w:w="1463" w:type="dxa"/>
                  <w:noWrap w:val="0"/>
                  <w:vAlign w:val="center"/>
                </w:tcPr>
                <w:p w14:paraId="391C4FD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袋装储存，暂存与</w:t>
                  </w:r>
                  <w:r>
                    <w:rPr>
                      <w:rFonts w:hint="eastAsia" w:cs="Times New Roman"/>
                      <w:bCs/>
                      <w:color w:val="000000" w:themeColor="text1"/>
                      <w:kern w:val="0"/>
                      <w:sz w:val="18"/>
                      <w:szCs w:val="18"/>
                      <w:highlight w:val="none"/>
                      <w:lang w:val="en-US" w:eastAsia="zh-CN"/>
                      <w14:textFill>
                        <w14:solidFill>
                          <w14:schemeClr w14:val="tx1"/>
                        </w14:solidFill>
                      </w14:textFill>
                    </w:rPr>
                    <w:t>热风炉房</w:t>
                  </w:r>
                  <w:r>
                    <w:rPr>
                      <w:rFonts w:hint="eastAsia" w:cs="Times New Roman"/>
                      <w:color w:val="000000" w:themeColor="text1"/>
                      <w:sz w:val="18"/>
                      <w:szCs w:val="18"/>
                      <w:highlight w:val="none"/>
                      <w:lang w:val="en-US" w:eastAsia="zh-CN"/>
                      <w14:textFill>
                        <w14:solidFill>
                          <w14:schemeClr w14:val="tx1"/>
                        </w14:solidFill>
                      </w14:textFill>
                    </w:rPr>
                    <w:t>灰渣间内，每10天清运1次，不在厂区长期储存</w:t>
                  </w:r>
                </w:p>
              </w:tc>
              <w:tc>
                <w:tcPr>
                  <w:tcW w:w="787" w:type="dxa"/>
                  <w:noWrap w:val="0"/>
                  <w:vAlign w:val="center"/>
                </w:tcPr>
                <w:p w14:paraId="166DA2F2">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142.22</w:t>
                  </w:r>
                </w:p>
              </w:tc>
              <w:tc>
                <w:tcPr>
                  <w:tcW w:w="1009" w:type="dxa"/>
                  <w:noWrap w:val="0"/>
                  <w:vAlign w:val="center"/>
                </w:tcPr>
                <w:p w14:paraId="4AD6A92F">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18"/>
                      <w:szCs w:val="18"/>
                      <w:highlight w:val="none"/>
                      <w:vertAlign w:val="baseli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外售肥料厂家综合利用</w:t>
                  </w:r>
                </w:p>
              </w:tc>
            </w:tr>
            <w:tr w14:paraId="695983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vMerge w:val="continue"/>
                  <w:noWrap w:val="0"/>
                  <w:vAlign w:val="center"/>
                </w:tcPr>
                <w:p w14:paraId="005FD673">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39" w:type="dxa"/>
                  <w:noWrap w:val="0"/>
                  <w:vAlign w:val="center"/>
                </w:tcPr>
                <w:p w14:paraId="2B2834DE">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废布袋</w:t>
                  </w:r>
                </w:p>
              </w:tc>
              <w:tc>
                <w:tcPr>
                  <w:tcW w:w="1349" w:type="dxa"/>
                  <w:noWrap w:val="0"/>
                  <w:vAlign w:val="center"/>
                </w:tcPr>
                <w:p w14:paraId="543B3AD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工业固体废物</w:t>
                  </w:r>
                  <w:r>
                    <w:rPr>
                      <w:rFonts w:hint="eastAsia" w:cs="Times New Roman"/>
                      <w:color w:val="000000" w:themeColor="text1"/>
                      <w:sz w:val="18"/>
                      <w:szCs w:val="18"/>
                      <w:highlight w:val="none"/>
                      <w:lang w:val="en-US" w:eastAsia="zh-CN"/>
                      <w14:textFill>
                        <w14:solidFill>
                          <w14:schemeClr w14:val="tx1"/>
                        </w14:solidFill>
                      </w14:textFill>
                    </w:rPr>
                    <w:t>900</w:t>
                  </w:r>
                  <w:r>
                    <w:rPr>
                      <w:rFonts w:hint="default" w:ascii="Times New Roman" w:hAnsi="Times New Roman" w:cs="Times New Roman"/>
                      <w:color w:val="000000" w:themeColor="text1"/>
                      <w:sz w:val="18"/>
                      <w:szCs w:val="18"/>
                      <w:highlight w:val="none"/>
                      <w14:textFill>
                        <w14:solidFill>
                          <w14:schemeClr w14:val="tx1"/>
                        </w14:solidFill>
                      </w14:textFill>
                    </w:rPr>
                    <w:t>-00</w:t>
                  </w:r>
                  <w:r>
                    <w:rPr>
                      <w:rFonts w:hint="eastAsia"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color w:val="000000" w:themeColor="text1"/>
                      <w:sz w:val="18"/>
                      <w:szCs w:val="18"/>
                      <w:highlight w:val="none"/>
                      <w14:textFill>
                        <w14:solidFill>
                          <w14:schemeClr w14:val="tx1"/>
                        </w14:solidFill>
                      </w14:textFill>
                    </w:rPr>
                    <w:t>-S</w:t>
                  </w:r>
                  <w:r>
                    <w:rPr>
                      <w:rFonts w:hint="eastAsia" w:cs="Times New Roman"/>
                      <w:color w:val="000000" w:themeColor="text1"/>
                      <w:sz w:val="18"/>
                      <w:szCs w:val="18"/>
                      <w:highlight w:val="none"/>
                      <w:lang w:val="en-US" w:eastAsia="zh-CN"/>
                      <w14:textFill>
                        <w14:solidFill>
                          <w14:schemeClr w14:val="tx1"/>
                        </w14:solidFill>
                      </w14:textFill>
                    </w:rPr>
                    <w:t>59</w:t>
                  </w:r>
                </w:p>
              </w:tc>
              <w:tc>
                <w:tcPr>
                  <w:tcW w:w="750" w:type="dxa"/>
                  <w:noWrap w:val="0"/>
                  <w:vAlign w:val="center"/>
                </w:tcPr>
                <w:p w14:paraId="1FD4928D">
                  <w:pPr>
                    <w:keepNext w:val="0"/>
                    <w:keepLines w:val="0"/>
                    <w:suppressLineNumbers w:val="0"/>
                    <w:autoSpaceDE w:val="0"/>
                    <w:autoSpaceDN w:val="0"/>
                    <w:spacing w:before="0" w:beforeAutospacing="0" w:after="0" w:afterAutospacing="0"/>
                    <w:ind w:left="0" w:leftChars="0" w:right="0" w:rightChars="0"/>
                    <w:jc w:val="center"/>
                    <w:rPr>
                      <w:rFonts w:hint="eastAsia"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eastAsia" w:cs="Times New Roman"/>
                      <w:color w:val="000000" w:themeColor="text1"/>
                      <w:sz w:val="18"/>
                      <w:szCs w:val="18"/>
                      <w:highlight w:val="none"/>
                      <w:lang w:val="en-US" w:eastAsia="zh-CN"/>
                      <w14:textFill>
                        <w14:solidFill>
                          <w14:schemeClr w14:val="tx1"/>
                        </w14:solidFill>
                      </w14:textFill>
                    </w:rPr>
                    <w:t>10</w:t>
                  </w:r>
                </w:p>
              </w:tc>
              <w:tc>
                <w:tcPr>
                  <w:tcW w:w="1463" w:type="dxa"/>
                  <w:noWrap w:val="0"/>
                  <w:vAlign w:val="center"/>
                </w:tcPr>
                <w:p w14:paraId="151867A8">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袋装</w:t>
                  </w:r>
                </w:p>
              </w:tc>
              <w:tc>
                <w:tcPr>
                  <w:tcW w:w="787" w:type="dxa"/>
                  <w:noWrap w:val="0"/>
                  <w:vAlign w:val="center"/>
                </w:tcPr>
                <w:p w14:paraId="0617AF75">
                  <w:pPr>
                    <w:keepNext w:val="0"/>
                    <w:keepLines w:val="0"/>
                    <w:suppressLineNumbers w:val="0"/>
                    <w:autoSpaceDE w:val="0"/>
                    <w:autoSpaceDN w:val="0"/>
                    <w:spacing w:before="0" w:beforeAutospacing="0" w:after="0" w:afterAutospacing="0"/>
                    <w:ind w:left="0" w:leftChars="0" w:right="0" w:rightChars="0"/>
                    <w:jc w:val="center"/>
                    <w:rPr>
                      <w:rFonts w:hint="eastAsia"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eastAsia" w:cs="Times New Roman"/>
                      <w:color w:val="000000" w:themeColor="text1"/>
                      <w:sz w:val="18"/>
                      <w:szCs w:val="18"/>
                      <w:highlight w:val="none"/>
                      <w:lang w:val="en-US" w:eastAsia="zh-CN"/>
                      <w14:textFill>
                        <w14:solidFill>
                          <w14:schemeClr w14:val="tx1"/>
                        </w14:solidFill>
                      </w14:textFill>
                    </w:rPr>
                    <w:t>10</w:t>
                  </w:r>
                </w:p>
              </w:tc>
              <w:tc>
                <w:tcPr>
                  <w:tcW w:w="1009" w:type="dxa"/>
                  <w:noWrap w:val="0"/>
                  <w:vAlign w:val="center"/>
                </w:tcPr>
                <w:p w14:paraId="140301B4">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除尘器厂家更换后直接带走</w:t>
                  </w:r>
                </w:p>
              </w:tc>
            </w:tr>
            <w:tr w14:paraId="5C6B5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5" w:type="dxa"/>
                  <w:noWrap w:val="0"/>
                  <w:vAlign w:val="center"/>
                </w:tcPr>
                <w:p w14:paraId="3C58217C">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Cs/>
                      <w:color w:val="000000" w:themeColor="text1"/>
                      <w:sz w:val="18"/>
                      <w:szCs w:val="18"/>
                      <w:highlight w:val="none"/>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工艺粉尘</w:t>
                  </w:r>
                </w:p>
              </w:tc>
              <w:tc>
                <w:tcPr>
                  <w:tcW w:w="1139" w:type="dxa"/>
                  <w:noWrap w:val="0"/>
                  <w:vAlign w:val="center"/>
                </w:tcPr>
                <w:p w14:paraId="17BF4A1E">
                  <w:pPr>
                    <w:pStyle w:val="129"/>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18"/>
                      <w:szCs w:val="18"/>
                      <w:highlight w:val="none"/>
                      <w14:textFill>
                        <w14:solidFill>
                          <w14:schemeClr w14:val="tx1"/>
                        </w14:solidFill>
                      </w14:textFill>
                    </w:rPr>
                    <w:t>粉尘</w:t>
                  </w:r>
                </w:p>
              </w:tc>
              <w:tc>
                <w:tcPr>
                  <w:tcW w:w="1349" w:type="dxa"/>
                  <w:noWrap w:val="0"/>
                  <w:vAlign w:val="center"/>
                </w:tcPr>
                <w:p w14:paraId="4FBC8FC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工业固体废物900-0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cs="Times New Roman"/>
                      <w:color w:val="000000" w:themeColor="text1"/>
                      <w:sz w:val="18"/>
                      <w:szCs w:val="18"/>
                      <w:highlight w:val="none"/>
                      <w14:textFill>
                        <w14:solidFill>
                          <w14:schemeClr w14:val="tx1"/>
                        </w14:solidFill>
                      </w14:textFill>
                    </w:rPr>
                    <w:t>9-S</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59</w:t>
                  </w:r>
                </w:p>
              </w:tc>
              <w:tc>
                <w:tcPr>
                  <w:tcW w:w="750" w:type="dxa"/>
                  <w:noWrap w:val="0"/>
                  <w:vAlign w:val="center"/>
                </w:tcPr>
                <w:p w14:paraId="0868D05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33.297</w:t>
                  </w:r>
                </w:p>
              </w:tc>
              <w:tc>
                <w:tcPr>
                  <w:tcW w:w="1463" w:type="dxa"/>
                  <w:noWrap w:val="0"/>
                  <w:vAlign w:val="center"/>
                </w:tcPr>
                <w:p w14:paraId="720F6A6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集中收集</w:t>
                  </w:r>
                </w:p>
              </w:tc>
              <w:tc>
                <w:tcPr>
                  <w:tcW w:w="787" w:type="dxa"/>
                  <w:noWrap w:val="0"/>
                  <w:vAlign w:val="center"/>
                </w:tcPr>
                <w:p w14:paraId="019CC3C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18"/>
                      <w:szCs w:val="18"/>
                      <w:highlight w:val="none"/>
                      <w:lang w:val="en-US" w:eastAsia="zh-CN" w:bidi="ar-SA"/>
                      <w14:textFill>
                        <w14:solidFill>
                          <w14:schemeClr w14:val="tx1"/>
                        </w14:solidFill>
                      </w14:textFill>
                    </w:rPr>
                  </w:pPr>
                  <w:r>
                    <w:rPr>
                      <w:rFonts w:hint="eastAsia" w:cs="Times New Roman"/>
                      <w:bCs/>
                      <w:color w:val="000000" w:themeColor="text1"/>
                      <w:sz w:val="18"/>
                      <w:szCs w:val="18"/>
                      <w:highlight w:val="none"/>
                      <w:lang w:val="en-US" w:eastAsia="zh-CN"/>
                      <w14:textFill>
                        <w14:solidFill>
                          <w14:schemeClr w14:val="tx1"/>
                        </w14:solidFill>
                      </w14:textFill>
                    </w:rPr>
                    <w:t>33.297</w:t>
                  </w:r>
                </w:p>
              </w:tc>
              <w:tc>
                <w:tcPr>
                  <w:tcW w:w="1009" w:type="dxa"/>
                  <w:noWrap w:val="0"/>
                  <w:vAlign w:val="center"/>
                </w:tcPr>
                <w:p w14:paraId="334C4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sz w:val="18"/>
                      <w:szCs w:val="18"/>
                      <w:highlight w:val="none"/>
                      <w:lang w:val="en-US"/>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市政部门统一清运处理</w:t>
                  </w:r>
                </w:p>
              </w:tc>
            </w:tr>
            <w:tr w14:paraId="0423BF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5" w:type="dxa"/>
                  <w:vMerge w:val="restart"/>
                  <w:noWrap w:val="0"/>
                  <w:vAlign w:val="center"/>
                </w:tcPr>
                <w:p w14:paraId="08B43FCD">
                  <w:pPr>
                    <w:keepNext w:val="0"/>
                    <w:keepLines w:val="0"/>
                    <w:suppressLineNumbers w:val="0"/>
                    <w:spacing w:before="0" w:beforeAutospacing="0" w:after="0" w:afterAutospacing="0"/>
                    <w:ind w:left="0" w:right="0"/>
                    <w:jc w:val="center"/>
                    <w:rPr>
                      <w:rFonts w:hint="default" w:cs="Times New Roman"/>
                      <w:color w:val="000000" w:themeColor="text1"/>
                      <w:sz w:val="18"/>
                      <w:szCs w:val="18"/>
                      <w:highlight w:val="none"/>
                      <w:lang w:val="en-US" w:eastAsia="zh-CN"/>
                      <w14:textFill>
                        <w14:solidFill>
                          <w14:schemeClr w14:val="tx1"/>
                        </w14:solidFill>
                      </w14:textFill>
                    </w:rPr>
                  </w:pPr>
                  <w:r>
                    <w:rPr>
                      <w:rFonts w:hint="eastAsia"/>
                      <w:bCs/>
                      <w:color w:val="auto"/>
                      <w:szCs w:val="21"/>
                      <w:highlight w:val="none"/>
                      <w:lang w:val="en-US" w:eastAsia="zh-CN"/>
                    </w:rPr>
                    <w:t>维护</w:t>
                  </w:r>
                </w:p>
              </w:tc>
              <w:tc>
                <w:tcPr>
                  <w:tcW w:w="1139" w:type="dxa"/>
                  <w:noWrap w:val="0"/>
                  <w:vAlign w:val="center"/>
                </w:tcPr>
                <w:p w14:paraId="7BA41F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eastAsia"/>
                      <w:bCs/>
                      <w:color w:val="auto"/>
                      <w:szCs w:val="21"/>
                      <w:highlight w:val="none"/>
                      <w:lang w:val="en-US" w:eastAsia="zh-CN"/>
                    </w:rPr>
                    <w:t>废机油</w:t>
                  </w:r>
                </w:p>
              </w:tc>
              <w:tc>
                <w:tcPr>
                  <w:tcW w:w="1349" w:type="dxa"/>
                  <w:noWrap w:val="0"/>
                  <w:vAlign w:val="center"/>
                </w:tcPr>
                <w:p w14:paraId="67AF4A6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eastAsia"/>
                      <w:bCs/>
                      <w:color w:val="auto"/>
                      <w:szCs w:val="21"/>
                      <w:highlight w:val="none"/>
                      <w:lang w:val="en-US" w:eastAsia="zh-CN"/>
                    </w:rPr>
                    <w:t>危险废物900-217-08</w:t>
                  </w:r>
                </w:p>
              </w:tc>
              <w:tc>
                <w:tcPr>
                  <w:tcW w:w="750" w:type="dxa"/>
                  <w:noWrap w:val="0"/>
                  <w:vAlign w:val="center"/>
                </w:tcPr>
                <w:p w14:paraId="339B8880">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18"/>
                      <w:szCs w:val="18"/>
                      <w:highlight w:val="none"/>
                      <w:lang w:val="en-US" w:eastAsia="zh-CN"/>
                      <w14:textFill>
                        <w14:solidFill>
                          <w14:schemeClr w14:val="tx1"/>
                        </w14:solidFill>
                      </w14:textFill>
                    </w:rPr>
                  </w:pPr>
                  <w:r>
                    <w:rPr>
                      <w:rFonts w:hint="eastAsia"/>
                      <w:bCs/>
                      <w:color w:val="auto"/>
                      <w:szCs w:val="21"/>
                      <w:highlight w:val="none"/>
                      <w:lang w:val="en-US" w:eastAsia="zh-CN"/>
                    </w:rPr>
                    <w:t>0.02</w:t>
                  </w:r>
                </w:p>
              </w:tc>
              <w:tc>
                <w:tcPr>
                  <w:tcW w:w="1463" w:type="dxa"/>
                  <w:noWrap w:val="0"/>
                  <w:vAlign w:val="center"/>
                </w:tcPr>
                <w:p w14:paraId="7576413D">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bCs/>
                      <w:color w:val="auto"/>
                      <w:szCs w:val="21"/>
                      <w:highlight w:val="none"/>
                      <w:lang w:val="en-US" w:eastAsia="zh-CN"/>
                    </w:rPr>
                    <w:t>暂存</w:t>
                  </w:r>
                  <w:r>
                    <w:rPr>
                      <w:rFonts w:hint="eastAsia"/>
                      <w:color w:val="auto"/>
                      <w:highlight w:val="none"/>
                      <w:lang w:val="en-US" w:eastAsia="zh-CN"/>
                    </w:rPr>
                    <w:t>危险废物贮存点</w:t>
                  </w:r>
                  <w:r>
                    <w:rPr>
                      <w:rFonts w:hint="eastAsia" w:ascii="Times New Roman" w:hAnsi="Times New Roman" w:eastAsia="宋体" w:cs="Times New Roman"/>
                      <w:bCs/>
                      <w:color w:val="auto"/>
                      <w:szCs w:val="21"/>
                      <w:highlight w:val="none"/>
                      <w:lang w:val="en-US" w:eastAsia="zh-CN"/>
                    </w:rPr>
                    <w:t>内</w:t>
                  </w:r>
                  <w:r>
                    <w:rPr>
                      <w:rFonts w:hint="eastAsia" w:cs="Times New Roman"/>
                      <w:bCs/>
                      <w:color w:val="auto"/>
                      <w:szCs w:val="21"/>
                      <w:highlight w:val="none"/>
                      <w:lang w:val="en-US" w:eastAsia="zh-CN"/>
                    </w:rPr>
                    <w:t>密闭废油桶</w:t>
                  </w:r>
                </w:p>
              </w:tc>
              <w:tc>
                <w:tcPr>
                  <w:tcW w:w="787" w:type="dxa"/>
                  <w:vMerge w:val="restart"/>
                  <w:noWrap w:val="0"/>
                  <w:vAlign w:val="center"/>
                </w:tcPr>
                <w:p w14:paraId="148CA7FF">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18"/>
                      <w:szCs w:val="18"/>
                      <w:highlight w:val="none"/>
                      <w:lang w:val="en-US" w:eastAsia="zh-CN"/>
                      <w14:textFill>
                        <w14:solidFill>
                          <w14:schemeClr w14:val="tx1"/>
                        </w14:solidFill>
                      </w14:textFill>
                    </w:rPr>
                  </w:pPr>
                  <w:r>
                    <w:rPr>
                      <w:rFonts w:hint="eastAsia"/>
                      <w:color w:val="auto"/>
                      <w:highlight w:val="none"/>
                      <w:lang w:val="en-US" w:eastAsia="zh-CN"/>
                    </w:rPr>
                    <w:t>0.03</w:t>
                  </w:r>
                </w:p>
              </w:tc>
              <w:tc>
                <w:tcPr>
                  <w:tcW w:w="1009" w:type="dxa"/>
                  <w:vMerge w:val="restart"/>
                  <w:noWrap w:val="0"/>
                  <w:vAlign w:val="center"/>
                </w:tcPr>
                <w:p w14:paraId="6A082C61">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2"/>
                      <w:sz w:val="18"/>
                      <w:szCs w:val="18"/>
                      <w:highlight w:val="none"/>
                      <w:lang w:val="en-US" w:eastAsia="zh-CN" w:bidi="ar-SA"/>
                      <w14:textFill>
                        <w14:solidFill>
                          <w14:schemeClr w14:val="tx1"/>
                        </w14:solidFill>
                      </w14:textFill>
                    </w:rPr>
                  </w:pPr>
                  <w:r>
                    <w:rPr>
                      <w:rFonts w:hint="eastAsia"/>
                      <w:bCs/>
                      <w:color w:val="auto"/>
                      <w:szCs w:val="21"/>
                      <w:highlight w:val="none"/>
                      <w:lang w:val="en-US" w:eastAsia="zh-CN"/>
                    </w:rPr>
                    <w:t>委托有资质单位处理</w:t>
                  </w:r>
                </w:p>
              </w:tc>
            </w:tr>
            <w:tr w14:paraId="52104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5" w:type="dxa"/>
                  <w:vMerge w:val="continue"/>
                  <w:noWrap w:val="0"/>
                  <w:vAlign w:val="center"/>
                </w:tcPr>
                <w:p w14:paraId="3C16EEC6">
                  <w:pPr>
                    <w:keepNext w:val="0"/>
                    <w:keepLines w:val="0"/>
                    <w:suppressLineNumbers w:val="0"/>
                    <w:adjustRightInd w:val="0"/>
                    <w:snapToGrid w:val="0"/>
                    <w:spacing w:before="0" w:beforeAutospacing="0" w:after="0" w:afterAutospacing="0"/>
                    <w:ind w:left="0" w:right="0"/>
                    <w:jc w:val="center"/>
                    <w:rPr>
                      <w:rFonts w:hint="default"/>
                    </w:rPr>
                  </w:pPr>
                </w:p>
              </w:tc>
              <w:tc>
                <w:tcPr>
                  <w:tcW w:w="1139" w:type="dxa"/>
                  <w:noWrap w:val="0"/>
                  <w:vAlign w:val="center"/>
                </w:tcPr>
                <w:p w14:paraId="33BD5AA2">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废弃含油抹布手套</w:t>
                  </w:r>
                </w:p>
              </w:tc>
              <w:tc>
                <w:tcPr>
                  <w:tcW w:w="1349" w:type="dxa"/>
                  <w:noWrap w:val="0"/>
                  <w:vAlign w:val="center"/>
                </w:tcPr>
                <w:p w14:paraId="3805226B">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lang w:val="en-US" w:eastAsia="zh-CN"/>
                    </w:rPr>
                  </w:pPr>
                  <w:r>
                    <w:rPr>
                      <w:rFonts w:hint="eastAsia"/>
                      <w:bCs/>
                      <w:color w:val="auto"/>
                      <w:szCs w:val="21"/>
                      <w:highlight w:val="none"/>
                      <w:lang w:val="en-US" w:eastAsia="zh-CN"/>
                    </w:rPr>
                    <w:t>危险废物900-041-49</w:t>
                  </w:r>
                </w:p>
              </w:tc>
              <w:tc>
                <w:tcPr>
                  <w:tcW w:w="750" w:type="dxa"/>
                  <w:noWrap w:val="0"/>
                  <w:vAlign w:val="center"/>
                </w:tcPr>
                <w:p w14:paraId="25F3BD75">
                  <w:pPr>
                    <w:keepNext w:val="0"/>
                    <w:keepLines w:val="0"/>
                    <w:suppressLineNumbers w:val="0"/>
                    <w:adjustRightInd w:val="0"/>
                    <w:snapToGrid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0.01</w:t>
                  </w:r>
                </w:p>
              </w:tc>
              <w:tc>
                <w:tcPr>
                  <w:tcW w:w="1463" w:type="dxa"/>
                  <w:noWrap w:val="0"/>
                  <w:vAlign w:val="center"/>
                </w:tcPr>
                <w:p w14:paraId="01385B38">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暂存</w:t>
                  </w:r>
                  <w:r>
                    <w:rPr>
                      <w:rFonts w:hint="eastAsia"/>
                      <w:color w:val="auto"/>
                      <w:highlight w:val="none"/>
                      <w:lang w:val="en-US" w:eastAsia="zh-CN"/>
                    </w:rPr>
                    <w:t>危险废物贮存点</w:t>
                  </w:r>
                  <w:r>
                    <w:rPr>
                      <w:rFonts w:hint="eastAsia" w:ascii="Times New Roman" w:hAnsi="Times New Roman" w:eastAsia="宋体" w:cs="Times New Roman"/>
                      <w:bCs/>
                      <w:color w:val="auto"/>
                      <w:szCs w:val="21"/>
                      <w:highlight w:val="none"/>
                      <w:lang w:val="en-US" w:eastAsia="zh-CN"/>
                    </w:rPr>
                    <w:t>内</w:t>
                  </w:r>
                  <w:r>
                    <w:rPr>
                      <w:rFonts w:hint="eastAsia" w:cs="Times New Roman"/>
                      <w:bCs/>
                      <w:color w:val="auto"/>
                      <w:szCs w:val="21"/>
                      <w:highlight w:val="none"/>
                      <w:lang w:val="en-US" w:eastAsia="zh-CN"/>
                    </w:rPr>
                    <w:t>密闭容器内</w:t>
                  </w:r>
                </w:p>
              </w:tc>
              <w:tc>
                <w:tcPr>
                  <w:tcW w:w="787" w:type="dxa"/>
                  <w:vMerge w:val="continue"/>
                  <w:noWrap w:val="0"/>
                  <w:vAlign w:val="center"/>
                </w:tcPr>
                <w:p w14:paraId="52508881">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lang w:val="en-US" w:eastAsia="zh-CN"/>
                    </w:rPr>
                  </w:pPr>
                </w:p>
              </w:tc>
              <w:tc>
                <w:tcPr>
                  <w:tcW w:w="1009" w:type="dxa"/>
                  <w:vMerge w:val="continue"/>
                  <w:noWrap w:val="0"/>
                  <w:vAlign w:val="center"/>
                </w:tcPr>
                <w:p w14:paraId="16E48766">
                  <w:pPr>
                    <w:keepNext w:val="0"/>
                    <w:keepLines w:val="0"/>
                    <w:suppressLineNumbers w:val="0"/>
                    <w:adjustRightInd w:val="0"/>
                    <w:snapToGrid w:val="0"/>
                    <w:spacing w:before="0" w:beforeAutospacing="0" w:after="0" w:afterAutospacing="0"/>
                    <w:ind w:left="0" w:right="0"/>
                    <w:jc w:val="center"/>
                    <w:rPr>
                      <w:rFonts w:hint="eastAsia"/>
                      <w:bCs/>
                      <w:color w:val="auto"/>
                      <w:szCs w:val="21"/>
                      <w:highlight w:val="none"/>
                      <w:lang w:val="en-US" w:eastAsia="zh-CN"/>
                    </w:rPr>
                  </w:pPr>
                </w:p>
              </w:tc>
            </w:tr>
          </w:tbl>
          <w:p w14:paraId="2D8F47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经核实，</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本项目运营期产生的固体废物主要为</w:t>
            </w:r>
            <w:r>
              <w:rPr>
                <w:rFonts w:hint="eastAsia"/>
                <w:color w:val="000000" w:themeColor="text1"/>
                <w:highlight w:val="none"/>
                <w:lang w:val="en-US" w:eastAsia="zh-CN"/>
                <w14:textFill>
                  <w14:solidFill>
                    <w14:schemeClr w14:val="tx1"/>
                  </w14:solidFill>
                </w14:textFill>
              </w:rPr>
              <w:t>热风炉</w:t>
            </w:r>
            <w:r>
              <w:rPr>
                <w:rFonts w:hint="default" w:ascii="Times New Roman" w:hAnsi="Times New Roman" w:cs="Times New Roman"/>
                <w:color w:val="000000" w:themeColor="text1"/>
                <w:sz w:val="21"/>
                <w:szCs w:val="21"/>
                <w:highlight w:val="none"/>
                <w14:textFill>
                  <w14:solidFill>
                    <w14:schemeClr w14:val="tx1"/>
                  </w14:solidFill>
                </w14:textFill>
              </w:rPr>
              <w:t>炉渣</w:t>
            </w:r>
            <w:r>
              <w:rPr>
                <w:rFonts w:hint="eastAsia" w:cs="Times New Roman"/>
                <w:color w:val="000000" w:themeColor="text1"/>
                <w:sz w:val="21"/>
                <w:szCs w:val="21"/>
                <w:highlight w:val="none"/>
                <w:lang w:val="en-US" w:eastAsia="zh-CN"/>
                <w14:textFill>
                  <w14:solidFill>
                    <w14:schemeClr w14:val="tx1"/>
                  </w14:solidFill>
                </w14:textFill>
              </w:rPr>
              <w:t>及除尘器收尘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废布袋、</w:t>
            </w: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21"/>
                <w:szCs w:val="21"/>
                <w:highlight w:val="none"/>
                <w14:textFill>
                  <w14:solidFill>
                    <w14:schemeClr w14:val="tx1"/>
                  </w14:solidFill>
                </w14:textFill>
              </w:rPr>
              <w:t>粉尘</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废机油、含油抹布手套</w:t>
            </w:r>
            <w:r>
              <w:rPr>
                <w:rFonts w:hint="eastAsia"/>
                <w:color w:val="000000" w:themeColor="text1"/>
                <w:highlight w:val="none"/>
                <w14:textFill>
                  <w14:solidFill>
                    <w14:schemeClr w14:val="tx1"/>
                  </w14:solidFill>
                </w14:textFill>
              </w:rPr>
              <w:t>。</w:t>
            </w:r>
          </w:p>
          <w:p w14:paraId="049CA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①</w:t>
            </w:r>
            <w:r>
              <w:rPr>
                <w:rFonts w:hint="default"/>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不新增劳动定员，</w:t>
            </w:r>
            <w:r>
              <w:rPr>
                <w:rFonts w:hint="eastAsia"/>
                <w:color w:val="000000" w:themeColor="text1"/>
                <w:sz w:val="21"/>
                <w:szCs w:val="21"/>
                <w:highlight w:val="none"/>
                <w:lang w:val="en-US" w:eastAsia="zh-CN"/>
                <w14:textFill>
                  <w14:solidFill>
                    <w14:schemeClr w14:val="tx1"/>
                  </w14:solidFill>
                </w14:textFill>
              </w:rPr>
              <w:t>无</w:t>
            </w:r>
            <w:r>
              <w:rPr>
                <w:rFonts w:hint="eastAsia"/>
                <w:color w:val="000000" w:themeColor="text1"/>
                <w:sz w:val="21"/>
                <w:szCs w:val="21"/>
                <w:highlight w:val="none"/>
                <w14:textFill>
                  <w14:solidFill>
                    <w14:schemeClr w14:val="tx1"/>
                  </w14:solidFill>
                </w14:textFill>
              </w:rPr>
              <w:t>新增</w:t>
            </w:r>
            <w:r>
              <w:rPr>
                <w:rFonts w:hint="eastAsia"/>
                <w:color w:val="000000" w:themeColor="text1"/>
                <w:sz w:val="21"/>
                <w:szCs w:val="21"/>
                <w:highlight w:val="none"/>
                <w:lang w:val="en-US" w:eastAsia="zh-CN"/>
                <w14:textFill>
                  <w14:solidFill>
                    <w14:schemeClr w14:val="tx1"/>
                  </w14:solidFill>
                </w14:textFill>
              </w:rPr>
              <w:t>生活垃圾。</w:t>
            </w:r>
          </w:p>
          <w:p w14:paraId="2CF7B3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②热风炉炉渣</w:t>
            </w:r>
            <w:r>
              <w:rPr>
                <w:rFonts w:hint="eastAsia" w:cs="Times New Roman"/>
                <w:color w:val="000000" w:themeColor="text1"/>
                <w:sz w:val="21"/>
                <w:szCs w:val="21"/>
                <w:highlight w:val="none"/>
                <w:lang w:val="en-US" w:eastAsia="zh-CN"/>
                <w14:textFill>
                  <w14:solidFill>
                    <w14:schemeClr w14:val="tx1"/>
                  </w14:solidFill>
                </w14:textFill>
              </w:rPr>
              <w:t>及除尘器收尘</w:t>
            </w:r>
          </w:p>
          <w:p w14:paraId="5120F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热风炉灰渣产生量参考《污染源源强核算技术指南 锅炉》（HJ 991-2018）中8.1生物质</w:t>
            </w:r>
            <w:r>
              <w:rPr>
                <w:rFonts w:hint="eastAsia"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cs="Times New Roman"/>
                <w:color w:val="000000" w:themeColor="text1"/>
                <w:sz w:val="21"/>
                <w:szCs w:val="21"/>
                <w:highlight w:val="none"/>
                <w14:textFill>
                  <w14:solidFill>
                    <w14:schemeClr w14:val="tx1"/>
                  </w14:solidFill>
                </w14:textFill>
              </w:rPr>
              <w:t>灰渣产生量计算方法进行核算。</w:t>
            </w:r>
          </w:p>
          <w:p w14:paraId="651DF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color w:val="000000" w:themeColor="text1"/>
                <w:position w:val="-30"/>
                <w:sz w:val="21"/>
                <w:szCs w:val="21"/>
                <w:highlight w:val="none"/>
                <w14:textFill>
                  <w14:solidFill>
                    <w14:schemeClr w14:val="tx1"/>
                  </w14:solidFill>
                </w14:textFill>
              </w:rPr>
              <w:object>
                <v:shape id="_x0000_i1028" o:spt="75" type="#_x0000_t75" style="height:36pt;width:147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14:paraId="068883D7">
            <w:pPr>
              <w:pStyle w:val="30"/>
              <w:keepNext w:val="0"/>
              <w:keepLines w:val="0"/>
              <w:suppressLineNumbers w:val="0"/>
              <w:spacing w:before="0" w:beforeAutospacing="0" w:after="0" w:afterAutospacing="0" w:line="360" w:lineRule="auto"/>
              <w:ind w:left="0" w:right="0" w:firstLineChars="20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式中：E</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hc</w:t>
            </w:r>
            <w:r>
              <w:rPr>
                <w:rFonts w:hint="default" w:ascii="Times New Roman" w:hAnsi="Times New Roman" w:cs="Times New Roman"/>
                <w:color w:val="000000" w:themeColor="text1"/>
                <w:sz w:val="21"/>
                <w:szCs w:val="21"/>
                <w:highlight w:val="none"/>
                <w14:textFill>
                  <w14:solidFill>
                    <w14:schemeClr w14:val="tx1"/>
                  </w14:solidFill>
                </w14:textFill>
              </w:rPr>
              <w:t>----核算时段内灰渣产生量，t；</w:t>
            </w:r>
          </w:p>
          <w:p w14:paraId="5BF480BC">
            <w:pPr>
              <w:pStyle w:val="30"/>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R----核算时段内</w:t>
            </w:r>
            <w:r>
              <w:rPr>
                <w:rFonts w:hint="eastAsia"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cs="Times New Roman"/>
                <w:color w:val="000000" w:themeColor="text1"/>
                <w:sz w:val="21"/>
                <w:szCs w:val="21"/>
                <w:highlight w:val="none"/>
                <w14:textFill>
                  <w14:solidFill>
                    <w14:schemeClr w14:val="tx1"/>
                  </w14:solidFill>
                </w14:textFill>
              </w:rPr>
              <w:t>燃料耗量，</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cs="Times New Roman"/>
                <w:color w:val="000000" w:themeColor="text1"/>
                <w:sz w:val="21"/>
                <w:szCs w:val="21"/>
                <w:highlight w:val="none"/>
                <w14:textFill>
                  <w14:solidFill>
                    <w14:schemeClr w14:val="tx1"/>
                  </w14:solidFill>
                </w14:textFill>
              </w:rPr>
              <w:t>t；</w:t>
            </w:r>
          </w:p>
          <w:p w14:paraId="31B6E6C5">
            <w:pPr>
              <w:pStyle w:val="30"/>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A</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ar</w:t>
            </w:r>
            <w:r>
              <w:rPr>
                <w:rFonts w:hint="default" w:ascii="Times New Roman" w:hAnsi="Times New Roman" w:cs="Times New Roman"/>
                <w:color w:val="000000" w:themeColor="text1"/>
                <w:sz w:val="21"/>
                <w:szCs w:val="21"/>
                <w:highlight w:val="none"/>
                <w14:textFill>
                  <w14:solidFill>
                    <w14:schemeClr w14:val="tx1"/>
                  </w14:solidFill>
                </w14:textFill>
              </w:rPr>
              <w:t>----收到基灰分的质量分数，%；取</w:t>
            </w:r>
            <w:r>
              <w:rPr>
                <w:rFonts w:hint="eastAsia" w:cs="Times New Roman"/>
                <w:color w:val="000000" w:themeColor="text1"/>
                <w:sz w:val="21"/>
                <w:szCs w:val="21"/>
                <w:highlight w:val="none"/>
                <w:lang w:val="en-US" w:eastAsia="zh-CN"/>
                <w14:textFill>
                  <w14:solidFill>
                    <w14:schemeClr w14:val="tx1"/>
                  </w14:solidFill>
                </w14:textFill>
              </w:rPr>
              <w:t>3.71</w:t>
            </w:r>
            <w:r>
              <w:rPr>
                <w:rFonts w:hint="default"/>
                <w:bCs w:val="0"/>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p>
          <w:p w14:paraId="69EFC7ED">
            <w:pPr>
              <w:pStyle w:val="30"/>
              <w:keepNext w:val="0"/>
              <w:keepLines w:val="0"/>
              <w:suppressLineNumbers w:val="0"/>
              <w:spacing w:before="0" w:beforeAutospacing="0" w:after="0" w:afterAutospacing="0" w:line="360" w:lineRule="auto"/>
              <w:ind w:left="0" w:right="0" w:firstLine="1050" w:firstLineChars="500"/>
              <w:jc w:val="both"/>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q</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热风炉</w:t>
            </w:r>
            <w:r>
              <w:rPr>
                <w:rFonts w:hint="default" w:ascii="Times New Roman" w:hAnsi="Times New Roman" w:cs="Times New Roman"/>
                <w:color w:val="000000" w:themeColor="text1"/>
                <w:sz w:val="21"/>
                <w:szCs w:val="21"/>
                <w:highlight w:val="none"/>
                <w14:textFill>
                  <w14:solidFill>
                    <w14:schemeClr w14:val="tx1"/>
                  </w14:solidFill>
                </w14:textFill>
              </w:rPr>
              <w:t>机械不完全燃烧热损失，%；取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热风炉</w:t>
            </w:r>
            <w:r>
              <w:rPr>
                <w:rFonts w:hint="default" w:ascii="Times New Roman" w:hAnsi="Times New Roman" w:cs="Times New Roman"/>
                <w:color w:val="000000" w:themeColor="text1"/>
                <w:sz w:val="21"/>
                <w:szCs w:val="21"/>
                <w:highlight w:val="none"/>
                <w14:textFill>
                  <w14:solidFill>
                    <w14:schemeClr w14:val="tx1"/>
                  </w14:solidFill>
                </w14:textFill>
              </w:rPr>
              <w:t>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2）；</w:t>
            </w:r>
          </w:p>
          <w:p w14:paraId="533A6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Q</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cs="Times New Roman"/>
                <w:color w:val="000000" w:themeColor="text1"/>
                <w:sz w:val="21"/>
                <w:szCs w:val="21"/>
                <w:highlight w:val="none"/>
                <w14:textFill>
                  <w14:solidFill>
                    <w14:schemeClr w14:val="tx1"/>
                  </w14:solidFill>
                </w14:textFill>
              </w:rPr>
              <w:t>----收到基低位发热量，kJ/kg。</w:t>
            </w:r>
            <w:r>
              <w:rPr>
                <w:rFonts w:hint="default"/>
                <w:bCs w:val="0"/>
                <w:color w:val="000000" w:themeColor="text1"/>
                <w:highlight w:val="none"/>
                <w:lang w:val="en-US" w:eastAsia="zh-CN"/>
                <w14:textFill>
                  <w14:solidFill>
                    <w14:schemeClr w14:val="tx1"/>
                  </w14:solidFill>
                </w14:textFill>
              </w:rPr>
              <w:t>取</w:t>
            </w:r>
            <w:r>
              <w:rPr>
                <w:rFonts w:hint="eastAsia"/>
                <w:bCs w:val="0"/>
                <w:color w:val="000000" w:themeColor="text1"/>
                <w:highlight w:val="none"/>
                <w:lang w:val="en-US" w:eastAsia="zh-CN"/>
                <w14:textFill>
                  <w14:solidFill>
                    <w14:schemeClr w14:val="tx1"/>
                  </w14:solidFill>
                </w14:textFill>
              </w:rPr>
              <w:t>17.52</w:t>
            </w:r>
            <w:r>
              <w:rPr>
                <w:rFonts w:hint="default" w:ascii="Arial" w:hAnsi="Arial" w:cs="Arial"/>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；（根据生物质成分分析报告）；</w:t>
            </w:r>
          </w:p>
          <w:p w14:paraId="7DA6AF59">
            <w:pPr>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Ehc=</w:t>
            </w:r>
            <w:r>
              <w:rPr>
                <w:rFonts w:hint="eastAsia" w:cs="Times New Roman"/>
                <w:color w:val="000000" w:themeColor="text1"/>
                <w:sz w:val="21"/>
                <w:szCs w:val="21"/>
                <w:highlight w:val="none"/>
                <w:lang w:val="en-US" w:eastAsia="zh-CN"/>
                <w14:textFill>
                  <w14:solidFill>
                    <w14:schemeClr w14:val="tx1"/>
                  </w14:solidFill>
                </w14:textFill>
              </w:rPr>
              <w:t>1434.08</w:t>
            </w:r>
            <w:r>
              <w:rPr>
                <w:rFonts w:hint="default" w:ascii="Times New Roman" w:hAnsi="Times New Roman" w:cs="Times New Roman"/>
                <w:color w:val="000000" w:themeColor="text1"/>
                <w:sz w:val="21"/>
                <w:szCs w:val="21"/>
                <w:highlight w:val="none"/>
                <w14:textFill>
                  <w14:solidFill>
                    <w14:schemeClr w14:val="tx1"/>
                  </w14:solidFill>
                </w14:textFill>
              </w:rPr>
              <w:t>t×（</w:t>
            </w:r>
            <w:r>
              <w:rPr>
                <w:rFonts w:hint="eastAsia" w:cs="Times New Roman"/>
                <w:color w:val="000000" w:themeColor="text1"/>
                <w:sz w:val="21"/>
                <w:szCs w:val="21"/>
                <w:highlight w:val="none"/>
                <w:lang w:val="en-US" w:eastAsia="zh-CN"/>
                <w14:textFill>
                  <w14:solidFill>
                    <w14:schemeClr w14:val="tx1"/>
                  </w14:solidFill>
                </w14:textFill>
              </w:rPr>
              <w:t>3.71</w:t>
            </w:r>
            <w:r>
              <w:rPr>
                <w:rFonts w:hint="default"/>
                <w:bCs w:val="0"/>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default" w:ascii="Times New Roman" w:hAnsi="Times New Roman" w:cs="Times New Roman"/>
                <w:color w:val="000000" w:themeColor="text1"/>
                <w:kern w:val="24"/>
                <w:sz w:val="21"/>
                <w:szCs w:val="21"/>
                <w:highlight w:val="none"/>
                <w14:textFill>
                  <w14:solidFill>
                    <w14:schemeClr w14:val="tx1"/>
                  </w14:solidFill>
                </w14:textFill>
              </w:rPr>
              <w:t>1</w:t>
            </w:r>
            <w:r>
              <w:rPr>
                <w:rFonts w:hint="eastAsia" w:cs="Times New Roman"/>
                <w:color w:val="000000" w:themeColor="text1"/>
                <w:kern w:val="24"/>
                <w:sz w:val="21"/>
                <w:szCs w:val="21"/>
                <w:highlight w:val="none"/>
                <w:lang w:val="en-US" w:eastAsia="zh-CN"/>
                <w14:textFill>
                  <w14:solidFill>
                    <w14:schemeClr w14:val="tx1"/>
                  </w14:solidFill>
                </w14:textFill>
              </w:rPr>
              <w:t>7520</w:t>
            </w:r>
            <w:r>
              <w:rPr>
                <w:rFonts w:hint="default" w:ascii="Times New Roman" w:hAnsi="Times New Roman" w:cs="Times New Roman"/>
                <w:color w:val="000000" w:themeColor="text1"/>
                <w:sz w:val="21"/>
                <w:szCs w:val="21"/>
                <w:highlight w:val="none"/>
                <w14:textFill>
                  <w14:solidFill>
                    <w14:schemeClr w14:val="tx1"/>
                  </w14:solidFill>
                </w14:textFill>
              </w:rPr>
              <w:t>/33870）=</w:t>
            </w:r>
            <w:r>
              <w:rPr>
                <w:rFonts w:hint="eastAsia" w:cs="Times New Roman"/>
                <w:color w:val="000000" w:themeColor="text1"/>
                <w:sz w:val="21"/>
                <w:szCs w:val="21"/>
                <w:highlight w:val="none"/>
                <w:lang w:val="en-US" w:eastAsia="zh-CN"/>
                <w14:textFill>
                  <w14:solidFill>
                    <w14:schemeClr w14:val="tx1"/>
                  </w14:solidFill>
                </w14:textFill>
              </w:rPr>
              <w:t>142.22</w:t>
            </w:r>
            <w:r>
              <w:rPr>
                <w:rFonts w:hint="default" w:ascii="Times New Roman" w:hAnsi="Times New Roman" w:cs="Times New Roman"/>
                <w:color w:val="000000" w:themeColor="text1"/>
                <w:sz w:val="21"/>
                <w:szCs w:val="21"/>
                <w:highlight w:val="none"/>
                <w14:textFill>
                  <w14:solidFill>
                    <w14:schemeClr w14:val="tx1"/>
                  </w14:solidFill>
                </w14:textFill>
              </w:rPr>
              <w:t>t/a</w:t>
            </w:r>
          </w:p>
          <w:p w14:paraId="1D3DD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经计算，本项目</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炉</w:t>
            </w:r>
            <w:r>
              <w:rPr>
                <w:rFonts w:hint="default" w:ascii="Times New Roman" w:hAnsi="Times New Roman" w:cs="Times New Roman"/>
                <w:bCs/>
                <w:color w:val="000000" w:themeColor="text1"/>
                <w:sz w:val="21"/>
                <w:szCs w:val="21"/>
                <w:highlight w:val="none"/>
                <w14:textFill>
                  <w14:solidFill>
                    <w14:schemeClr w14:val="tx1"/>
                  </w14:solidFill>
                </w14:textFill>
              </w:rPr>
              <w:t>渣</w:t>
            </w:r>
            <w:r>
              <w:rPr>
                <w:rFonts w:hint="eastAsia" w:cs="Times New Roman"/>
                <w:bCs/>
                <w:color w:val="000000" w:themeColor="text1"/>
                <w:sz w:val="21"/>
                <w:szCs w:val="21"/>
                <w:highlight w:val="none"/>
                <w:lang w:val="en-US" w:eastAsia="zh-CN"/>
                <w14:textFill>
                  <w14:solidFill>
                    <w14:schemeClr w14:val="tx1"/>
                  </w14:solidFill>
                </w14:textFill>
              </w:rPr>
              <w:t>及除尘器收尘</w:t>
            </w:r>
            <w:r>
              <w:rPr>
                <w:rFonts w:hint="default" w:ascii="Times New Roman" w:hAnsi="Times New Roman" w:cs="Times New Roman"/>
                <w:bCs/>
                <w:color w:val="000000" w:themeColor="text1"/>
                <w:sz w:val="21"/>
                <w:szCs w:val="21"/>
                <w:highlight w:val="none"/>
                <w14:textFill>
                  <w14:solidFill>
                    <w14:schemeClr w14:val="tx1"/>
                  </w14:solidFill>
                </w14:textFill>
              </w:rPr>
              <w:t>的产生量为</w:t>
            </w:r>
            <w:r>
              <w:rPr>
                <w:rFonts w:hint="eastAsia" w:cs="Times New Roman"/>
                <w:bCs/>
                <w:color w:val="000000" w:themeColor="text1"/>
                <w:sz w:val="21"/>
                <w:szCs w:val="21"/>
                <w:highlight w:val="none"/>
                <w:lang w:val="en-US" w:eastAsia="zh-CN"/>
                <w14:textFill>
                  <w14:solidFill>
                    <w14:schemeClr w14:val="tx1"/>
                  </w14:solidFill>
                </w14:textFill>
              </w:rPr>
              <w:t>142.22</w:t>
            </w:r>
            <w:r>
              <w:rPr>
                <w:rFonts w:hint="default" w:ascii="Times New Roman" w:hAnsi="Times New Roman" w:cs="Times New Roman"/>
                <w:bCs/>
                <w:color w:val="000000" w:themeColor="text1"/>
                <w:sz w:val="21"/>
                <w:szCs w:val="21"/>
                <w:highlight w:val="none"/>
                <w14:textFill>
                  <w14:solidFill>
                    <w14:schemeClr w14:val="tx1"/>
                  </w14:solidFill>
                </w14:textFill>
              </w:rPr>
              <w:t>t/a，</w:t>
            </w:r>
          </w:p>
          <w:p w14:paraId="2DB0B24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热风炉</w:t>
            </w:r>
            <w:r>
              <w:rPr>
                <w:rFonts w:hint="eastAsia"/>
                <w:color w:val="000000" w:themeColor="text1"/>
                <w:sz w:val="21"/>
                <w:szCs w:val="21"/>
                <w:highlight w:val="none"/>
                <w14:textFill>
                  <w14:solidFill>
                    <w14:schemeClr w14:val="tx1"/>
                  </w14:solidFill>
                </w14:textFill>
              </w:rPr>
              <w:t>布袋除尘器收尘</w:t>
            </w:r>
            <w:r>
              <w:rPr>
                <w:rFonts w:hint="eastAsia"/>
                <w:color w:val="000000" w:themeColor="text1"/>
                <w:sz w:val="21"/>
                <w:szCs w:val="21"/>
                <w:highlight w:val="none"/>
                <w:lang w:val="en-US" w:eastAsia="zh-CN"/>
                <w14:textFill>
                  <w14:solidFill>
                    <w14:schemeClr w14:val="tx1"/>
                  </w14:solidFill>
                </w14:textFill>
              </w:rPr>
              <w:t>及</w:t>
            </w:r>
            <w:r>
              <w:rPr>
                <w:rFonts w:hint="eastAsia"/>
                <w:color w:val="000000" w:themeColor="text1"/>
                <w:sz w:val="21"/>
                <w:szCs w:val="21"/>
                <w:highlight w:val="none"/>
                <w14:textFill>
                  <w14:solidFill>
                    <w14:schemeClr w14:val="tx1"/>
                  </w14:solidFill>
                </w14:textFill>
              </w:rPr>
              <w:t>热风炉炉渣</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集中收集</w:t>
            </w:r>
            <w:r>
              <w:rPr>
                <w:rFonts w:hint="eastAsia" w:cs="Times New Roman"/>
                <w:color w:val="000000" w:themeColor="text1"/>
                <w:sz w:val="21"/>
                <w:szCs w:val="21"/>
                <w:highlight w:val="none"/>
                <w:lang w:val="en-US" w:eastAsia="zh-CN"/>
                <w14:textFill>
                  <w14:solidFill>
                    <w14:schemeClr w14:val="tx1"/>
                  </w14:solidFill>
                </w14:textFill>
              </w:rPr>
              <w:t>袋装存储于灰渣间，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10天</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清运1</w:t>
            </w:r>
            <w:r>
              <w:rPr>
                <w:rFonts w:hint="eastAsia" w:cs="Times New Roman"/>
                <w:color w:val="000000" w:themeColor="text1"/>
                <w:sz w:val="21"/>
                <w:szCs w:val="21"/>
                <w:highlight w:val="none"/>
                <w:lang w:val="en-US" w:eastAsia="zh-CN"/>
                <w14:textFill>
                  <w14:solidFill>
                    <w14:schemeClr w14:val="tx1"/>
                  </w14:solidFill>
                </w14:textFill>
              </w:rPr>
              <w:t>次，不在厂区长期储存，外售肥料厂家综合利用。</w:t>
            </w:r>
          </w:p>
          <w:p w14:paraId="6424B960">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eastAsia"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③</w:t>
            </w:r>
            <w:r>
              <w:rPr>
                <w:rFonts w:hint="eastAsia" w:cs="Times New Roman"/>
                <w:color w:val="000000" w:themeColor="text1"/>
                <w:sz w:val="21"/>
                <w:szCs w:val="21"/>
                <w:highlight w:val="none"/>
                <w:lang w:val="en-US" w:eastAsia="zh-CN"/>
                <w14:textFill>
                  <w14:solidFill>
                    <w14:schemeClr w14:val="tx1"/>
                  </w14:solidFill>
                </w14:textFill>
              </w:rPr>
              <w:t>废布袋</w:t>
            </w:r>
          </w:p>
          <w:p w14:paraId="21CDD01F">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本项目除尘器为保证除尘效率，定期更换布袋，</w:t>
            </w:r>
            <w:r>
              <w:rPr>
                <w:rFonts w:hint="eastAsia" w:ascii="Times New Roman" w:hAnsi="Times New Roman" w:cs="Times New Roman"/>
                <w:color w:val="000000" w:themeColor="text1"/>
                <w:sz w:val="21"/>
                <w:szCs w:val="21"/>
                <w:highlight w:val="none"/>
                <w:lang w:eastAsia="zh-CN" w:bidi="ar"/>
                <w14:textFill>
                  <w14:solidFill>
                    <w14:schemeClr w14:val="tx1"/>
                  </w14:solidFill>
                </w14:textFill>
              </w:rPr>
              <w:t>每年</w:t>
            </w:r>
            <w:r>
              <w:rPr>
                <w:rFonts w:hint="default"/>
                <w:color w:val="000000" w:themeColor="text1"/>
                <w:sz w:val="21"/>
                <w:szCs w:val="21"/>
                <w:highlight w:val="none"/>
                <w14:textFill>
                  <w14:solidFill>
                    <w14:schemeClr w14:val="tx1"/>
                  </w14:solidFill>
                </w14:textFill>
              </w:rPr>
              <w:t>更换一次，废弃布袋产生量</w:t>
            </w:r>
            <w:r>
              <w:rPr>
                <w:rFonts w:hint="eastAsia"/>
                <w:color w:val="000000" w:themeColor="text1"/>
                <w:sz w:val="21"/>
                <w:szCs w:val="21"/>
                <w:highlight w:val="none"/>
                <w:lang w:val="en-US" w:eastAsia="zh-CN"/>
                <w14:textFill>
                  <w14:solidFill>
                    <w14:schemeClr w14:val="tx1"/>
                  </w14:solidFill>
                </w14:textFill>
              </w:rPr>
              <w:t>约</w:t>
            </w:r>
            <w:r>
              <w:rPr>
                <w:rFonts w:hint="default" w:ascii="Times New Roman" w:hAnsi="Times New Roman" w:cs="Times New Roman"/>
                <w:color w:val="000000" w:themeColor="text1"/>
                <w:sz w:val="21"/>
                <w:szCs w:val="21"/>
                <w:highlight w:val="none"/>
                <w14:textFill>
                  <w14:solidFill>
                    <w14:schemeClr w14:val="tx1"/>
                  </w14:solidFill>
                </w14:textFill>
              </w:rPr>
              <w:t>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color w:val="000000" w:themeColor="text1"/>
                <w:sz w:val="21"/>
                <w:szCs w:val="21"/>
                <w:highlight w:val="none"/>
                <w14:textFill>
                  <w14:solidFill>
                    <w14:schemeClr w14:val="tx1"/>
                  </w14:solidFill>
                </w14:textFill>
              </w:rPr>
              <w:t>t/a</w:t>
            </w: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更换后由厂家直接带走</w:t>
            </w:r>
            <w:r>
              <w:rPr>
                <w:rFonts w:hint="default"/>
                <w:color w:val="000000" w:themeColor="text1"/>
                <w:sz w:val="21"/>
                <w:szCs w:val="21"/>
                <w:highlight w:val="none"/>
                <w14:textFill>
                  <w14:solidFill>
                    <w14:schemeClr w14:val="tx1"/>
                  </w14:solidFill>
                </w14:textFill>
              </w:rPr>
              <w:t>。</w:t>
            </w:r>
          </w:p>
          <w:p w14:paraId="5399B7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④</w:t>
            </w: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21"/>
                <w:szCs w:val="21"/>
                <w:highlight w:val="none"/>
                <w14:textFill>
                  <w14:solidFill>
                    <w14:schemeClr w14:val="tx1"/>
                  </w14:solidFill>
                </w14:textFill>
              </w:rPr>
              <w:t>粉尘</w:t>
            </w:r>
          </w:p>
          <w:p w14:paraId="30590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eastAsia" w:ascii="Times New Roman" w:hAnsi="Times New Roman" w:cs="Times New Roman"/>
                <w:color w:val="000000" w:themeColor="text1"/>
                <w:sz w:val="21"/>
                <w:szCs w:val="21"/>
                <w:highlight w:val="none"/>
                <w:lang w:eastAsia="zh-CN"/>
                <w14:textFill>
                  <w14:solidFill>
                    <w14:schemeClr w14:val="tx1"/>
                  </w14:solidFill>
                </w14:textFill>
              </w:rPr>
              <w:t>过程</w:t>
            </w:r>
            <w:r>
              <w:rPr>
                <w:rFonts w:hint="eastAsia" w:cs="Times New Roman"/>
                <w:color w:val="000000" w:themeColor="text1"/>
                <w:sz w:val="21"/>
                <w:szCs w:val="21"/>
                <w:highlight w:val="none"/>
                <w:lang w:val="en-US" w:eastAsia="zh-CN"/>
                <w14:textFill>
                  <w14:solidFill>
                    <w14:schemeClr w14:val="tx1"/>
                  </w14:solidFill>
                </w14:textFill>
              </w:rPr>
              <w:t>新增</w:t>
            </w:r>
            <w:r>
              <w:rPr>
                <w:rFonts w:hint="eastAsia" w:ascii="Times New Roman" w:hAnsi="Times New Roman" w:cs="Times New Roman"/>
                <w:color w:val="000000" w:themeColor="text1"/>
                <w:sz w:val="21"/>
                <w:szCs w:val="21"/>
                <w:highlight w:val="none"/>
                <w:lang w:eastAsia="zh-CN"/>
                <w14:textFill>
                  <w14:solidFill>
                    <w14:schemeClr w14:val="tx1"/>
                  </w14:solidFill>
                </w14:textFill>
              </w:rPr>
              <w:t>的</w:t>
            </w:r>
            <w:r>
              <w:rPr>
                <w:rFonts w:hint="eastAsia"/>
                <w:color w:val="000000" w:themeColor="text1"/>
                <w:highlight w:val="none"/>
                <w:lang w:eastAsia="zh-CN"/>
                <w14:textFill>
                  <w14:solidFill>
                    <w14:schemeClr w14:val="tx1"/>
                  </w14:solidFill>
                </w14:textFill>
              </w:rPr>
              <w:t>粉尘</w:t>
            </w:r>
            <w:r>
              <w:rPr>
                <w:rFonts w:hint="default" w:ascii="Times New Roman" w:hAnsi="Times New Roman" w:cs="Times New Roman"/>
                <w:color w:val="000000" w:themeColor="text1"/>
                <w:sz w:val="21"/>
                <w:szCs w:val="21"/>
                <w:highlight w:val="none"/>
                <w14:textFill>
                  <w14:solidFill>
                    <w14:schemeClr w14:val="tx1"/>
                  </w14:solidFill>
                </w14:textFill>
              </w:rPr>
              <w:t>量为</w:t>
            </w:r>
            <w:r>
              <w:rPr>
                <w:rFonts w:hint="eastAsia" w:cs="Times New Roman"/>
                <w:color w:val="000000" w:themeColor="text1"/>
                <w:sz w:val="21"/>
                <w:szCs w:val="21"/>
                <w:highlight w:val="none"/>
                <w:lang w:val="en-US" w:eastAsia="zh-CN"/>
                <w14:textFill>
                  <w14:solidFill>
                    <w14:schemeClr w14:val="tx1"/>
                  </w14:solidFill>
                </w14:textFill>
              </w:rPr>
              <w:t>33.297</w:t>
            </w:r>
            <w:r>
              <w:rPr>
                <w:rFonts w:hint="default" w:ascii="Times New Roman" w:hAnsi="Times New Roman" w:cs="Times New Roman"/>
                <w:color w:val="000000" w:themeColor="text1"/>
                <w:sz w:val="21"/>
                <w:szCs w:val="21"/>
                <w:highlight w:val="none"/>
                <w14:textFill>
                  <w14:solidFill>
                    <w14:schemeClr w14:val="tx1"/>
                  </w14:solidFill>
                </w14:textFill>
              </w:rPr>
              <w:t>t，</w:t>
            </w:r>
            <w:r>
              <w:rPr>
                <w:rFonts w:hint="eastAsia" w:cs="Times New Roman"/>
                <w:color w:val="000000" w:themeColor="text1"/>
                <w:kern w:val="2"/>
                <w:sz w:val="21"/>
                <w:szCs w:val="21"/>
                <w:highlight w:val="none"/>
                <w:lang w:val="en-US" w:eastAsia="zh-CN" w:bidi="ar-SA"/>
                <w14:textFill>
                  <w14:solidFill>
                    <w14:schemeClr w14:val="tx1"/>
                  </w14:solidFill>
                </w14:textFill>
              </w:rPr>
              <w:t>交由环卫部门统一处置</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38D8CC2">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⑤危险废物</w:t>
            </w:r>
          </w:p>
          <w:p w14:paraId="1E1D0D9D">
            <w:pPr>
              <w:pStyle w:val="4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baseline"/>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机油、废弃含油抹布手套等统一储存在危险废物贮存点内密闭废油桶、容器内，产生量0.03t/a，集中收集后，定期交由有资质单位处理。危险废物贮存点必须地面与裙脚要用坚固、防渗的建筑材料建造，防渗层为至少2mm厚的防渗人工材料，防渗系数≤10</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cm/s，危险废物须做好危险废物情况的记录、记录上须标明危险废物的名称、来源、数量、入库时间、废物出库日期及接受单位名称。危险废物经过统一收集后再交给有资质的危险废物处置单位处理。</w:t>
            </w:r>
          </w:p>
          <w:p w14:paraId="280AE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s="Times New Roman"/>
                <w:color w:val="000000" w:themeColor="text1"/>
                <w:kern w:val="2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2）环境管理</w:t>
            </w:r>
            <w:r>
              <w:rPr>
                <w:rFonts w:hint="default" w:ascii="Times New Roman" w:hAnsi="Times New Roman" w:cs="Times New Roman"/>
                <w:bCs/>
                <w:color w:val="000000" w:themeColor="text1"/>
                <w:sz w:val="21"/>
                <w:szCs w:val="21"/>
                <w:highlight w:val="none"/>
                <w14:textFill>
                  <w14:solidFill>
                    <w14:schemeClr w14:val="tx1"/>
                  </w14:solidFill>
                </w14:textFill>
              </w:rPr>
              <w:t>要求</w:t>
            </w:r>
          </w:p>
          <w:p w14:paraId="04D9B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不新增劳动定员，</w:t>
            </w:r>
            <w:r>
              <w:rPr>
                <w:rFonts w:hint="eastAsia"/>
                <w:color w:val="000000" w:themeColor="text1"/>
                <w:sz w:val="21"/>
                <w:szCs w:val="21"/>
                <w:highlight w:val="none"/>
                <w:lang w:val="en-US" w:eastAsia="zh-CN"/>
                <w14:textFill>
                  <w14:solidFill>
                    <w14:schemeClr w14:val="tx1"/>
                  </w14:solidFill>
                </w14:textFill>
              </w:rPr>
              <w:t>无</w:t>
            </w:r>
            <w:r>
              <w:rPr>
                <w:rFonts w:hint="eastAsia"/>
                <w:color w:val="000000" w:themeColor="text1"/>
                <w:sz w:val="21"/>
                <w:szCs w:val="21"/>
                <w:highlight w:val="none"/>
                <w14:textFill>
                  <w14:solidFill>
                    <w14:schemeClr w14:val="tx1"/>
                  </w14:solidFill>
                </w14:textFill>
              </w:rPr>
              <w:t>新增</w:t>
            </w:r>
            <w:r>
              <w:rPr>
                <w:rFonts w:hint="eastAsia"/>
                <w:color w:val="000000" w:themeColor="text1"/>
                <w:sz w:val="21"/>
                <w:szCs w:val="21"/>
                <w:highlight w:val="none"/>
                <w:lang w:val="en-US" w:eastAsia="zh-CN"/>
                <w14:textFill>
                  <w14:solidFill>
                    <w14:schemeClr w14:val="tx1"/>
                  </w14:solidFill>
                </w14:textFill>
              </w:rPr>
              <w:t>生活垃圾</w:t>
            </w:r>
            <w:r>
              <w:rPr>
                <w:rFonts w:hint="eastAsia"/>
                <w:color w:val="000000" w:themeColor="text1"/>
                <w:sz w:val="18"/>
                <w:szCs w:val="18"/>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热风炉</w:t>
            </w:r>
            <w:r>
              <w:rPr>
                <w:rFonts w:hint="eastAsia"/>
                <w:color w:val="000000" w:themeColor="text1"/>
                <w:sz w:val="21"/>
                <w:szCs w:val="21"/>
                <w:highlight w:val="none"/>
                <w14:textFill>
                  <w14:solidFill>
                    <w14:schemeClr w14:val="tx1"/>
                  </w14:solidFill>
                </w14:textFill>
              </w:rPr>
              <w:t>布袋除尘器收尘</w:t>
            </w:r>
            <w:r>
              <w:rPr>
                <w:rFonts w:hint="eastAsia"/>
                <w:color w:val="000000" w:themeColor="text1"/>
                <w:sz w:val="21"/>
                <w:szCs w:val="21"/>
                <w:highlight w:val="none"/>
                <w:lang w:val="en-US" w:eastAsia="zh-CN"/>
                <w14:textFill>
                  <w14:solidFill>
                    <w14:schemeClr w14:val="tx1"/>
                  </w14:solidFill>
                </w14:textFill>
              </w:rPr>
              <w:t>及</w:t>
            </w:r>
            <w:r>
              <w:rPr>
                <w:rFonts w:hint="eastAsia"/>
                <w:color w:val="000000" w:themeColor="text1"/>
                <w:sz w:val="21"/>
                <w:szCs w:val="21"/>
                <w:highlight w:val="none"/>
                <w14:textFill>
                  <w14:solidFill>
                    <w14:schemeClr w14:val="tx1"/>
                  </w14:solidFill>
                </w14:textFill>
              </w:rPr>
              <w:t>热风炉炉渣</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集中收集</w:t>
            </w:r>
            <w:r>
              <w:rPr>
                <w:rFonts w:hint="eastAsia" w:cs="Times New Roman"/>
                <w:color w:val="000000" w:themeColor="text1"/>
                <w:sz w:val="21"/>
                <w:szCs w:val="21"/>
                <w:highlight w:val="none"/>
                <w:lang w:val="en-US" w:eastAsia="zh-CN"/>
                <w14:textFill>
                  <w14:solidFill>
                    <w14:schemeClr w14:val="tx1"/>
                  </w14:solidFill>
                </w14:textFill>
              </w:rPr>
              <w:t>袋装存储于灰渣间，每10天清运1次，不在厂区长期储存，外售综合利用</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21"/>
                <w:szCs w:val="21"/>
                <w:highlight w:val="none"/>
                <w14:textFill>
                  <w14:solidFill>
                    <w14:schemeClr w14:val="tx1"/>
                  </w14:solidFill>
                </w14:textFill>
              </w:rPr>
              <w:t>粉尘</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市政部门统一处理。危险废物废机油，含油抹布手套委托有资质单位处理</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213DED7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一般固体废物环境管理要求</w:t>
            </w:r>
          </w:p>
          <w:p w14:paraId="24047DD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1 \* GB3 </w:instrTex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0B81435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2 \* GB3 </w:instrTex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禁止向生活垃圾收集设施中投放工业固体废物。</w:t>
            </w:r>
          </w:p>
          <w:p w14:paraId="394641C8">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instrText xml:space="preserve"> = 3 \* GB3 </w:instrTex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③</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14:paraId="06E2F41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危险废</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物环境管理要求</w:t>
            </w:r>
          </w:p>
          <w:p w14:paraId="7C27798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本项目危险废物贮存点的设置应按《危险废物贮存污染控制标准》（GB18597-2023）相关要求进行设置，并做到以下几点：</w:t>
            </w:r>
          </w:p>
          <w:p w14:paraId="56BDFE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①贮存设施运行环境管理要求</w:t>
            </w:r>
          </w:p>
          <w:p w14:paraId="25B0AF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A危险废物存入贮存设施前应对危险废物类别和特性与危险废物标签等危险废物识别标志的一致性进行核验，不一致的或类别、特性不明的不应存入。</w:t>
            </w:r>
          </w:p>
          <w:p w14:paraId="048148A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B应定期检查危险废物的贮存状况，及时清理贮存设施地面，更换破损泄漏的危险废物贮存容器和包装物，保证堆存危险废物的防雨、防风、防扬尘等设施功能完好。                              </w:t>
            </w:r>
          </w:p>
          <w:p w14:paraId="3D11803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C作业设备及车辆等结束作业离开贮存设施时，应对其残留的危险废物进行清理，清理的废物或清洗废水应收集处理。</w:t>
            </w:r>
          </w:p>
          <w:p w14:paraId="01DA6A3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D贮存设施运行期间，应按国家有关标准和规定建立危险废物管理台账并保存。</w:t>
            </w:r>
          </w:p>
          <w:p w14:paraId="2045890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E贮存设施所有者或运营者应建立贮存设施环境管理制度、管理人员岗位职责制度、设施运行操作制度、人员岗位培训制度等。</w:t>
            </w:r>
          </w:p>
          <w:p w14:paraId="78F63D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681264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G贮存设施所有者或运营者应建立贮存设施全部档案，包括设计、施工、验收、运行、监测和环境应急等，应按国家有关档案管理的法律法规进行整理和归档。</w:t>
            </w:r>
          </w:p>
          <w:p w14:paraId="0F2C585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②贮存点环境管理要求</w:t>
            </w:r>
          </w:p>
          <w:p w14:paraId="745874E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A贮存点应具有固定的区域边界，并应采取与其他区域进行隔离的措施。</w:t>
            </w:r>
          </w:p>
          <w:p w14:paraId="59FACE5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B贮存点应采取防风、防雨、防晒和防止危险废物流失、扬散等措施。</w:t>
            </w:r>
          </w:p>
          <w:p w14:paraId="4BFD7F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C贮存点应采取防风、防雨、防晒和防止危险废物流失、扬散等措施。</w:t>
            </w:r>
          </w:p>
          <w:p w14:paraId="28D2740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D贮存点应根据危险废物的形态、物理化学性质、包装形式等，采取防渗、防漏等污染防治措施或采用具有相应功能的装置。</w:t>
            </w:r>
          </w:p>
          <w:p w14:paraId="3D4F87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E贮存点应及时清运贮存的危险废物，实时贮存量不应超过 3 吨。</w:t>
            </w:r>
          </w:p>
          <w:p w14:paraId="5178A03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③对于委托处理的固体废物，其运输转移过程中需做到以下几点：</w:t>
            </w:r>
          </w:p>
          <w:p w14:paraId="1032C58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A本项目危险废物必须及时运送至危险废物处置单位进行处置，运输过程必须符合国家对危险废物的运输要求。应由固废接收单位的专用车进行运输，该运输车辆须经主管单位检查，并持有有关单位签发的许可证，负责运输的司机应通过培训，持有证明文件。承载危险废物的车辆须有明显的标志或适当的危险符号，以引起注意。运输过程中要注意危险废物安全单独运输，固废的包装容器要注意密闭，以免在运输途中发生泄漏，从而危害环境；</w:t>
            </w:r>
          </w:p>
          <w:p w14:paraId="623CCCB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B本项目在危险废物转移的过程中严格执行《危险废物转移管理办法》（生态环境部 公安部 交通运输部 部令 第23号），危险废物的转运必须填写“五联单”，且必须符合国家及黑龙江省对危险废物转运的相关规定；</w:t>
            </w:r>
          </w:p>
          <w:p w14:paraId="497D992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leftChars="0" w:right="0" w:firstLine="420" w:firstLineChars="200"/>
              <w:textAlignment w:val="auto"/>
              <w:rPr>
                <w:rFonts w:hint="eastAsia"/>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载有危险废物的车辆在公路上行驶时，需持有运输许可证，其上应注明废物来源、性质和运往地点。装载危险废物车辆的行驶路线须绕开人口密集的居民区和受保护的水体等环境保护目标。组织危险废物的运输单位，在事先需作出周密的运输计划和行驶路线，其中包括有效的废物泄露情况下的应急措施</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p w14:paraId="7D404CEE">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（3）环境影响分析</w:t>
            </w:r>
          </w:p>
          <w:p w14:paraId="09C4B044">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eastAsia="宋体"/>
                <w:highlight w:val="none"/>
                <w:lang w:val="en-US" w:eastAsia="zh-CN"/>
              </w:rPr>
            </w:pPr>
            <w:r>
              <w:rPr>
                <w:rFonts w:hint="default" w:ascii="Times New Roman" w:hAnsi="Times New Roman" w:cs="Times New Roman"/>
                <w:color w:val="000000" w:themeColor="text1"/>
                <w:sz w:val="21"/>
                <w:szCs w:val="21"/>
                <w:highlight w:val="none"/>
                <w14:textFill>
                  <w14:solidFill>
                    <w14:schemeClr w14:val="tx1"/>
                  </w14:solidFill>
                </w14:textFill>
              </w:rPr>
              <w:t>本项目所产生的固体废物做到及时收集，妥善处置，本项目一般固体废物满足《一般工业固体废物贮存和填埋污染控制标准》（GB18599-2020）</w:t>
            </w:r>
            <w:r>
              <w:rPr>
                <w:rFonts w:hint="eastAsia" w:cs="Times New Roman"/>
                <w:color w:val="000000" w:themeColor="text1"/>
                <w:sz w:val="2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《固体废物分类与代码</w:t>
            </w:r>
            <w:r>
              <w:rPr>
                <w:rFonts w:hint="eastAsia"/>
                <w:bCs/>
                <w:color w:val="000000" w:themeColor="text1"/>
                <w:szCs w:val="21"/>
                <w:highlight w:val="none"/>
                <w:lang w:eastAsia="zh-CN"/>
                <w14:textFill>
                  <w14:solidFill>
                    <w14:schemeClr w14:val="tx1"/>
                  </w14:solidFill>
                </w14:textFill>
              </w:rPr>
              <w:t>目录</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eastAsia="zh-CN"/>
                <w14:textFill>
                  <w14:solidFill>
                    <w14:schemeClr w14:val="tx1"/>
                  </w14:solidFill>
                </w14:textFill>
              </w:rPr>
              <w:t>公告</w:t>
            </w:r>
            <w:r>
              <w:rPr>
                <w:rFonts w:hint="eastAsia"/>
                <w:bCs/>
                <w:color w:val="000000" w:themeColor="text1"/>
                <w:szCs w:val="21"/>
                <w:highlight w:val="none"/>
                <w:lang w:val="en-US" w:eastAsia="zh-CN"/>
                <w14:textFill>
                  <w14:solidFill>
                    <w14:schemeClr w14:val="tx1"/>
                  </w14:solidFill>
                </w14:textFill>
              </w:rPr>
              <w:t>2024年第4号</w:t>
            </w:r>
            <w:r>
              <w:rPr>
                <w:rFonts w:hint="eastAsia"/>
                <w:bCs/>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危险废物满足《危险废物贮存污染控制标准》（GB18597-2023），</w:t>
            </w:r>
            <w:r>
              <w:rPr>
                <w:rFonts w:hint="default" w:ascii="Times New Roman" w:hAnsi="Times New Roman" w:cs="Times New Roman"/>
                <w:color w:val="000000" w:themeColor="text1"/>
                <w:sz w:val="21"/>
                <w:szCs w:val="21"/>
                <w:highlight w:val="none"/>
                <w14:textFill>
                  <w14:solidFill>
                    <w14:schemeClr w14:val="tx1"/>
                  </w14:solidFill>
                </w14:textFill>
              </w:rPr>
              <w:t>本项目产生的固体废物经过妥善处理后，处置率达到100%</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不会影响周边环境。</w:t>
            </w:r>
          </w:p>
          <w:p w14:paraId="25243A42">
            <w:pPr>
              <w:keepNext w:val="0"/>
              <w:keepLines w:val="0"/>
              <w:pageBreakBefore w:val="0"/>
              <w:numPr>
                <w:ilvl w:val="0"/>
                <w:numId w:val="8"/>
              </w:numPr>
              <w:suppressLineNumbers w:val="0"/>
              <w:kinsoku/>
              <w:wordWrap/>
              <w:overflowPunct/>
              <w:topLinePunct w:val="0"/>
              <w:bidi w:val="0"/>
              <w:adjustRightInd w:val="0"/>
              <w:snapToGrid w:val="0"/>
              <w:spacing w:before="0" w:beforeAutospacing="0" w:after="0" w:afterAutospacing="0" w:line="360" w:lineRule="auto"/>
              <w:ind w:left="0" w:leftChars="0" w:right="0" w:firstLine="422" w:firstLineChars="200"/>
              <w:rPr>
                <w:rFonts w:hint="eastAsia" w:cs="Times New Roman"/>
                <w:b/>
                <w:color w:val="000000" w:themeColor="text1"/>
                <w:szCs w:val="21"/>
                <w:highlight w:val="none"/>
                <w:lang w:val="en-US" w:eastAsia="zh-CN"/>
                <w14:textFill>
                  <w14:solidFill>
                    <w14:schemeClr w14:val="tx1"/>
                  </w14:solidFill>
                </w14:textFill>
              </w:rPr>
            </w:pPr>
            <w:r>
              <w:rPr>
                <w:rFonts w:hint="eastAsia" w:cs="Times New Roman"/>
                <w:b/>
                <w:color w:val="000000" w:themeColor="text1"/>
                <w:szCs w:val="21"/>
                <w:highlight w:val="none"/>
                <w:lang w:val="en-US" w:eastAsia="zh-CN"/>
                <w14:textFill>
                  <w14:solidFill>
                    <w14:schemeClr w14:val="tx1"/>
                  </w14:solidFill>
                </w14:textFill>
              </w:rPr>
              <w:t>运营期对环境保护目标影响分析</w:t>
            </w:r>
          </w:p>
          <w:p w14:paraId="4688532B">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本项目热风炉烟气通过布袋除尘器处理后经15m烟囱（DA001）高空排放，SO</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排放浓度符合《工业炉窑大气污染物排放标准》（GB9078-1996）中的表4中的二级标准，</w:t>
            </w:r>
            <w:r>
              <w:rPr>
                <w:rFonts w:hint="eastAsia" w:cs="Times New Roman"/>
                <w:color w:val="000000" w:themeColor="text1"/>
                <w:sz w:val="21"/>
                <w:szCs w:val="21"/>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浓度及烟气黑度符合《工业炉窑大气污染物排放标准》（GB9078-1996）中的表2中的二级标准；原料烘干、运输及筛分过程会有粉尘产生，此部分粉尘以无组织的形式排放。装卸工段采用密闭性良好的设备，全封闭输送机、原粮入仓采取封闭和减小装卸高度等降尘措施，运输过程中采用封闭输送；清粮采用全密闭筛分机，产生的粉尘经设备自带袋式除尘器处理后排放；烘干塔内部自带重力沉降室，烘干塔底部四周设置防尘挡板，粉尘受挡板格挡后受重力作用回落到烘干塔底部收尘设施中。燃料库、</w:t>
            </w:r>
            <w:r>
              <w:rPr>
                <w:rFonts w:hint="eastAsia" w:cs="Times New Roman"/>
                <w:color w:val="000000" w:themeColor="text1"/>
                <w:sz w:val="21"/>
                <w:szCs w:val="21"/>
                <w:highlight w:val="none"/>
                <w:lang w:val="en-US" w:eastAsia="zh-CN"/>
                <w14:textFill>
                  <w14:solidFill>
                    <w14:schemeClr w14:val="tx1"/>
                  </w14:solidFill>
                </w14:textFill>
              </w:rPr>
              <w:t>热风炉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房密闭并定期洒水抑尘，减少粉尘扩散，厂界颗粒物排放浓度符合《大气污染物综合排放标准》（GB16297-1996）表2无组织排放浓度限值要求。热风炉周边无组织排放</w:t>
            </w:r>
            <w:r>
              <w:rPr>
                <w:rFonts w:hint="eastAsia" w:cs="Times New Roman"/>
                <w:color w:val="000000" w:themeColor="text1"/>
                <w:sz w:val="21"/>
                <w:szCs w:val="21"/>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浓度执行《工业炉窑大气污染物排放标准》（GB9078-1996）中的表3中标准限值。</w:t>
            </w:r>
          </w:p>
          <w:p w14:paraId="3A3D49F2">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本项目选用低噪声设备，通过采取减振、消声、隔声等措施后，本项目周围敏感点满足《声环境质量标准》(GB3096-2008)中2类标准要求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34C2A518">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eastAsia" w:eastAsia="宋体"/>
                <w:highlight w:val="none"/>
                <w:lang w:val="en-US" w:eastAsia="zh-CN"/>
              </w:rPr>
            </w:pPr>
            <w:r>
              <w:rPr>
                <w:rFonts w:hint="default" w:ascii="Times New Roman" w:hAnsi="Times New Roman" w:cs="Times New Roman"/>
                <w:color w:val="000000" w:themeColor="text1"/>
                <w:sz w:val="21"/>
                <w:szCs w:val="21"/>
                <w:highlight w:val="none"/>
                <w14:textFill>
                  <w14:solidFill>
                    <w14:schemeClr w14:val="tx1"/>
                  </w14:solidFill>
                </w14:textFill>
              </w:rPr>
              <w:t>本项目所产生的固体废物做到及时收集，妥善处置，本项目一般固体废物满足《一般工业固体废物贮存和填埋污染控制标准》（GB18599-2020）</w:t>
            </w:r>
            <w:r>
              <w:rPr>
                <w:rFonts w:hint="eastAsia" w:cs="Times New Roman"/>
                <w:color w:val="000000" w:themeColor="text1"/>
                <w:sz w:val="21"/>
                <w:szCs w:val="21"/>
                <w:highlight w:val="none"/>
                <w:lang w:eastAsia="zh-CN"/>
                <w14:textFill>
                  <w14:solidFill>
                    <w14:schemeClr w14:val="tx1"/>
                  </w14:solidFill>
                </w14:textFill>
              </w:rPr>
              <w:t>、</w:t>
            </w:r>
            <w:r>
              <w:rPr>
                <w:rFonts w:hint="eastAsia"/>
                <w:bCs/>
                <w:color w:val="000000" w:themeColor="text1"/>
                <w:szCs w:val="21"/>
                <w:highlight w:val="none"/>
                <w14:textFill>
                  <w14:solidFill>
                    <w14:schemeClr w14:val="tx1"/>
                  </w14:solidFill>
                </w14:textFill>
              </w:rPr>
              <w:t>《固体废物分类与代码</w:t>
            </w:r>
            <w:r>
              <w:rPr>
                <w:rFonts w:hint="eastAsia"/>
                <w:bCs/>
                <w:color w:val="000000" w:themeColor="text1"/>
                <w:szCs w:val="21"/>
                <w:highlight w:val="none"/>
                <w:lang w:eastAsia="zh-CN"/>
                <w14:textFill>
                  <w14:solidFill>
                    <w14:schemeClr w14:val="tx1"/>
                  </w14:solidFill>
                </w14:textFill>
              </w:rPr>
              <w:t>目录</w:t>
            </w:r>
            <w:r>
              <w:rPr>
                <w:rFonts w:hint="eastAsia"/>
                <w:bCs/>
                <w:color w:val="000000" w:themeColor="text1"/>
                <w:szCs w:val="21"/>
                <w:highlight w:val="none"/>
                <w14:textFill>
                  <w14:solidFill>
                    <w14:schemeClr w14:val="tx1"/>
                  </w14:solidFill>
                </w14:textFill>
              </w:rPr>
              <w:t>》（</w:t>
            </w:r>
            <w:r>
              <w:rPr>
                <w:rFonts w:hint="eastAsia"/>
                <w:bCs/>
                <w:color w:val="000000" w:themeColor="text1"/>
                <w:szCs w:val="21"/>
                <w:highlight w:val="none"/>
                <w:lang w:eastAsia="zh-CN"/>
                <w14:textFill>
                  <w14:solidFill>
                    <w14:schemeClr w14:val="tx1"/>
                  </w14:solidFill>
                </w14:textFill>
              </w:rPr>
              <w:t>公告</w:t>
            </w:r>
            <w:r>
              <w:rPr>
                <w:rFonts w:hint="eastAsia"/>
                <w:bCs/>
                <w:color w:val="000000" w:themeColor="text1"/>
                <w:szCs w:val="21"/>
                <w:highlight w:val="none"/>
                <w:lang w:val="en-US" w:eastAsia="zh-CN"/>
                <w14:textFill>
                  <w14:solidFill>
                    <w14:schemeClr w14:val="tx1"/>
                  </w14:solidFill>
                </w14:textFill>
              </w:rPr>
              <w:t>2024年第4号</w:t>
            </w:r>
            <w:r>
              <w:rPr>
                <w:rFonts w:hint="eastAsia"/>
                <w:bCs/>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危险废物满足《危险废物贮存污染控制标准》（GB18597-2023），</w:t>
            </w:r>
            <w:r>
              <w:rPr>
                <w:rFonts w:hint="default" w:ascii="Times New Roman" w:hAnsi="Times New Roman" w:cs="Times New Roman"/>
                <w:color w:val="000000" w:themeColor="text1"/>
                <w:sz w:val="21"/>
                <w:szCs w:val="21"/>
                <w:highlight w:val="none"/>
                <w14:textFill>
                  <w14:solidFill>
                    <w14:schemeClr w14:val="tx1"/>
                  </w14:solidFill>
                </w14:textFill>
              </w:rPr>
              <w:t>本项目产生的固体废物经过妥善处理后，处置率达到100%。</w:t>
            </w:r>
          </w:p>
          <w:p w14:paraId="2615F9FE">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综上所述，在落实污染防治措施，并保证相应环保措施正常运行后，本项目所产生污染对周围环境保护目标影响较小。运营期间做好相关监测，发现超标及时采取措施，本项目基本不会对周围环境保护目标产生相关环境影响。</w:t>
            </w:r>
          </w:p>
          <w:p w14:paraId="2B5C912E">
            <w:pPr>
              <w:pStyle w:val="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2" w:firstLineChars="200"/>
              <w:jc w:val="both"/>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土壤和地下水</w:t>
            </w:r>
          </w:p>
          <w:p w14:paraId="25021ED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rPr>
                <w:rFonts w:hint="default"/>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本项目不存在土壤、地下水环境污染途径，运营期无地下水、土壤跟踪监测要求。</w:t>
            </w:r>
          </w:p>
          <w:p w14:paraId="22F26A19">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22" w:firstLineChars="200"/>
              <w:rPr>
                <w:rFonts w:hint="eastAsia" w:ascii="Times New Roman" w:hAnsi="Times New Roman" w:eastAsia="宋体" w:cs="Times New Roman"/>
                <w:b/>
                <w:color w:val="000000" w:themeColor="text1"/>
                <w:szCs w:val="21"/>
                <w:highlight w:val="none"/>
                <w:lang w:eastAsia="zh-CN"/>
                <w14:textFill>
                  <w14:solidFill>
                    <w14:schemeClr w14:val="tx1"/>
                  </w14:solidFill>
                </w14:textFill>
              </w:rPr>
            </w:pPr>
            <w:r>
              <w:rPr>
                <w:rFonts w:hint="eastAsia" w:cs="Times New Roman"/>
                <w:b/>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color w:val="000000" w:themeColor="text1"/>
                <w:szCs w:val="21"/>
                <w:highlight w:val="none"/>
                <w14:textFill>
                  <w14:solidFill>
                    <w14:schemeClr w14:val="tx1"/>
                  </w14:solidFill>
                </w14:textFill>
              </w:rPr>
              <w:t>、环境风险</w:t>
            </w:r>
          </w:p>
          <w:p w14:paraId="17B055B1">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（1）环境风险识别</w:t>
            </w:r>
          </w:p>
          <w:p w14:paraId="50129330">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依据《建设项目环境风险评价技术导则》（HJ169-2018）中的危险物质或危险化学品，对项目的环境风险物质进行判断，本项目风险物质主要为废机油。</w:t>
            </w:r>
          </w:p>
          <w:p w14:paraId="173C7411">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（2）建设项目风险物质存储情况</w:t>
            </w:r>
          </w:p>
          <w:p w14:paraId="6D22E25B">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根据《建设项目环境风险评价技术导则》（HJ 169-2018）附录B可知，本项目风险物质主要为废机油，产生的废机油暂存在内的危险废物贮存点，危险废物贮存点内最大储存量</w:t>
            </w:r>
            <w:r>
              <w:rPr>
                <w:rFonts w:hint="eastAsia" w:cs="Times New Roman"/>
                <w:color w:val="000000" w:themeColor="text1"/>
                <w:szCs w:val="21"/>
                <w:highlight w:val="none"/>
                <w:lang w:val="en-US" w:eastAsia="zh-CN"/>
                <w14:textFill>
                  <w14:solidFill>
                    <w14:schemeClr w14:val="tx1"/>
                  </w14:solidFill>
                </w14:textFill>
              </w:rPr>
              <w:t>1t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p w14:paraId="4CF2DF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表4-1</w:t>
            </w:r>
            <w:r>
              <w:rPr>
                <w:rFonts w:hint="eastAsia" w:ascii="Times New Roman" w:hAnsi="Times New Roman"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 xml:space="preserve">  环境风险物质统计表</w:t>
            </w:r>
          </w:p>
          <w:tbl>
            <w:tblPr>
              <w:tblStyle w:val="33"/>
              <w:tblW w:w="4997"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12"/>
              <w:gridCol w:w="3164"/>
              <w:gridCol w:w="1019"/>
              <w:gridCol w:w="1449"/>
              <w:gridCol w:w="1175"/>
              <w:gridCol w:w="730"/>
            </w:tblGrid>
            <w:tr w14:paraId="2E5DB4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18" w:type="pct"/>
                  <w:tcBorders>
                    <w:tl2br w:val="nil"/>
                    <w:tr2bl w:val="nil"/>
                  </w:tcBorders>
                  <w:noWrap w:val="0"/>
                  <w:vAlign w:val="center"/>
                </w:tcPr>
                <w:p w14:paraId="4482ED1B">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序号</w:t>
                  </w:r>
                </w:p>
              </w:tc>
              <w:tc>
                <w:tcPr>
                  <w:tcW w:w="1965" w:type="pct"/>
                  <w:tcBorders>
                    <w:tl2br w:val="nil"/>
                    <w:tr2bl w:val="nil"/>
                  </w:tcBorders>
                  <w:noWrap w:val="0"/>
                  <w:vAlign w:val="center"/>
                </w:tcPr>
                <w:p w14:paraId="1B1279A3">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危险物质</w:t>
                  </w:r>
                </w:p>
              </w:tc>
              <w:tc>
                <w:tcPr>
                  <w:tcW w:w="633" w:type="pct"/>
                  <w:tcBorders>
                    <w:tl2br w:val="nil"/>
                    <w:tr2bl w:val="nil"/>
                  </w:tcBorders>
                  <w:noWrap w:val="0"/>
                  <w:vAlign w:val="center"/>
                </w:tcPr>
                <w:p w14:paraId="5D27F187">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CAS号</w:t>
                  </w:r>
                </w:p>
              </w:tc>
              <w:tc>
                <w:tcPr>
                  <w:tcW w:w="900" w:type="pct"/>
                  <w:tcBorders>
                    <w:tl2br w:val="nil"/>
                    <w:tr2bl w:val="nil"/>
                  </w:tcBorders>
                  <w:noWrap w:val="0"/>
                  <w:vAlign w:val="center"/>
                </w:tcPr>
                <w:p w14:paraId="2B3DE0C2">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最大储存量（t）</w:t>
                  </w:r>
                </w:p>
              </w:tc>
              <w:tc>
                <w:tcPr>
                  <w:tcW w:w="729" w:type="pct"/>
                  <w:tcBorders>
                    <w:tl2br w:val="nil"/>
                    <w:tr2bl w:val="nil"/>
                  </w:tcBorders>
                  <w:noWrap w:val="0"/>
                  <w:vAlign w:val="center"/>
                </w:tcPr>
                <w:p w14:paraId="45A2131A">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临界量（t）</w:t>
                  </w:r>
                </w:p>
              </w:tc>
              <w:tc>
                <w:tcPr>
                  <w:tcW w:w="453" w:type="pct"/>
                  <w:tcBorders>
                    <w:tl2br w:val="nil"/>
                    <w:tr2bl w:val="nil"/>
                  </w:tcBorders>
                  <w:noWrap w:val="0"/>
                  <w:vAlign w:val="center"/>
                </w:tcPr>
                <w:p w14:paraId="5A8F0166">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q值</w:t>
                  </w:r>
                </w:p>
              </w:tc>
            </w:tr>
            <w:tr w14:paraId="67D272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8" w:type="pct"/>
                  <w:tcBorders>
                    <w:tl2br w:val="nil"/>
                    <w:tr2bl w:val="nil"/>
                  </w:tcBorders>
                  <w:noWrap w:val="0"/>
                  <w:vAlign w:val="center"/>
                </w:tcPr>
                <w:p w14:paraId="0BAAAAEB">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1</w:t>
                  </w:r>
                </w:p>
              </w:tc>
              <w:tc>
                <w:tcPr>
                  <w:tcW w:w="1965" w:type="pct"/>
                  <w:tcBorders>
                    <w:tl2br w:val="nil"/>
                    <w:tr2bl w:val="nil"/>
                  </w:tcBorders>
                  <w:noWrap w:val="0"/>
                  <w:vAlign w:val="center"/>
                </w:tcPr>
                <w:p w14:paraId="70585F9E">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油类物质（矿物油类，如石油、汽油、柴油；生物柴油等）</w:t>
                  </w:r>
                </w:p>
              </w:tc>
              <w:tc>
                <w:tcPr>
                  <w:tcW w:w="633" w:type="pct"/>
                  <w:tcBorders>
                    <w:tl2br w:val="nil"/>
                    <w:tr2bl w:val="nil"/>
                  </w:tcBorders>
                  <w:noWrap w:val="0"/>
                  <w:vAlign w:val="center"/>
                </w:tcPr>
                <w:p w14:paraId="5B594473">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w:t>
                  </w:r>
                </w:p>
              </w:tc>
              <w:tc>
                <w:tcPr>
                  <w:tcW w:w="900" w:type="pct"/>
                  <w:tcBorders>
                    <w:tl2br w:val="nil"/>
                    <w:tr2bl w:val="nil"/>
                  </w:tcBorders>
                  <w:noWrap w:val="0"/>
                  <w:vAlign w:val="center"/>
                </w:tcPr>
                <w:p w14:paraId="08F89155">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0.02</w:t>
                  </w:r>
                </w:p>
              </w:tc>
              <w:tc>
                <w:tcPr>
                  <w:tcW w:w="729" w:type="pct"/>
                  <w:tcBorders>
                    <w:tl2br w:val="nil"/>
                    <w:tr2bl w:val="nil"/>
                  </w:tcBorders>
                  <w:noWrap w:val="0"/>
                  <w:vAlign w:val="center"/>
                </w:tcPr>
                <w:p w14:paraId="53FA80CC">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2500</w:t>
                  </w:r>
                </w:p>
              </w:tc>
              <w:tc>
                <w:tcPr>
                  <w:tcW w:w="453" w:type="pct"/>
                  <w:tcBorders>
                    <w:tl2br w:val="nil"/>
                    <w:tr2bl w:val="nil"/>
                  </w:tcBorders>
                  <w:noWrap w:val="0"/>
                  <w:vAlign w:val="center"/>
                </w:tcPr>
                <w:p w14:paraId="77E3B40C">
                  <w:pPr>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8.0</w:t>
                  </w:r>
                  <w:r>
                    <w:rPr>
                      <w:rFonts w:hint="default" w:ascii="Arial" w:hAnsi="Arial" w:cs="Arial"/>
                      <w:color w:val="auto"/>
                      <w:lang w:val="en-US" w:eastAsia="zh-CN"/>
                    </w:rPr>
                    <w:t>×</w:t>
                  </w:r>
                  <w:r>
                    <w:rPr>
                      <w:rFonts w:hint="eastAsia"/>
                      <w:color w:val="auto"/>
                      <w:lang w:val="en-US" w:eastAsia="zh-CN"/>
                    </w:rPr>
                    <w:t>10</w:t>
                  </w:r>
                  <w:r>
                    <w:rPr>
                      <w:rFonts w:hint="eastAsia"/>
                      <w:color w:val="auto"/>
                      <w:vertAlign w:val="superscript"/>
                      <w:lang w:val="en-US" w:eastAsia="zh-CN"/>
                    </w:rPr>
                    <w:t>-6</w:t>
                  </w:r>
                </w:p>
              </w:tc>
            </w:tr>
            <w:tr w14:paraId="51EEB5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546" w:type="pct"/>
                  <w:gridSpan w:val="5"/>
                  <w:tcBorders>
                    <w:tl2br w:val="nil"/>
                    <w:tr2bl w:val="nil"/>
                  </w:tcBorders>
                  <w:noWrap w:val="0"/>
                  <w:vAlign w:val="center"/>
                </w:tcPr>
                <w:p w14:paraId="09F20ABF">
                  <w:pPr>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合计</w:t>
                  </w:r>
                </w:p>
              </w:tc>
              <w:tc>
                <w:tcPr>
                  <w:tcW w:w="453" w:type="pct"/>
                  <w:tcBorders>
                    <w:tl2br w:val="nil"/>
                    <w:tr2bl w:val="nil"/>
                  </w:tcBorders>
                  <w:noWrap w:val="0"/>
                  <w:vAlign w:val="center"/>
                </w:tcPr>
                <w:p w14:paraId="3B4A8E82">
                  <w:pPr>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val="en-US" w:eastAsia="zh-CN"/>
                    </w:rPr>
                    <w:t>8.0</w:t>
                  </w:r>
                  <w:r>
                    <w:rPr>
                      <w:rFonts w:hint="default" w:ascii="Arial" w:hAnsi="Arial" w:cs="Arial"/>
                      <w:color w:val="auto"/>
                      <w:lang w:val="en-US" w:eastAsia="zh-CN"/>
                    </w:rPr>
                    <w:t>×</w:t>
                  </w:r>
                  <w:r>
                    <w:rPr>
                      <w:rFonts w:hint="eastAsia"/>
                      <w:color w:val="auto"/>
                      <w:lang w:val="en-US" w:eastAsia="zh-CN"/>
                    </w:rPr>
                    <w:t>10</w:t>
                  </w:r>
                  <w:r>
                    <w:rPr>
                      <w:rFonts w:hint="eastAsia"/>
                      <w:color w:val="auto"/>
                      <w:vertAlign w:val="superscript"/>
                      <w:lang w:val="en-US" w:eastAsia="zh-CN"/>
                    </w:rPr>
                    <w:t>-6</w:t>
                  </w:r>
                </w:p>
              </w:tc>
            </w:tr>
          </w:tbl>
          <w:p w14:paraId="15BE5FB0">
            <w:pPr>
              <w:pStyle w:val="2"/>
              <w:keepNext w:val="0"/>
              <w:keepLines w:val="0"/>
              <w:suppressLineNumbers w:val="0"/>
              <w:spacing w:beforeAutospacing="0" w:afterAutospacing="0"/>
              <w:ind w:left="0"/>
              <w:rPr>
                <w:rFonts w:hint="eastAsia"/>
                <w:lang w:val="en-US" w:eastAsia="zh-CN"/>
              </w:rPr>
            </w:pPr>
          </w:p>
          <w:p w14:paraId="6E3307AB">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（3）环境风险影响分析</w:t>
            </w:r>
          </w:p>
          <w:p w14:paraId="06C8A502">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选址不涉及环境敏感区，不存在重大危险源，风险水平值较低。项目运营期存在一定潜在的环境风险事故，主要为废机油泄露对土壤、地下水造成污染。废机油储存在危险废物贮存点，危险废物贮存点内地面硬化，防渗性能不低于2mm厚的防渗人工材料，防渗系数为10</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cm/s。只要建设单位加强风险管理，在项目建设、实施过程中认真落实各种环境风险防范措施，并在环境风险事故发生后，及时采取有效的风险应急措施，使环境风险事故得到有效的控制，将事故风险控制在可接受的范围内，项目环境风险值处于可接受水平范围内。</w:t>
            </w:r>
          </w:p>
          <w:p w14:paraId="1E87861B">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2" w:firstLineChars="200"/>
              <w:contextualSpacing/>
              <w:jc w:val="both"/>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、与排污许可证衔接</w:t>
            </w:r>
          </w:p>
          <w:p w14:paraId="0976A3EA">
            <w:pPr>
              <w:keepNext w:val="0"/>
              <w:keepLines w:val="0"/>
              <w:pageBreakBefore w:val="0"/>
              <w:suppressLineNumbers w:val="0"/>
              <w:kinsoku/>
              <w:wordWrap/>
              <w:overflowPunct/>
              <w:topLinePunct w:val="0"/>
              <w:bidi w:val="0"/>
              <w:spacing w:before="0" w:beforeAutospacing="0" w:after="0" w:afterAutospacing="0" w:line="360" w:lineRule="auto"/>
              <w:ind w:left="0" w:leftChars="0" w:right="0" w:firstLine="420" w:firstLineChars="200"/>
              <w:contextualSpacing/>
              <w:jc w:val="both"/>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根据《国务院办公厅关于印发控制污染物排放许可制实施方案的通知》〔2016〕81号，（九）分步实现排污许可全覆盖，按行业分步实现对固定污染源的全覆盖，率先对火电、造纸行业企业核发排污许可证，2017年完成《大气污染防治行动计划》和《水污染防治行动计划》重点行业及产能过剩行业企业排污许可证核发，2020年全国基本完成排污许可证核发。</w:t>
            </w:r>
          </w:p>
          <w:p w14:paraId="3023D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contextualSpacing/>
              <w:textAlignment w:val="auto"/>
              <w:rPr>
                <w:rFonts w:hint="eastAsia"/>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根据《排污许可管理办法》（试行），第三条：环境保护部依法制定并公布固定污染源排污许可分类管理名录，明确纳入排污许可管理的范围和申领时限。纳入固定污染源排污许可分类管理名录的企业事业单位和其他生产经营者（以下简称排污单位）应当按照规定的时限申请并取得排污许可证；未纳入固定污染源排污许可分类管理名录的排污单位，暂不需申请排污许可证。第二十四条：在固定污染源排污许可分类管理名录规定的时限前已经建成并实际排污的排污单位，应当在名录规定时限申请排污许可证；在名录规定的时限后建成的排污单位，应当在启动生产设施或者在实际排污之前申请排污许可证。</w:t>
            </w:r>
          </w:p>
          <w:p w14:paraId="1A3305C8">
            <w:pPr>
              <w:pStyle w:val="6"/>
              <w:keepNext/>
              <w:keepLines/>
              <w:pageBreakBefore w:val="0"/>
              <w:widowControl/>
              <w:suppressLineNumbers w:val="0"/>
              <w:tabs>
                <w:tab w:val="left" w:pos="3600"/>
              </w:tabs>
              <w:kinsoku/>
              <w:wordWrap/>
              <w:overflowPunct/>
              <w:topLinePunct w:val="0"/>
              <w:autoSpaceDE/>
              <w:autoSpaceDN/>
              <w:bidi w:val="0"/>
              <w:adjustRightInd/>
              <w:snapToGrid/>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环境保护</w:t>
            </w:r>
            <w:r>
              <w:rPr>
                <w:rFonts w:hint="eastAsia" w:ascii="宋体" w:hAnsi="宋体" w:eastAsia="宋体" w:cs="宋体"/>
                <w:b/>
                <w:bCs/>
                <w:color w:val="000000" w:themeColor="text1"/>
                <w:sz w:val="21"/>
                <w:szCs w:val="21"/>
                <w:highlight w:val="none"/>
                <w14:textFill>
                  <w14:solidFill>
                    <w14:schemeClr w14:val="tx1"/>
                  </w14:solidFill>
                </w14:textFill>
              </w:rPr>
              <w:t>“三同时”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竣工验收内容</w:t>
            </w:r>
          </w:p>
          <w:p w14:paraId="2AD482AA">
            <w:pPr>
              <w:keepNext/>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根据《建设项目环境保护管理条例》（国务院令第682号）和《建设项目竣工环境保护验收暂行办法》（国环规环评[2017]4号）规定，建设单位是建设项目竣工环境保护验收的责任主体，建设单位应按照《建设项目竣工环境保护验收暂行办法》相关规定对本项目配套建设的环境保护设施进行验收，编制验收报告，公开相关信息，接受社会监督，确保本项目需要配套建设的环境保护设施与主体工程同时投产或者使用，并对验收内容、结论和所公开信息的真实性、准确性和完整性负责，不得在验收过程中弄虚作假。本项目竣工后，建设单位应当如实查验、监测、记载本项目环境保护设施的建设和调试情况，编制验收监测（调查）报告。本项目环保设施竣工验收情况见表</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w:t>
            </w:r>
            <w:r>
              <w:rPr>
                <w:rFonts w:hint="eastAsia" w:cs="Times New Roman"/>
                <w:b w:val="0"/>
                <w:bCs w:val="0"/>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p w14:paraId="34ADA3F4">
            <w:pPr>
              <w:pStyle w:val="16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b/>
                <w:bCs/>
                <w:color w:val="000000" w:themeColor="text1"/>
                <w:szCs w:val="24"/>
                <w:highlight w:val="none"/>
                <w14:textFill>
                  <w14:solidFill>
                    <w14:schemeClr w14:val="tx1"/>
                  </w14:solidFill>
                </w14:textFill>
              </w:rPr>
            </w:pPr>
            <w:r>
              <w:rPr>
                <w:rFonts w:hint="default" w:ascii="Times New Roman" w:hAnsi="Times New Roman" w:eastAsia="宋体" w:cs="Times New Roman"/>
                <w:b/>
                <w:bCs/>
                <w:color w:val="000000" w:themeColor="text1"/>
                <w:szCs w:val="24"/>
                <w:highlight w:val="none"/>
                <w14:textFill>
                  <w14:solidFill>
                    <w14:schemeClr w14:val="tx1"/>
                  </w14:solidFill>
                </w14:textFill>
              </w:rPr>
              <w:t>表</w:t>
            </w:r>
            <w:r>
              <w:rPr>
                <w:rFonts w:hint="default" w:ascii="Times New Roman" w:hAnsi="Times New Roman" w:eastAsia="宋体" w:cs="Times New Roman"/>
                <w:b/>
                <w:bCs/>
                <w:color w:val="000000" w:themeColor="text1"/>
                <w:szCs w:val="24"/>
                <w:highlight w:val="none"/>
                <w:lang w:val="en-US" w:eastAsia="zh-CN"/>
                <w14:textFill>
                  <w14:solidFill>
                    <w14:schemeClr w14:val="tx1"/>
                  </w14:solidFill>
                </w14:textFill>
              </w:rPr>
              <w:t>4-</w:t>
            </w:r>
            <w:r>
              <w:rPr>
                <w:rFonts w:hint="eastAsia" w:eastAsia="宋体" w:cs="Times New Roman"/>
                <w:b/>
                <w:bCs/>
                <w:color w:val="000000" w:themeColor="text1"/>
                <w:szCs w:val="24"/>
                <w:highlight w:val="none"/>
                <w:lang w:val="en-US" w:eastAsia="zh-CN"/>
                <w14:textFill>
                  <w14:solidFill>
                    <w14:schemeClr w14:val="tx1"/>
                  </w14:solidFill>
                </w14:textFill>
              </w:rPr>
              <w:t>12</w:t>
            </w:r>
            <w:r>
              <w:rPr>
                <w:rFonts w:hint="default" w:ascii="Times New Roman" w:hAnsi="Times New Roman" w:eastAsia="宋体" w:cs="Times New Roman"/>
                <w:b/>
                <w:bCs/>
                <w:color w:val="000000" w:themeColor="text1"/>
                <w:szCs w:val="24"/>
                <w:highlight w:val="none"/>
                <w14:textFill>
                  <w14:solidFill>
                    <w14:schemeClr w14:val="tx1"/>
                  </w14:solidFill>
                </w14:textFill>
              </w:rPr>
              <w:t xml:space="preserve">  本项目环保措</w:t>
            </w:r>
            <w:r>
              <w:rPr>
                <w:rFonts w:hint="eastAsia" w:ascii="宋体" w:hAnsi="宋体" w:eastAsia="宋体" w:cs="宋体"/>
                <w:b/>
                <w:bCs/>
                <w:color w:val="000000" w:themeColor="text1"/>
                <w:szCs w:val="24"/>
                <w:highlight w:val="none"/>
                <w14:textFill>
                  <w14:solidFill>
                    <w14:schemeClr w14:val="tx1"/>
                  </w14:solidFill>
                </w14:textFill>
              </w:rPr>
              <w:t>施“三同时”</w:t>
            </w:r>
            <w:r>
              <w:rPr>
                <w:rFonts w:hint="default" w:ascii="Times New Roman" w:hAnsi="Times New Roman" w:eastAsia="宋体" w:cs="Times New Roman"/>
                <w:b/>
                <w:bCs/>
                <w:color w:val="000000" w:themeColor="text1"/>
                <w:szCs w:val="24"/>
                <w:highlight w:val="none"/>
                <w14:textFill>
                  <w14:solidFill>
                    <w14:schemeClr w14:val="tx1"/>
                  </w14:solidFill>
                </w14:textFill>
              </w:rPr>
              <w:t>验收内容</w:t>
            </w:r>
          </w:p>
          <w:tbl>
            <w:tblPr>
              <w:tblStyle w:val="33"/>
              <w:tblW w:w="50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3"/>
              <w:gridCol w:w="910"/>
              <w:gridCol w:w="1542"/>
              <w:gridCol w:w="2396"/>
              <w:gridCol w:w="2573"/>
            </w:tblGrid>
            <w:tr w14:paraId="62052C3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039E2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类别</w:t>
                  </w:r>
                </w:p>
              </w:tc>
              <w:tc>
                <w:tcPr>
                  <w:tcW w:w="564" w:type="pct"/>
                  <w:noWrap w:val="0"/>
                  <w:vAlign w:val="center"/>
                </w:tcPr>
                <w:p w14:paraId="2CFB49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污染源</w:t>
                  </w:r>
                </w:p>
              </w:tc>
              <w:tc>
                <w:tcPr>
                  <w:tcW w:w="957" w:type="pct"/>
                  <w:noWrap w:val="0"/>
                  <w:vAlign w:val="center"/>
                </w:tcPr>
                <w:p w14:paraId="11ABF1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污染物名称</w:t>
                  </w:r>
                </w:p>
              </w:tc>
              <w:tc>
                <w:tcPr>
                  <w:tcW w:w="1487" w:type="pct"/>
                  <w:noWrap w:val="0"/>
                  <w:vAlign w:val="center"/>
                </w:tcPr>
                <w:p w14:paraId="75B4E0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环境保护措施</w:t>
                  </w:r>
                </w:p>
              </w:tc>
              <w:tc>
                <w:tcPr>
                  <w:tcW w:w="1597" w:type="pct"/>
                  <w:noWrap w:val="0"/>
                  <w:vAlign w:val="center"/>
                </w:tcPr>
                <w:p w14:paraId="653996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执行的环境标准</w:t>
                  </w:r>
                </w:p>
              </w:tc>
            </w:tr>
            <w:tr w14:paraId="0DBD081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26" w:hRule="atLeast"/>
                <w:jc w:val="center"/>
              </w:trPr>
              <w:tc>
                <w:tcPr>
                  <w:tcW w:w="392" w:type="pct"/>
                  <w:vMerge w:val="restart"/>
                  <w:noWrap w:val="0"/>
                  <w:vAlign w:val="center"/>
                </w:tcPr>
                <w:p w14:paraId="174AF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废气</w:t>
                  </w:r>
                </w:p>
              </w:tc>
              <w:tc>
                <w:tcPr>
                  <w:tcW w:w="564" w:type="pct"/>
                  <w:noWrap w:val="0"/>
                  <w:vAlign w:val="center"/>
                </w:tcPr>
                <w:p w14:paraId="403DB1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热风炉烟囱（</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DA001</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p>
              </w:tc>
              <w:tc>
                <w:tcPr>
                  <w:tcW w:w="957" w:type="pct"/>
                  <w:noWrap w:val="0"/>
                  <w:vAlign w:val="center"/>
                </w:tcPr>
                <w:p w14:paraId="4DFCF1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颗粒物</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、SO</w:t>
                  </w:r>
                  <w:r>
                    <w:rPr>
                      <w:rFonts w:hint="default" w:ascii="Times New Roman" w:hAnsi="Times New Roman" w:eastAsia="宋体" w:cs="Times New Roman"/>
                      <w:color w:val="000000" w:themeColor="text1"/>
                      <w:sz w:val="18"/>
                      <w:szCs w:val="18"/>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、烟气黑度</w:t>
                  </w:r>
                  <w:r>
                    <w:rPr>
                      <w:rFonts w:hint="eastAsia" w:cs="Times New Roman"/>
                      <w:color w:val="000000" w:themeColor="text1"/>
                      <w:sz w:val="18"/>
                      <w:szCs w:val="18"/>
                      <w:highlight w:val="none"/>
                      <w:lang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氮氧化物</w:t>
                  </w:r>
                </w:p>
              </w:tc>
              <w:tc>
                <w:tcPr>
                  <w:tcW w:w="1487" w:type="pct"/>
                  <w:noWrap w:val="0"/>
                  <w:vAlign w:val="center"/>
                </w:tcPr>
                <w:p w14:paraId="25334B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布袋除尘器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18"/>
                      <w:szCs w:val="18"/>
                      <w:highlight w:val="none"/>
                      <w14:textFill>
                        <w14:solidFill>
                          <w14:schemeClr w14:val="tx1"/>
                        </w14:solidFill>
                      </w14:textFill>
                    </w:rPr>
                    <w:t>m高</w:t>
                  </w:r>
                  <w:r>
                    <w:rPr>
                      <w:rFonts w:hint="default" w:ascii="Times New Roman" w:hAnsi="Times New Roman" w:cs="Times New Roman"/>
                      <w:color w:val="000000" w:themeColor="text1"/>
                      <w:sz w:val="18"/>
                      <w:szCs w:val="18"/>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18"/>
                      <w:szCs w:val="18"/>
                      <w:highlight w:val="none"/>
                      <w14:textFill>
                        <w14:solidFill>
                          <w14:schemeClr w14:val="tx1"/>
                        </w14:solidFill>
                      </w14:textFill>
                    </w:rPr>
                    <w:t>排放</w:t>
                  </w:r>
                </w:p>
              </w:tc>
              <w:tc>
                <w:tcPr>
                  <w:tcW w:w="1597" w:type="pct"/>
                  <w:noWrap w:val="0"/>
                  <w:vAlign w:val="center"/>
                </w:tcPr>
                <w:p w14:paraId="37A1E5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《工业炉窑大气污染物排放标准》（GB9078-1996）表2和表4中标准要求</w:t>
                  </w:r>
                </w:p>
              </w:tc>
            </w:tr>
            <w:tr w14:paraId="5405DE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5E25E0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564" w:type="pct"/>
                  <w:noWrap w:val="0"/>
                  <w:vAlign w:val="center"/>
                </w:tcPr>
                <w:p w14:paraId="5E7F51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装卸粉尘</w:t>
                  </w:r>
                </w:p>
              </w:tc>
              <w:tc>
                <w:tcPr>
                  <w:tcW w:w="957" w:type="pct"/>
                  <w:vMerge w:val="restart"/>
                  <w:noWrap w:val="0"/>
                  <w:vAlign w:val="center"/>
                </w:tcPr>
                <w:p w14:paraId="223F47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kern w:val="0"/>
                      <w:sz w:val="18"/>
                      <w:szCs w:val="18"/>
                      <w:highlight w:val="none"/>
                      <w:lang w:eastAsia="zh-CN"/>
                      <w14:textFill>
                        <w14:solidFill>
                          <w14:schemeClr w14:val="tx1"/>
                        </w14:solidFill>
                      </w14:textFill>
                    </w:rPr>
                    <w:t>颗粒物</w:t>
                  </w:r>
                </w:p>
              </w:tc>
              <w:tc>
                <w:tcPr>
                  <w:tcW w:w="1487" w:type="pct"/>
                  <w:noWrap w:val="0"/>
                  <w:vAlign w:val="center"/>
                </w:tcPr>
                <w:p w14:paraId="47B002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选用密闭性良好的设备，全封闭输送、原粮入</w:t>
                  </w:r>
                  <w:r>
                    <w:rPr>
                      <w:rFonts w:hint="eastAsia" w:cs="Times New Roman"/>
                      <w:color w:val="000000" w:themeColor="text1"/>
                      <w:spacing w:val="0"/>
                      <w:kern w:val="0"/>
                      <w:sz w:val="18"/>
                      <w:szCs w:val="18"/>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18"/>
                      <w:szCs w:val="18"/>
                      <w:highlight w:val="none"/>
                      <w:lang w:val="en-US" w:eastAsia="zh-CN" w:bidi="ar"/>
                      <w14:textFill>
                        <w14:solidFill>
                          <w14:schemeClr w14:val="tx1"/>
                        </w14:solidFill>
                      </w14:textFill>
                    </w:rPr>
                    <w:t>采取封闭和减小装卸高度</w:t>
                  </w:r>
                </w:p>
              </w:tc>
              <w:tc>
                <w:tcPr>
                  <w:tcW w:w="1597" w:type="pct"/>
                  <w:vMerge w:val="restart"/>
                  <w:noWrap w:val="0"/>
                  <w:vAlign w:val="center"/>
                </w:tcPr>
                <w:p w14:paraId="16E300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大气污染物综合排放标准》</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GB16297</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1996</w:t>
                  </w:r>
                  <w:r>
                    <w:rPr>
                      <w:rFonts w:hint="default" w:ascii="Times New Roman" w:hAnsi="Times New Roman" w:cs="Times New Roman"/>
                      <w:color w:val="000000" w:themeColor="text1"/>
                      <w:sz w:val="18"/>
                      <w:szCs w:val="18"/>
                      <w:highlight w:val="none"/>
                      <w:lang w:eastAsia="zh-CN"/>
                      <w14:textFill>
                        <w14:solidFill>
                          <w14:schemeClr w14:val="tx1"/>
                        </w14:solidFill>
                      </w14:textFill>
                    </w:rPr>
                    <w:t>）</w:t>
                  </w:r>
                  <w:r>
                    <w:rPr>
                      <w:rFonts w:hint="default" w:ascii="Times New Roman" w:hAnsi="Times New Roman" w:cs="Times New Roman"/>
                      <w:color w:val="000000" w:themeColor="text1"/>
                      <w:sz w:val="18"/>
                      <w:szCs w:val="18"/>
                      <w:highlight w:val="none"/>
                      <w14:textFill>
                        <w14:solidFill>
                          <w14:schemeClr w14:val="tx1"/>
                        </w14:solidFill>
                      </w14:textFill>
                    </w:rPr>
                    <w:t>中</w:t>
                  </w:r>
                  <w:r>
                    <w:rPr>
                      <w:rFonts w:hint="default" w:ascii="Times New Roman" w:hAnsi="Times New Roman" w:cs="Times New Roman"/>
                      <w:color w:val="000000" w:themeColor="text1"/>
                      <w:sz w:val="18"/>
                      <w:szCs w:val="18"/>
                      <w:highlight w:val="none"/>
                      <w:lang w:eastAsia="zh-CN"/>
                      <w14:textFill>
                        <w14:solidFill>
                          <w14:schemeClr w14:val="tx1"/>
                        </w14:solidFill>
                      </w14:textFill>
                    </w:rPr>
                    <w:t>无组织</w:t>
                  </w:r>
                  <w:r>
                    <w:rPr>
                      <w:rFonts w:hint="default" w:ascii="Times New Roman" w:hAnsi="Times New Roman" w:cs="Times New Roman"/>
                      <w:color w:val="000000" w:themeColor="text1"/>
                      <w:sz w:val="18"/>
                      <w:szCs w:val="18"/>
                      <w:highlight w:val="none"/>
                      <w14:textFill>
                        <w14:solidFill>
                          <w14:schemeClr w14:val="tx1"/>
                        </w14:solidFill>
                      </w14:textFill>
                    </w:rPr>
                    <w:t>排放标准</w:t>
                  </w:r>
                </w:p>
              </w:tc>
            </w:tr>
            <w:tr w14:paraId="0B2763AF">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7DE18C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564" w:type="pct"/>
                  <w:noWrap w:val="0"/>
                  <w:vAlign w:val="center"/>
                </w:tcPr>
                <w:p w14:paraId="09192B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筛分粉尘</w:t>
                  </w:r>
                </w:p>
              </w:tc>
              <w:tc>
                <w:tcPr>
                  <w:tcW w:w="957" w:type="pct"/>
                  <w:vMerge w:val="continue"/>
                  <w:noWrap w:val="0"/>
                  <w:vAlign w:val="center"/>
                </w:tcPr>
                <w:p w14:paraId="5471F8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1487" w:type="pct"/>
                  <w:noWrap w:val="0"/>
                  <w:vAlign w:val="center"/>
                </w:tcPr>
                <w:p w14:paraId="5C5994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清粮采用全密闭</w:t>
                  </w:r>
                  <w:r>
                    <w:rPr>
                      <w:rFonts w:hint="eastAsia" w:cs="Times New Roman"/>
                      <w:color w:val="000000" w:themeColor="text1"/>
                      <w:sz w:val="18"/>
                      <w:szCs w:val="18"/>
                      <w:highlight w:val="none"/>
                      <w:lang w:val="en-US" w:eastAsia="zh-CN"/>
                      <w14:textFill>
                        <w14:solidFill>
                          <w14:schemeClr w14:val="tx1"/>
                        </w14:solidFill>
                      </w14:textFill>
                    </w:rPr>
                    <w:t>筛分机</w:t>
                  </w:r>
                  <w:r>
                    <w:rPr>
                      <w:rFonts w:hint="default" w:ascii="Times New Roman" w:hAnsi="Times New Roman" w:cs="Times New Roman"/>
                      <w:color w:val="000000" w:themeColor="text1"/>
                      <w:sz w:val="18"/>
                      <w:szCs w:val="18"/>
                      <w:highlight w:val="none"/>
                      <w:lang w:eastAsia="zh-CN"/>
                      <w14:textFill>
                        <w14:solidFill>
                          <w14:schemeClr w14:val="tx1"/>
                        </w14:solidFill>
                      </w14:textFill>
                    </w:rPr>
                    <w:t>，产生的粉尘经设备自带</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袋式除尘器</w:t>
                  </w:r>
                  <w:r>
                    <w:rPr>
                      <w:rFonts w:hint="default" w:ascii="Times New Roman" w:hAnsi="Times New Roman" w:cs="Times New Roman"/>
                      <w:color w:val="000000" w:themeColor="text1"/>
                      <w:sz w:val="18"/>
                      <w:szCs w:val="18"/>
                      <w:highlight w:val="none"/>
                      <w:lang w:eastAsia="zh-CN"/>
                      <w14:textFill>
                        <w14:solidFill>
                          <w14:schemeClr w14:val="tx1"/>
                        </w14:solidFill>
                      </w14:textFill>
                    </w:rPr>
                    <w:t>处理后排放</w:t>
                  </w:r>
                </w:p>
              </w:tc>
              <w:tc>
                <w:tcPr>
                  <w:tcW w:w="1597" w:type="pct"/>
                  <w:vMerge w:val="continue"/>
                  <w:noWrap w:val="0"/>
                  <w:vAlign w:val="center"/>
                </w:tcPr>
                <w:p w14:paraId="25A60D03">
                  <w:pPr>
                    <w:pStyle w:val="7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r>
            <w:tr w14:paraId="597EF7B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5633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564" w:type="pct"/>
                  <w:noWrap w:val="0"/>
                  <w:vAlign w:val="center"/>
                </w:tcPr>
                <w:p w14:paraId="2BEBF6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烘干粉尘</w:t>
                  </w:r>
                </w:p>
              </w:tc>
              <w:tc>
                <w:tcPr>
                  <w:tcW w:w="957" w:type="pct"/>
                  <w:vMerge w:val="continue"/>
                  <w:noWrap w:val="0"/>
                  <w:vAlign w:val="center"/>
                </w:tcPr>
                <w:p w14:paraId="354881F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p>
              </w:tc>
              <w:tc>
                <w:tcPr>
                  <w:tcW w:w="1487" w:type="pct"/>
                  <w:noWrap w:val="0"/>
                  <w:vAlign w:val="center"/>
                </w:tcPr>
                <w:p w14:paraId="29E838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val="0"/>
                      <w:color w:val="000000" w:themeColor="text1"/>
                      <w:sz w:val="18"/>
                      <w:szCs w:val="18"/>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p>
              </w:tc>
              <w:tc>
                <w:tcPr>
                  <w:tcW w:w="1597" w:type="pct"/>
                  <w:vMerge w:val="continue"/>
                  <w:noWrap w:val="0"/>
                  <w:vAlign w:val="center"/>
                </w:tcPr>
                <w:p w14:paraId="0BB47B41">
                  <w:pPr>
                    <w:pStyle w:val="7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p>
              </w:tc>
            </w:tr>
            <w:tr w14:paraId="3F2D94C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DDA8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564" w:type="pct"/>
                  <w:noWrap w:val="0"/>
                  <w:vAlign w:val="center"/>
                </w:tcPr>
                <w:p w14:paraId="6037DD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厂界</w:t>
                  </w:r>
                </w:p>
              </w:tc>
              <w:tc>
                <w:tcPr>
                  <w:tcW w:w="957" w:type="pct"/>
                  <w:noWrap w:val="0"/>
                  <w:vAlign w:val="center"/>
                </w:tcPr>
                <w:p w14:paraId="617415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颗粒物</w:t>
                  </w:r>
                </w:p>
              </w:tc>
              <w:tc>
                <w:tcPr>
                  <w:tcW w:w="1487" w:type="pct"/>
                  <w:noWrap w:val="0"/>
                  <w:vAlign w:val="center"/>
                </w:tcPr>
                <w:p w14:paraId="1BAF3D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1597" w:type="pct"/>
                  <w:vMerge w:val="continue"/>
                  <w:noWrap w:val="0"/>
                  <w:vAlign w:val="center"/>
                </w:tcPr>
                <w:p w14:paraId="2A3BF58B">
                  <w:pPr>
                    <w:pStyle w:val="7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p>
              </w:tc>
            </w:tr>
            <w:tr w14:paraId="7FBB27C1">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7A15D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564" w:type="pct"/>
                  <w:noWrap w:val="0"/>
                  <w:vAlign w:val="center"/>
                </w:tcPr>
                <w:p w14:paraId="7EA58F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热风炉</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房（热风炉）</w:t>
                  </w:r>
                </w:p>
              </w:tc>
              <w:tc>
                <w:tcPr>
                  <w:tcW w:w="957" w:type="pct"/>
                  <w:noWrap w:val="0"/>
                  <w:vAlign w:val="center"/>
                </w:tcPr>
                <w:p w14:paraId="78CE46B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颗粒物</w:t>
                  </w:r>
                </w:p>
              </w:tc>
              <w:tc>
                <w:tcPr>
                  <w:tcW w:w="1487" w:type="pct"/>
                  <w:noWrap w:val="0"/>
                  <w:vAlign w:val="center"/>
                </w:tcPr>
                <w:p w14:paraId="2897B0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洒水降尘</w:t>
                  </w:r>
                </w:p>
              </w:tc>
              <w:tc>
                <w:tcPr>
                  <w:tcW w:w="1597" w:type="pct"/>
                  <w:noWrap w:val="0"/>
                  <w:vAlign w:val="center"/>
                </w:tcPr>
                <w:p w14:paraId="6F2AE89A">
                  <w:pPr>
                    <w:pStyle w:val="7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3中标准要求</w:t>
                  </w:r>
                </w:p>
              </w:tc>
            </w:tr>
            <w:tr w14:paraId="412172E7">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5D55B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废水</w:t>
                  </w:r>
                </w:p>
              </w:tc>
              <w:tc>
                <w:tcPr>
                  <w:tcW w:w="564" w:type="pct"/>
                  <w:noWrap w:val="0"/>
                  <w:vAlign w:val="center"/>
                </w:tcPr>
                <w:p w14:paraId="3CBAFB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957" w:type="pct"/>
                  <w:noWrap w:val="0"/>
                  <w:vAlign w:val="center"/>
                </w:tcPr>
                <w:p w14:paraId="3CCF6E4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1487" w:type="pct"/>
                  <w:noWrap w:val="0"/>
                  <w:vAlign w:val="center"/>
                </w:tcPr>
                <w:p w14:paraId="25AFDE2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c>
                <w:tcPr>
                  <w:tcW w:w="1597" w:type="pct"/>
                  <w:noWrap w:val="0"/>
                  <w:vAlign w:val="center"/>
                </w:tcPr>
                <w:p w14:paraId="30039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p>
              </w:tc>
            </w:tr>
            <w:tr w14:paraId="3C30BAF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4F3FC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噪声</w:t>
                  </w:r>
                </w:p>
              </w:tc>
              <w:tc>
                <w:tcPr>
                  <w:tcW w:w="564" w:type="pct"/>
                  <w:noWrap w:val="0"/>
                  <w:vAlign w:val="center"/>
                </w:tcPr>
                <w:p w14:paraId="60E720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14:textFill>
                        <w14:solidFill>
                          <w14:schemeClr w14:val="tx1"/>
                        </w14:solidFill>
                      </w14:textFill>
                    </w:rPr>
                    <w:t>设备运行</w:t>
                  </w:r>
                </w:p>
              </w:tc>
              <w:tc>
                <w:tcPr>
                  <w:tcW w:w="957" w:type="pct"/>
                  <w:noWrap w:val="0"/>
                  <w:vAlign w:val="center"/>
                </w:tcPr>
                <w:p w14:paraId="6F94BF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21"/>
                      <w:sz w:val="18"/>
                      <w:szCs w:val="18"/>
                      <w:highlight w:val="none"/>
                      <w:lang w:val="en-US" w:eastAsia="zh-CN"/>
                      <w14:textFill>
                        <w14:solidFill>
                          <w14:schemeClr w14:val="tx1"/>
                        </w14:solidFill>
                      </w14:textFill>
                    </w:rPr>
                    <w:t>噪声</w:t>
                  </w:r>
                </w:p>
              </w:tc>
              <w:tc>
                <w:tcPr>
                  <w:tcW w:w="1487" w:type="pct"/>
                  <w:noWrap w:val="0"/>
                  <w:vAlign w:val="center"/>
                </w:tcPr>
                <w:p w14:paraId="60BE1B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选取低噪声设备，采取减振、隔声</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等措施</w:t>
                  </w:r>
                </w:p>
              </w:tc>
              <w:tc>
                <w:tcPr>
                  <w:tcW w:w="1597" w:type="pct"/>
                  <w:noWrap w:val="0"/>
                  <w:vAlign w:val="center"/>
                </w:tcPr>
                <w:p w14:paraId="20C339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《工业企业厂界环境噪声排放标准》(GB12348-2008)表1中2类</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标准</w:t>
                  </w:r>
                </w:p>
              </w:tc>
            </w:tr>
            <w:tr w14:paraId="1C30746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392" w:type="pct"/>
                  <w:vMerge w:val="restart"/>
                  <w:noWrap w:val="0"/>
                  <w:vAlign w:val="center"/>
                </w:tcPr>
                <w:p w14:paraId="22ADB0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固废</w:t>
                  </w:r>
                </w:p>
              </w:tc>
              <w:tc>
                <w:tcPr>
                  <w:tcW w:w="1522" w:type="pct"/>
                  <w:gridSpan w:val="2"/>
                  <w:tcBorders>
                    <w:top w:val="single" w:color="auto" w:sz="4" w:space="0"/>
                  </w:tcBorders>
                  <w:noWrap w:val="0"/>
                  <w:vAlign w:val="center"/>
                </w:tcPr>
                <w:p w14:paraId="278BF165">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热风炉炉渣</w:t>
                  </w:r>
                  <w:r>
                    <w:rPr>
                      <w:rFonts w:hint="eastAsia" w:cs="Times New Roman"/>
                      <w:color w:val="000000" w:themeColor="text1"/>
                      <w:sz w:val="18"/>
                      <w:szCs w:val="18"/>
                      <w:highlight w:val="none"/>
                      <w:lang w:val="en-US" w:eastAsia="zh-CN"/>
                      <w14:textFill>
                        <w14:solidFill>
                          <w14:schemeClr w14:val="tx1"/>
                        </w14:solidFill>
                      </w14:textFill>
                    </w:rPr>
                    <w:t>及</w:t>
                  </w:r>
                  <w:r>
                    <w:rPr>
                      <w:rFonts w:hint="default" w:ascii="Times New Roman" w:hAnsi="Times New Roman" w:cs="Times New Roman"/>
                      <w:color w:val="000000" w:themeColor="text1"/>
                      <w:sz w:val="18"/>
                      <w:szCs w:val="18"/>
                      <w:highlight w:val="none"/>
                      <w:lang w:eastAsia="zh-CN"/>
                      <w14:textFill>
                        <w14:solidFill>
                          <w14:schemeClr w14:val="tx1"/>
                        </w14:solidFill>
                      </w14:textFill>
                    </w:rPr>
                    <w:t>除尘器回收粉尘</w:t>
                  </w:r>
                </w:p>
              </w:tc>
              <w:tc>
                <w:tcPr>
                  <w:tcW w:w="1487" w:type="pct"/>
                  <w:tcBorders>
                    <w:top w:val="single" w:color="auto" w:sz="4" w:space="0"/>
                  </w:tcBorders>
                  <w:noWrap w:val="0"/>
                  <w:vAlign w:val="center"/>
                </w:tcPr>
                <w:p w14:paraId="5CFE979A">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外售</w:t>
                  </w:r>
                  <w:r>
                    <w:rPr>
                      <w:rFonts w:hint="eastAsia" w:cs="Times New Roman"/>
                      <w:color w:val="000000" w:themeColor="text1"/>
                      <w:sz w:val="18"/>
                      <w:szCs w:val="18"/>
                      <w:highlight w:val="none"/>
                      <w:lang w:val="en-US" w:eastAsia="zh-CN"/>
                      <w14:textFill>
                        <w14:solidFill>
                          <w14:schemeClr w14:val="tx1"/>
                        </w14:solidFill>
                      </w14:textFill>
                    </w:rPr>
                    <w:t>废料厂家</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综合利用</w:t>
                  </w:r>
                </w:p>
              </w:tc>
              <w:tc>
                <w:tcPr>
                  <w:tcW w:w="1597" w:type="pct"/>
                  <w:vMerge w:val="restart"/>
                  <w:noWrap w:val="0"/>
                  <w:vAlign w:val="center"/>
                </w:tcPr>
                <w:p w14:paraId="207B9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处置率100%</w:t>
                  </w:r>
                </w:p>
              </w:tc>
            </w:tr>
            <w:tr w14:paraId="15F835E8">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62F0B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53C361F9">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000000" w:themeColor="text1"/>
                      <w:sz w:val="18"/>
                      <w:szCs w:val="18"/>
                      <w:highlight w:val="none"/>
                      <w:lang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废布袋</w:t>
                  </w:r>
                </w:p>
              </w:tc>
              <w:tc>
                <w:tcPr>
                  <w:tcW w:w="1487" w:type="pct"/>
                  <w:noWrap w:val="0"/>
                  <w:vAlign w:val="center"/>
                </w:tcPr>
                <w:p w14:paraId="79054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由除尘器厂家更换直接带走</w:t>
                  </w:r>
                </w:p>
              </w:tc>
              <w:tc>
                <w:tcPr>
                  <w:tcW w:w="1597" w:type="pct"/>
                  <w:vMerge w:val="continue"/>
                  <w:noWrap w:val="0"/>
                  <w:vAlign w:val="center"/>
                </w:tcPr>
                <w:p w14:paraId="3FD80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r>
            <w:tr w14:paraId="0A9037F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3ACA7B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3C9989D7">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snapToGrid w:val="0"/>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初清杂质</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18"/>
                      <w:szCs w:val="18"/>
                      <w:highlight w:val="none"/>
                      <w14:textFill>
                        <w14:solidFill>
                          <w14:schemeClr w14:val="tx1"/>
                        </w14:solidFill>
                      </w14:textFill>
                    </w:rPr>
                    <w:t>粉尘</w:t>
                  </w:r>
                </w:p>
              </w:tc>
              <w:tc>
                <w:tcPr>
                  <w:tcW w:w="1487" w:type="pct"/>
                  <w:noWrap w:val="0"/>
                  <w:vAlign w:val="center"/>
                </w:tcPr>
                <w:p w14:paraId="48A95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z w:val="18"/>
                      <w:szCs w:val="18"/>
                      <w:highlight w:val="none"/>
                      <w:lang w:val="en-US"/>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市政部门统一清运处理</w:t>
                  </w:r>
                </w:p>
              </w:tc>
              <w:tc>
                <w:tcPr>
                  <w:tcW w:w="1597" w:type="pct"/>
                  <w:vMerge w:val="continue"/>
                  <w:noWrap w:val="0"/>
                  <w:vAlign w:val="center"/>
                </w:tcPr>
                <w:p w14:paraId="49277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r>
            <w:tr w14:paraId="6272235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14:paraId="62E9F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c>
                <w:tcPr>
                  <w:tcW w:w="1522" w:type="pct"/>
                  <w:gridSpan w:val="2"/>
                  <w:noWrap w:val="0"/>
                  <w:vAlign w:val="center"/>
                </w:tcPr>
                <w:p w14:paraId="709F98E0">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废机油，废弃含油抹布手套</w:t>
                  </w:r>
                </w:p>
              </w:tc>
              <w:tc>
                <w:tcPr>
                  <w:tcW w:w="1487" w:type="pct"/>
                  <w:noWrap w:val="0"/>
                  <w:vAlign w:val="center"/>
                </w:tcPr>
                <w:p w14:paraId="7A24F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2"/>
                      <w:sz w:val="18"/>
                      <w:szCs w:val="18"/>
                      <w:highlight w:val="none"/>
                      <w:lang w:val="en-US" w:eastAsia="zh-CN" w:bidi="ar-SA"/>
                      <w14:textFill>
                        <w14:solidFill>
                          <w14:schemeClr w14:val="tx1"/>
                        </w14:solidFill>
                      </w14:textFill>
                    </w:rPr>
                  </w:pPr>
                  <w:r>
                    <w:rPr>
                      <w:rFonts w:hint="eastAsia" w:cs="Times New Roman"/>
                      <w:color w:val="000000" w:themeColor="text1"/>
                      <w:kern w:val="2"/>
                      <w:sz w:val="18"/>
                      <w:szCs w:val="18"/>
                      <w:highlight w:val="none"/>
                      <w:lang w:val="en-US" w:eastAsia="zh-CN" w:bidi="ar-SA"/>
                      <w14:textFill>
                        <w14:solidFill>
                          <w14:schemeClr w14:val="tx1"/>
                        </w14:solidFill>
                      </w14:textFill>
                    </w:rPr>
                    <w:t>委托有资质单位处理</w:t>
                  </w:r>
                </w:p>
              </w:tc>
              <w:tc>
                <w:tcPr>
                  <w:tcW w:w="1597" w:type="pct"/>
                  <w:vMerge w:val="continue"/>
                  <w:noWrap w:val="0"/>
                  <w:vAlign w:val="center"/>
                </w:tcPr>
                <w:p w14:paraId="689A79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p>
              </w:tc>
            </w:tr>
            <w:tr w14:paraId="5033897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36F3E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地下水</w:t>
                  </w:r>
                </w:p>
              </w:tc>
              <w:tc>
                <w:tcPr>
                  <w:tcW w:w="4607" w:type="pct"/>
                  <w:gridSpan w:val="4"/>
                  <w:noWrap w:val="0"/>
                  <w:vAlign w:val="center"/>
                </w:tcPr>
                <w:p w14:paraId="677DA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18"/>
                      <w:szCs w:val="18"/>
                      <w:highlight w:val="none"/>
                      <w14:textFill>
                        <w14:solidFill>
                          <w14:schemeClr w14:val="tx1"/>
                        </w14:solidFill>
                      </w14:textFill>
                    </w:rPr>
                  </w:pPr>
                  <w:r>
                    <w:rPr>
                      <w:rFonts w:hint="default" w:ascii="Times New Roman" w:hAnsi="Times New Roman" w:cs="Times New Roman"/>
                      <w:b w:val="0"/>
                      <w:bCs/>
                      <w:color w:val="000000" w:themeColor="text1"/>
                      <w:sz w:val="18"/>
                      <w:szCs w:val="18"/>
                      <w:highlight w:val="none"/>
                      <w:lang w:val="en-US" w:eastAsia="zh-CN"/>
                      <w14:textFill>
                        <w14:solidFill>
                          <w14:schemeClr w14:val="tx1"/>
                        </w14:solidFill>
                      </w14:textFill>
                    </w:rPr>
                    <w:t>本项目不存在土壤、地下水环境污染途径</w:t>
                  </w:r>
                  <w:r>
                    <w:rPr>
                      <w:rFonts w:hint="eastAsia" w:ascii="Times New Roman" w:hAnsi="Times New Roman" w:cs="Times New Roman"/>
                      <w:b w:val="0"/>
                      <w:bCs/>
                      <w:color w:val="000000" w:themeColor="text1"/>
                      <w:sz w:val="18"/>
                      <w:szCs w:val="18"/>
                      <w:highlight w:val="none"/>
                      <w:lang w:val="en-US" w:eastAsia="zh-CN"/>
                      <w14:textFill>
                        <w14:solidFill>
                          <w14:schemeClr w14:val="tx1"/>
                        </w14:solidFill>
                      </w14:textFill>
                    </w:rPr>
                    <w:t>。</w:t>
                  </w:r>
                </w:p>
              </w:tc>
            </w:tr>
            <w:tr w14:paraId="4554CA2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92" w:type="pct"/>
                  <w:noWrap w:val="0"/>
                  <w:vAlign w:val="center"/>
                </w:tcPr>
                <w:p w14:paraId="2D608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highlight w:val="none"/>
                      <w:lang w:val="en-US" w:eastAsia="zh-CN"/>
                      <w14:textFill>
                        <w14:solidFill>
                          <w14:schemeClr w14:val="tx1"/>
                        </w14:solidFill>
                      </w14:textFill>
                    </w:rPr>
                    <w:t>其他验收内容</w:t>
                  </w:r>
                </w:p>
              </w:tc>
              <w:tc>
                <w:tcPr>
                  <w:tcW w:w="4607" w:type="pct"/>
                  <w:gridSpan w:val="4"/>
                  <w:noWrap w:val="0"/>
                  <w:vAlign w:val="center"/>
                </w:tcPr>
                <w:p w14:paraId="39D2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18"/>
                      <w:szCs w:val="18"/>
                      <w:highlight w:val="none"/>
                      <w:lang w:val="en-US" w:eastAsia="zh-CN"/>
                      <w14:textFill>
                        <w14:solidFill>
                          <w14:schemeClr w14:val="tx1"/>
                        </w14:solidFill>
                      </w14:textFill>
                    </w:rPr>
                  </w:pPr>
                  <w:r>
                    <w:rPr>
                      <w:rFonts w:hint="eastAsia" w:cs="Times New Roman"/>
                      <w:b w:val="0"/>
                      <w:bCs/>
                      <w:color w:val="000000" w:themeColor="text1"/>
                      <w:sz w:val="18"/>
                      <w:szCs w:val="18"/>
                      <w:highlight w:val="none"/>
                      <w:lang w:val="en-US" w:eastAsia="zh-CN"/>
                      <w14:textFill>
                        <w14:solidFill>
                          <w14:schemeClr w14:val="tx1"/>
                        </w14:solidFill>
                      </w14:textFill>
                    </w:rPr>
                    <w:t>申请排污许可证</w:t>
                  </w:r>
                </w:p>
              </w:tc>
            </w:tr>
          </w:tbl>
          <w:p w14:paraId="143CE6F1">
            <w:pPr>
              <w:keepNext w:val="0"/>
              <w:keepLines w:val="0"/>
              <w:suppressLineNumbers w:val="0"/>
              <w:adjustRightInd w:val="0"/>
              <w:snapToGrid w:val="0"/>
              <w:spacing w:before="0" w:beforeAutospacing="0" w:after="0" w:afterAutospacing="0"/>
              <w:ind w:left="0" w:right="0"/>
              <w:jc w:val="both"/>
              <w:rPr>
                <w:rFonts w:hint="default" w:eastAsia="宋体"/>
                <w:bCs/>
                <w:color w:val="000000" w:themeColor="text1"/>
                <w:spacing w:val="-10"/>
                <w:szCs w:val="21"/>
                <w:highlight w:val="none"/>
                <w:lang w:val="en-US" w:eastAsia="zh-CN"/>
                <w14:textFill>
                  <w14:solidFill>
                    <w14:schemeClr w14:val="tx1"/>
                  </w14:solidFill>
                </w14:textFill>
              </w:rPr>
            </w:pPr>
          </w:p>
        </w:tc>
      </w:tr>
    </w:tbl>
    <w:p w14:paraId="23A186CF">
      <w:pP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br w:type="page"/>
      </w:r>
    </w:p>
    <w:p w14:paraId="36975FA7">
      <w:pPr>
        <w:pStyle w:val="28"/>
        <w:spacing w:before="0" w:beforeAutospacing="0" w:after="158" w:afterLines="50" w:afterAutospacing="0"/>
        <w:jc w:val="center"/>
        <w:outlineLvl w:val="0"/>
        <w:rPr>
          <w:rFonts w:hint="eastAsia" w:ascii="Times New Roman" w:hAnsi="Times New Roman" w:eastAsia="黑体" w:cs="Times New Roman"/>
          <w:snapToGrid w:val="0"/>
          <w:color w:val="000000" w:themeColor="text1"/>
          <w:kern w:val="21"/>
          <w:sz w:val="30"/>
          <w:szCs w:val="30"/>
          <w:highlight w:val="none"/>
          <w:lang w:eastAsia="zh-CN"/>
          <w14:textFill>
            <w14:solidFill>
              <w14:schemeClr w14:val="tx1"/>
            </w14:solidFill>
          </w14:textFill>
        </w:rPr>
      </w:pPr>
      <w:bookmarkStart w:id="10" w:name="_Toc21713"/>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五、</w:t>
      </w:r>
      <w:bookmarkStart w:id="11" w:name="_Hlk54167917"/>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环境保护措施监督检查清单</w:t>
      </w:r>
      <w:bookmarkEnd w:id="10"/>
      <w:bookmarkEnd w:id="11"/>
    </w:p>
    <w:tbl>
      <w:tblPr>
        <w:tblStyle w:val="33"/>
        <w:tblW w:w="503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1498"/>
        <w:gridCol w:w="1459"/>
        <w:gridCol w:w="1677"/>
        <w:gridCol w:w="1891"/>
        <w:gridCol w:w="2546"/>
      </w:tblGrid>
      <w:tr w14:paraId="0F58A2E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tcBorders>
              <w:tl2br w:val="single" w:color="auto" w:sz="4" w:space="0"/>
            </w:tcBorders>
            <w:vAlign w:val="center"/>
          </w:tcPr>
          <w:p w14:paraId="50BA25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内容</w:t>
            </w:r>
          </w:p>
          <w:p w14:paraId="5963FF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p>
          <w:p w14:paraId="3AC79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要素</w:t>
            </w:r>
          </w:p>
        </w:tc>
        <w:tc>
          <w:tcPr>
            <w:tcW w:w="804" w:type="pct"/>
            <w:vAlign w:val="center"/>
          </w:tcPr>
          <w:p w14:paraId="41E047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排放口（编号、名称）/污染源</w:t>
            </w:r>
          </w:p>
        </w:tc>
        <w:tc>
          <w:tcPr>
            <w:tcW w:w="924" w:type="pct"/>
            <w:vAlign w:val="center"/>
          </w:tcPr>
          <w:p w14:paraId="5D1CC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污染物项目</w:t>
            </w:r>
          </w:p>
        </w:tc>
        <w:tc>
          <w:tcPr>
            <w:tcW w:w="1042" w:type="pct"/>
            <w:vAlign w:val="center"/>
          </w:tcPr>
          <w:p w14:paraId="268A4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环境保护措施</w:t>
            </w:r>
          </w:p>
        </w:tc>
        <w:tc>
          <w:tcPr>
            <w:tcW w:w="1403" w:type="pct"/>
            <w:vAlign w:val="center"/>
          </w:tcPr>
          <w:p w14:paraId="5B8C4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bidi="ar-SA"/>
                <w14:textFill>
                  <w14:solidFill>
                    <w14:schemeClr w14:val="tx1"/>
                  </w14:solidFill>
                </w14:textFill>
              </w:rPr>
              <w:t>执行标准</w:t>
            </w:r>
          </w:p>
        </w:tc>
      </w:tr>
      <w:tr w14:paraId="206BAB7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restart"/>
            <w:vAlign w:val="center"/>
          </w:tcPr>
          <w:p w14:paraId="4837F2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大气环境</w:t>
            </w:r>
          </w:p>
        </w:tc>
        <w:tc>
          <w:tcPr>
            <w:tcW w:w="804" w:type="pct"/>
            <w:vAlign w:val="center"/>
          </w:tcPr>
          <w:p w14:paraId="5074A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热风炉</w:t>
            </w:r>
            <w:r>
              <w:rPr>
                <w:rFonts w:hint="eastAsia" w:cs="Times New Roman"/>
                <w:color w:val="000000" w:themeColor="text1"/>
                <w:sz w:val="21"/>
                <w:szCs w:val="21"/>
                <w:highlight w:val="none"/>
                <w:lang w:eastAsia="zh-CN"/>
                <w14:textFill>
                  <w14:solidFill>
                    <w14:schemeClr w14:val="tx1"/>
                  </w14:solidFill>
                </w14:textFill>
              </w:rPr>
              <w:t>烟囱</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DA001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924" w:type="pct"/>
            <w:vAlign w:val="center"/>
          </w:tcPr>
          <w:p w14:paraId="2A834ED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、SO</w:t>
            </w:r>
            <w:r>
              <w:rPr>
                <w:rFonts w:hint="eastAsia"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、烟气黑度</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氮氧化物</w:t>
            </w:r>
          </w:p>
        </w:tc>
        <w:tc>
          <w:tcPr>
            <w:tcW w:w="1042" w:type="pct"/>
            <w:vAlign w:val="center"/>
          </w:tcPr>
          <w:p w14:paraId="5608DD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m高</w:t>
            </w:r>
            <w:r>
              <w:rPr>
                <w:rFonts w:hint="eastAsia" w:cs="Times New Roman"/>
                <w:color w:val="000000" w:themeColor="text1"/>
                <w:sz w:val="21"/>
                <w:szCs w:val="21"/>
                <w:highlight w:val="none"/>
                <w:lang w:eastAsia="zh-CN"/>
                <w14:textFill>
                  <w14:solidFill>
                    <w14:schemeClr w14:val="tx1"/>
                  </w14:solidFill>
                </w14:textFill>
              </w:rPr>
              <w:t>烟囱</w:t>
            </w: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tc>
        <w:tc>
          <w:tcPr>
            <w:tcW w:w="1403" w:type="pct"/>
            <w:vAlign w:val="center"/>
          </w:tcPr>
          <w:p w14:paraId="375BE8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《工业炉窑大气污染物排放标准》（GB9078-1996）表2和表4中标准要求</w:t>
            </w:r>
          </w:p>
        </w:tc>
      </w:tr>
      <w:tr w14:paraId="6BCF165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498077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61C457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装卸粉尘</w:t>
            </w:r>
          </w:p>
        </w:tc>
        <w:tc>
          <w:tcPr>
            <w:tcW w:w="924" w:type="pct"/>
            <w:vMerge w:val="restart"/>
            <w:vAlign w:val="center"/>
          </w:tcPr>
          <w:p w14:paraId="07504D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颗粒物</w:t>
            </w:r>
          </w:p>
        </w:tc>
        <w:tc>
          <w:tcPr>
            <w:tcW w:w="1042" w:type="pct"/>
            <w:vAlign w:val="center"/>
          </w:tcPr>
          <w:p w14:paraId="233CA4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选用密闭性良好的设备，全封闭输送、原粮入</w:t>
            </w:r>
            <w:r>
              <w:rPr>
                <w:rFonts w:hint="eastAsia" w:cs="Times New Roman"/>
                <w:color w:val="000000" w:themeColor="text1"/>
                <w:spacing w:val="0"/>
                <w:kern w:val="0"/>
                <w:sz w:val="21"/>
                <w:szCs w:val="21"/>
                <w:highlight w:val="none"/>
                <w:lang w:val="en-US" w:eastAsia="zh-CN" w:bidi="ar"/>
                <w14:textFill>
                  <w14:solidFill>
                    <w14:schemeClr w14:val="tx1"/>
                  </w14:solidFill>
                </w14:textFill>
              </w:rPr>
              <w:t>仓</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采取封闭和减小装卸高度</w:t>
            </w:r>
          </w:p>
        </w:tc>
        <w:tc>
          <w:tcPr>
            <w:tcW w:w="1403" w:type="pct"/>
            <w:vMerge w:val="restart"/>
            <w:vAlign w:val="center"/>
          </w:tcPr>
          <w:p w14:paraId="744A2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大气污染物</w:t>
            </w:r>
            <w:r>
              <w:rPr>
                <w:rFonts w:hint="default"/>
                <w:color w:val="000000" w:themeColor="text1"/>
                <w:sz w:val="21"/>
                <w:szCs w:val="21"/>
                <w:highlight w:val="none"/>
                <w14:textFill>
                  <w14:solidFill>
                    <w14:schemeClr w14:val="tx1"/>
                  </w14:solidFill>
                </w14:textFill>
              </w:rPr>
              <w:t>综合排放标准》</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GB</w:t>
            </w:r>
            <w:r>
              <w:rPr>
                <w:rFonts w:hint="eastAsia"/>
                <w:color w:val="000000" w:themeColor="text1"/>
                <w:sz w:val="21"/>
                <w:szCs w:val="21"/>
                <w:highlight w:val="none"/>
                <w14:textFill>
                  <w14:solidFill>
                    <w14:schemeClr w14:val="tx1"/>
                  </w14:solidFill>
                </w14:textFill>
              </w:rPr>
              <w:t>16297</w:t>
            </w:r>
            <w:r>
              <w:rPr>
                <w:rFonts w:hint="eastAsia"/>
                <w:color w:val="000000" w:themeColor="text1"/>
                <w:sz w:val="21"/>
                <w:szCs w:val="21"/>
                <w:highlight w:val="none"/>
                <w:lang w:val="en-US"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1996</w:t>
            </w:r>
            <w:r>
              <w:rPr>
                <w:rFonts w:hint="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中</w:t>
            </w:r>
            <w:r>
              <w:rPr>
                <w:rFonts w:hint="eastAsia" w:ascii="Times New Roman" w:hAnsi="Times New Roman" w:cs="Times New Roman"/>
                <w:color w:val="000000" w:themeColor="text1"/>
                <w:sz w:val="21"/>
                <w:szCs w:val="21"/>
                <w:highlight w:val="none"/>
                <w:lang w:eastAsia="zh-CN"/>
                <w14:textFill>
                  <w14:solidFill>
                    <w14:schemeClr w14:val="tx1"/>
                  </w14:solidFill>
                </w14:textFill>
              </w:rPr>
              <w:t>无组织</w:t>
            </w:r>
            <w:r>
              <w:rPr>
                <w:rFonts w:hint="default" w:ascii="Times New Roman" w:hAnsi="Times New Roman" w:cs="Times New Roman"/>
                <w:color w:val="000000" w:themeColor="text1"/>
                <w:sz w:val="21"/>
                <w:szCs w:val="21"/>
                <w:highlight w:val="none"/>
                <w14:textFill>
                  <w14:solidFill>
                    <w14:schemeClr w14:val="tx1"/>
                  </w14:solidFill>
                </w14:textFill>
              </w:rPr>
              <w:t>排放标准</w:t>
            </w:r>
          </w:p>
        </w:tc>
      </w:tr>
      <w:tr w14:paraId="46B7475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7CB41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62C9C3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筛分粉尘</w:t>
            </w:r>
          </w:p>
        </w:tc>
        <w:tc>
          <w:tcPr>
            <w:tcW w:w="924" w:type="pct"/>
            <w:vMerge w:val="continue"/>
            <w:vAlign w:val="center"/>
          </w:tcPr>
          <w:p w14:paraId="4D3F6E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pPr>
          </w:p>
        </w:tc>
        <w:tc>
          <w:tcPr>
            <w:tcW w:w="1042" w:type="pct"/>
            <w:vAlign w:val="center"/>
          </w:tcPr>
          <w:p w14:paraId="2C4C2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清粮采用全密闭</w:t>
            </w:r>
            <w:r>
              <w:rPr>
                <w:rFonts w:hint="eastAsia" w:cs="Times New Roman"/>
                <w:color w:val="000000" w:themeColor="text1"/>
                <w:sz w:val="21"/>
                <w:szCs w:val="21"/>
                <w:highlight w:val="none"/>
                <w:lang w:val="en-US" w:eastAsia="zh-CN"/>
                <w14:textFill>
                  <w14:solidFill>
                    <w14:schemeClr w14:val="tx1"/>
                  </w14:solidFill>
                </w14:textFill>
              </w:rPr>
              <w:t>筛分机</w:t>
            </w:r>
            <w:r>
              <w:rPr>
                <w:rFonts w:hint="eastAsia" w:ascii="Times New Roman" w:hAnsi="Times New Roman" w:cs="Times New Roman"/>
                <w:color w:val="000000" w:themeColor="text1"/>
                <w:sz w:val="21"/>
                <w:szCs w:val="21"/>
                <w:highlight w:val="none"/>
                <w:lang w:eastAsia="zh-CN"/>
                <w14:textFill>
                  <w14:solidFill>
                    <w14:schemeClr w14:val="tx1"/>
                  </w14:solidFill>
                </w14:textFill>
              </w:rPr>
              <w:t>，产生的粉尘经设备自带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袋式除尘器</w:t>
            </w:r>
            <w:r>
              <w:rPr>
                <w:rFonts w:hint="eastAsia" w:ascii="Times New Roman" w:hAnsi="Times New Roman" w:cs="Times New Roman"/>
                <w:color w:val="000000" w:themeColor="text1"/>
                <w:sz w:val="21"/>
                <w:szCs w:val="21"/>
                <w:highlight w:val="none"/>
                <w:lang w:eastAsia="zh-CN"/>
                <w14:textFill>
                  <w14:solidFill>
                    <w14:schemeClr w14:val="tx1"/>
                  </w14:solidFill>
                </w14:textFill>
              </w:rPr>
              <w:t>处理后排放</w:t>
            </w:r>
          </w:p>
        </w:tc>
        <w:tc>
          <w:tcPr>
            <w:tcW w:w="1403" w:type="pct"/>
            <w:vMerge w:val="continue"/>
            <w:vAlign w:val="center"/>
          </w:tcPr>
          <w:p w14:paraId="2F7724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themeColor="text1"/>
                <w:sz w:val="21"/>
                <w:szCs w:val="21"/>
                <w:highlight w:val="none"/>
                <w:lang w:eastAsia="zh-CN"/>
                <w14:textFill>
                  <w14:solidFill>
                    <w14:schemeClr w14:val="tx1"/>
                  </w14:solidFill>
                </w14:textFill>
              </w:rPr>
            </w:pPr>
          </w:p>
        </w:tc>
      </w:tr>
      <w:tr w14:paraId="7752DF2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08D4F9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1ADEA8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烘干粉尘</w:t>
            </w:r>
          </w:p>
        </w:tc>
        <w:tc>
          <w:tcPr>
            <w:tcW w:w="924" w:type="pct"/>
            <w:vMerge w:val="continue"/>
            <w:vAlign w:val="center"/>
          </w:tcPr>
          <w:p w14:paraId="4770A5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042" w:type="pct"/>
            <w:vAlign w:val="center"/>
          </w:tcPr>
          <w:p w14:paraId="47BF88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烘干塔内部自带重力沉降室，烘干塔底部四周设置防尘挡板，粉尘受挡板格挡后受重力作用回落到烘干塔底部收尘设施中</w:t>
            </w:r>
          </w:p>
        </w:tc>
        <w:tc>
          <w:tcPr>
            <w:tcW w:w="1403" w:type="pct"/>
            <w:vMerge w:val="continue"/>
            <w:vAlign w:val="center"/>
          </w:tcPr>
          <w:p w14:paraId="118C2E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BE65E75">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1BEA9C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359EA3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厂界</w:t>
            </w:r>
          </w:p>
        </w:tc>
        <w:tc>
          <w:tcPr>
            <w:tcW w:w="924" w:type="pct"/>
            <w:vAlign w:val="center"/>
          </w:tcPr>
          <w:p w14:paraId="2A0DEA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042" w:type="pct"/>
            <w:vAlign w:val="center"/>
          </w:tcPr>
          <w:p w14:paraId="653FF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403" w:type="pct"/>
            <w:vMerge w:val="continue"/>
            <w:vAlign w:val="center"/>
          </w:tcPr>
          <w:p w14:paraId="7A5897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20037B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Merge w:val="continue"/>
            <w:vAlign w:val="center"/>
          </w:tcPr>
          <w:p w14:paraId="43A25F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p>
        </w:tc>
        <w:tc>
          <w:tcPr>
            <w:tcW w:w="804" w:type="pct"/>
            <w:vAlign w:val="center"/>
          </w:tcPr>
          <w:p w14:paraId="374BAB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热风炉房</w:t>
            </w:r>
            <w:r>
              <w:rPr>
                <w:rFonts w:hint="eastAsia" w:cs="Times New Roman"/>
                <w:color w:val="000000" w:themeColor="text1"/>
                <w:sz w:val="21"/>
                <w:szCs w:val="21"/>
                <w:highlight w:val="none"/>
                <w:lang w:val="en-US" w:eastAsia="zh-CN"/>
                <w14:textFill>
                  <w14:solidFill>
                    <w14:schemeClr w14:val="tx1"/>
                  </w14:solidFill>
                </w14:textFill>
              </w:rPr>
              <w:t>（热风炉）</w:t>
            </w:r>
          </w:p>
        </w:tc>
        <w:tc>
          <w:tcPr>
            <w:tcW w:w="924" w:type="pct"/>
            <w:vAlign w:val="center"/>
          </w:tcPr>
          <w:p w14:paraId="2782CE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042" w:type="pct"/>
            <w:vAlign w:val="center"/>
          </w:tcPr>
          <w:p w14:paraId="7440FE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洒水降尘</w:t>
            </w:r>
          </w:p>
        </w:tc>
        <w:tc>
          <w:tcPr>
            <w:tcW w:w="1403" w:type="pct"/>
            <w:vAlign w:val="center"/>
          </w:tcPr>
          <w:p w14:paraId="2E5FA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14:textFill>
                  <w14:solidFill>
                    <w14:schemeClr w14:val="tx1"/>
                  </w14:solidFill>
                </w14:textFill>
              </w:rPr>
              <w:t>《工业炉窑大气污染物排放标准》（GB9078-1996）中的表</w:t>
            </w:r>
            <w:r>
              <w:rPr>
                <w:rFonts w:hint="default"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3中标准要求</w:t>
            </w:r>
          </w:p>
        </w:tc>
      </w:tr>
      <w:tr w14:paraId="766E77B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789F54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地表水环境</w:t>
            </w:r>
          </w:p>
        </w:tc>
        <w:tc>
          <w:tcPr>
            <w:tcW w:w="804" w:type="pct"/>
            <w:vAlign w:val="center"/>
          </w:tcPr>
          <w:p w14:paraId="60C6C0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924" w:type="pct"/>
            <w:vAlign w:val="center"/>
          </w:tcPr>
          <w:p w14:paraId="174A087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42" w:type="pct"/>
            <w:vAlign w:val="center"/>
          </w:tcPr>
          <w:p w14:paraId="451123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403" w:type="pct"/>
            <w:vAlign w:val="center"/>
          </w:tcPr>
          <w:p w14:paraId="53E8E5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5549052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52F718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地下水及土壤环境</w:t>
            </w:r>
          </w:p>
        </w:tc>
        <w:tc>
          <w:tcPr>
            <w:tcW w:w="804" w:type="pct"/>
            <w:vAlign w:val="center"/>
          </w:tcPr>
          <w:p w14:paraId="47F982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924" w:type="pct"/>
            <w:vAlign w:val="center"/>
          </w:tcPr>
          <w:p w14:paraId="2B930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042" w:type="pct"/>
            <w:vAlign w:val="center"/>
          </w:tcPr>
          <w:p w14:paraId="5B4673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403" w:type="pct"/>
            <w:vAlign w:val="center"/>
          </w:tcPr>
          <w:p w14:paraId="577F88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r>
      <w:tr w14:paraId="34AB267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074394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声环境</w:t>
            </w:r>
          </w:p>
        </w:tc>
        <w:tc>
          <w:tcPr>
            <w:tcW w:w="804" w:type="pct"/>
            <w:vAlign w:val="center"/>
          </w:tcPr>
          <w:p w14:paraId="0E590C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设备运行</w:t>
            </w:r>
          </w:p>
        </w:tc>
        <w:tc>
          <w:tcPr>
            <w:tcW w:w="924" w:type="pct"/>
            <w:vAlign w:val="center"/>
          </w:tcPr>
          <w:p w14:paraId="72637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t>噪声</w:t>
            </w:r>
          </w:p>
        </w:tc>
        <w:tc>
          <w:tcPr>
            <w:tcW w:w="1042" w:type="pct"/>
            <w:vAlign w:val="center"/>
          </w:tcPr>
          <w:p w14:paraId="0846CB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选取低噪声设备，采取减振、隔声</w:t>
            </w:r>
            <w:r>
              <w:rPr>
                <w:rFonts w:hint="eastAsia" w:cs="Times New Roman"/>
                <w:color w:val="000000" w:themeColor="text1"/>
                <w:sz w:val="21"/>
                <w:szCs w:val="21"/>
                <w:highlight w:val="none"/>
                <w:lang w:val="en-US" w:eastAsia="zh-CN"/>
                <w14:textFill>
                  <w14:solidFill>
                    <w14:schemeClr w14:val="tx1"/>
                  </w14:solidFill>
                </w14:textFill>
              </w:rPr>
              <w:t>等措施</w:t>
            </w:r>
          </w:p>
        </w:tc>
        <w:tc>
          <w:tcPr>
            <w:tcW w:w="1403" w:type="pct"/>
            <w:vAlign w:val="center"/>
          </w:tcPr>
          <w:p w14:paraId="109D38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《工业企业厂界环境噪声排放标准》(GB12348-2008)表1中</w:t>
            </w:r>
            <w:r>
              <w:rPr>
                <w:rFonts w:hint="default"/>
                <w:color w:val="000000" w:themeColor="text1"/>
                <w:sz w:val="21"/>
                <w:szCs w:val="21"/>
                <w:highlight w:val="none"/>
                <w14:textFill>
                  <w14:solidFill>
                    <w14:schemeClr w14:val="tx1"/>
                  </w14:solidFill>
                </w14:textFill>
              </w:rPr>
              <w:t>2类</w:t>
            </w:r>
            <w:r>
              <w:rPr>
                <w:rFonts w:hint="eastAsia"/>
                <w:color w:val="000000" w:themeColor="text1"/>
                <w:sz w:val="21"/>
                <w:szCs w:val="21"/>
                <w:highlight w:val="none"/>
                <w:lang w:val="en-US" w:eastAsia="zh-CN"/>
                <w14:textFill>
                  <w14:solidFill>
                    <w14:schemeClr w14:val="tx1"/>
                  </w14:solidFill>
                </w14:textFill>
              </w:rPr>
              <w:t>标准</w:t>
            </w:r>
          </w:p>
        </w:tc>
      </w:tr>
      <w:tr w14:paraId="30FD92F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0E54F3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电磁辐射</w:t>
            </w:r>
          </w:p>
        </w:tc>
        <w:tc>
          <w:tcPr>
            <w:tcW w:w="804" w:type="pct"/>
            <w:vAlign w:val="center"/>
          </w:tcPr>
          <w:p w14:paraId="7CB681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924" w:type="pct"/>
            <w:vAlign w:val="center"/>
          </w:tcPr>
          <w:p w14:paraId="3C6AA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042" w:type="pct"/>
            <w:vAlign w:val="center"/>
          </w:tcPr>
          <w:p w14:paraId="5B139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c>
          <w:tcPr>
            <w:tcW w:w="1403" w:type="pct"/>
            <w:vAlign w:val="center"/>
          </w:tcPr>
          <w:p w14:paraId="7570C4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w:t>
            </w:r>
          </w:p>
        </w:tc>
      </w:tr>
      <w:tr w14:paraId="16A6E93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50414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固体废物</w:t>
            </w:r>
          </w:p>
        </w:tc>
        <w:tc>
          <w:tcPr>
            <w:tcW w:w="4174" w:type="pct"/>
            <w:gridSpan w:val="4"/>
            <w:vAlign w:val="center"/>
          </w:tcPr>
          <w:p w14:paraId="5E0BE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不新增劳动定员，</w:t>
            </w:r>
            <w:r>
              <w:rPr>
                <w:rFonts w:hint="eastAsia"/>
                <w:color w:val="000000" w:themeColor="text1"/>
                <w:sz w:val="21"/>
                <w:szCs w:val="21"/>
                <w:highlight w:val="none"/>
                <w:lang w:val="en-US" w:eastAsia="zh-CN"/>
                <w14:textFill>
                  <w14:solidFill>
                    <w14:schemeClr w14:val="tx1"/>
                  </w14:solidFill>
                </w14:textFill>
              </w:rPr>
              <w:t>无</w:t>
            </w:r>
            <w:r>
              <w:rPr>
                <w:rFonts w:hint="eastAsia"/>
                <w:color w:val="000000" w:themeColor="text1"/>
                <w:sz w:val="21"/>
                <w:szCs w:val="21"/>
                <w:highlight w:val="none"/>
                <w14:textFill>
                  <w14:solidFill>
                    <w14:schemeClr w14:val="tx1"/>
                  </w14:solidFill>
                </w14:textFill>
              </w:rPr>
              <w:t>新增</w:t>
            </w:r>
            <w:r>
              <w:rPr>
                <w:rFonts w:hint="eastAsia"/>
                <w:color w:val="000000" w:themeColor="text1"/>
                <w:sz w:val="21"/>
                <w:szCs w:val="21"/>
                <w:highlight w:val="none"/>
                <w:lang w:val="en-US" w:eastAsia="zh-CN"/>
                <w14:textFill>
                  <w14:solidFill>
                    <w14:schemeClr w14:val="tx1"/>
                  </w14:solidFill>
                </w14:textFill>
              </w:rPr>
              <w:t>生活垃圾</w:t>
            </w:r>
            <w:r>
              <w:rPr>
                <w:rFonts w:hint="eastAsia"/>
                <w:color w:val="000000" w:themeColor="text1"/>
                <w:sz w:val="18"/>
                <w:szCs w:val="18"/>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热风炉</w:t>
            </w:r>
            <w:r>
              <w:rPr>
                <w:rFonts w:hint="eastAsia"/>
                <w:color w:val="000000" w:themeColor="text1"/>
                <w:highlight w:val="none"/>
                <w14:textFill>
                  <w14:solidFill>
                    <w14:schemeClr w14:val="tx1"/>
                  </w14:solidFill>
                </w14:textFill>
              </w:rPr>
              <w:t>布袋除尘器收尘</w:t>
            </w:r>
            <w:r>
              <w:rPr>
                <w:rFonts w:hint="eastAsia"/>
                <w:color w:val="000000" w:themeColor="text1"/>
                <w:highlight w:val="none"/>
                <w:lang w:val="en-US" w:eastAsia="zh-CN"/>
                <w14:textFill>
                  <w14:solidFill>
                    <w14:schemeClr w14:val="tx1"/>
                  </w14:solidFill>
                </w14:textFill>
              </w:rPr>
              <w:t>及</w:t>
            </w:r>
            <w:r>
              <w:rPr>
                <w:rFonts w:hint="eastAsia"/>
                <w:color w:val="000000" w:themeColor="text1"/>
                <w:highlight w:val="none"/>
                <w14:textFill>
                  <w14:solidFill>
                    <w14:schemeClr w14:val="tx1"/>
                  </w14:solidFill>
                </w14:textFill>
              </w:rPr>
              <w:t>热风炉炉渣</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集中收集</w:t>
            </w:r>
            <w:r>
              <w:rPr>
                <w:rFonts w:hint="eastAsia" w:cs="Times New Roman"/>
                <w:color w:val="000000" w:themeColor="text1"/>
                <w:sz w:val="21"/>
                <w:szCs w:val="21"/>
                <w:highlight w:val="none"/>
                <w:lang w:val="en-US" w:eastAsia="zh-CN"/>
                <w14:textFill>
                  <w14:solidFill>
                    <w14:schemeClr w14:val="tx1"/>
                  </w14:solidFill>
                </w14:textFill>
              </w:rPr>
              <w:t>袋装存储于灰渣间，每10天清运1次，不在厂区长期储存，外售肥料厂家综合利用</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废布袋，</w:t>
            </w:r>
            <w:r>
              <w:rPr>
                <w:rFonts w:hint="eastAsia" w:ascii="宋体" w:hAnsi="宋体" w:cs="宋体"/>
                <w:color w:val="000000" w:themeColor="text1"/>
                <w:sz w:val="21"/>
                <w:szCs w:val="21"/>
                <w:highlight w:val="none"/>
                <w14:textFill>
                  <w14:solidFill>
                    <w14:schemeClr w14:val="tx1"/>
                  </w14:solidFill>
                </w14:textFill>
              </w:rPr>
              <w:t>由除尘器厂家更换后直接带走</w:t>
            </w:r>
            <w:r>
              <w:rPr>
                <w:rFonts w:hint="eastAsia" w:ascii="宋体" w:hAnsi="宋体" w:cs="宋体"/>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21"/>
                <w:szCs w:val="21"/>
                <w:highlight w:val="none"/>
                <w14:textFill>
                  <w14:solidFill>
                    <w14:schemeClr w14:val="tx1"/>
                  </w14:solidFill>
                </w14:textFill>
              </w:rPr>
              <w:t>粉尘</w:t>
            </w:r>
            <w:r>
              <w:rPr>
                <w:rFonts w:hint="eastAsia" w:cs="Times New Roman"/>
                <w:color w:val="000000" w:themeColor="text1"/>
                <w:kern w:val="21"/>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val="en-US" w:eastAsia="zh-CN" w:bidi="ar-SA"/>
                <w14:textFill>
                  <w14:solidFill>
                    <w14:schemeClr w14:val="tx1"/>
                  </w14:solidFill>
                </w14:textFill>
              </w:rPr>
              <w:t>市政部门统一清运处理，废机油，废弃含油抹布手套暂存危废贮存点，定期委托有资质单位处理</w:t>
            </w:r>
            <w:r>
              <w:rPr>
                <w:rFonts w:hint="eastAsia"/>
                <w:color w:val="000000" w:themeColor="text1"/>
                <w:sz w:val="21"/>
                <w:szCs w:val="21"/>
                <w:highlight w:val="none"/>
                <w14:textFill>
                  <w14:solidFill>
                    <w14:schemeClr w14:val="tx1"/>
                  </w14:solidFill>
                </w14:textFill>
              </w:rPr>
              <w:t>。</w:t>
            </w:r>
          </w:p>
        </w:tc>
      </w:tr>
      <w:tr w14:paraId="0D5B42D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2AB26A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土壤及地下水污染防治措施</w:t>
            </w:r>
          </w:p>
        </w:tc>
        <w:tc>
          <w:tcPr>
            <w:tcW w:w="4174" w:type="pct"/>
            <w:gridSpan w:val="4"/>
            <w:vAlign w:val="center"/>
          </w:tcPr>
          <w:p w14:paraId="2579FB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无</w:t>
            </w:r>
          </w:p>
        </w:tc>
      </w:tr>
      <w:tr w14:paraId="5507A6C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3BF9F3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生态保护措施</w:t>
            </w:r>
          </w:p>
        </w:tc>
        <w:tc>
          <w:tcPr>
            <w:tcW w:w="4174" w:type="pct"/>
            <w:gridSpan w:val="4"/>
            <w:vAlign w:val="center"/>
          </w:tcPr>
          <w:p w14:paraId="269CCE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w:t>
            </w:r>
          </w:p>
        </w:tc>
      </w:tr>
      <w:tr w14:paraId="54D420A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825" w:type="pct"/>
            <w:vAlign w:val="center"/>
          </w:tcPr>
          <w:p w14:paraId="1722EC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环境风险防范措施</w:t>
            </w:r>
          </w:p>
        </w:tc>
        <w:tc>
          <w:tcPr>
            <w:tcW w:w="4174" w:type="pct"/>
            <w:gridSpan w:val="4"/>
            <w:vAlign w:val="center"/>
          </w:tcPr>
          <w:p w14:paraId="67C379AB">
            <w:pPr>
              <w:pStyle w:val="3"/>
              <w:keepNext w:val="0"/>
              <w:keepLines w:val="0"/>
              <w:suppressLineNumbers w:val="0"/>
              <w:spacing w:before="0" w:beforeAutospacing="0" w:after="0" w:afterAutospacing="0"/>
              <w:ind w:left="0" w:right="0"/>
              <w:jc w:val="both"/>
              <w:rPr>
                <w:rFonts w:hint="eastAsia"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1、组织人员定期巡查；2、设置安全警示标识及公告栏；3、建立台账</w:t>
            </w:r>
          </w:p>
        </w:tc>
      </w:tr>
      <w:tr w14:paraId="7369BF3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2742" w:hRule="atLeast"/>
          <w:jc w:val="center"/>
        </w:trPr>
        <w:tc>
          <w:tcPr>
            <w:tcW w:w="825" w:type="pct"/>
            <w:vAlign w:val="center"/>
          </w:tcPr>
          <w:p w14:paraId="508D68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1"/>
                <w:sz w:val="21"/>
                <w:szCs w:val="21"/>
                <w:highlight w:val="none"/>
                <w14:textFill>
                  <w14:solidFill>
                    <w14:schemeClr w14:val="tx1"/>
                  </w14:solidFill>
                </w14:textFill>
              </w:rPr>
              <w:t>其他环境管理要求</w:t>
            </w:r>
          </w:p>
        </w:tc>
        <w:tc>
          <w:tcPr>
            <w:tcW w:w="4174" w:type="pct"/>
            <w:gridSpan w:val="4"/>
            <w:vAlign w:val="top"/>
          </w:tcPr>
          <w:p w14:paraId="37C3DA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本项目投产运行前，应按照《固定污染源排污许可分类管理名录（2019年版）》填报排污许可证。工作区内需指定专门的人员，在本项</w:t>
            </w:r>
            <w:r>
              <w:rPr>
                <w:rFonts w:hint="eastAsia" w:ascii="宋体" w:hAnsi="宋体" w:eastAsia="宋体" w:cs="宋体"/>
                <w:color w:val="000000" w:themeColor="text1"/>
                <w:sz w:val="21"/>
                <w:szCs w:val="21"/>
                <w:highlight w:val="none"/>
                <w14:textFill>
                  <w14:solidFill>
                    <w14:schemeClr w14:val="tx1"/>
                  </w14:solidFill>
                </w14:textFill>
              </w:rPr>
              <w:t>目实施时严格执行“三同时”制度，保证项目运营时三废均能得到有效处理后达标排放。在日常生产中，应加强环保管理，大力推行清洁生产，并加强职工对污染要“以防为主，防治结合”的认识。另外，应加强对设备运行状况的检查，特别是环保设</w:t>
            </w:r>
            <w:r>
              <w:rPr>
                <w:rFonts w:hint="default" w:ascii="Times New Roman" w:hAnsi="Times New Roman" w:eastAsia="宋体" w:cs="Times New Roman"/>
                <w:color w:val="000000" w:themeColor="text1"/>
                <w:sz w:val="21"/>
                <w:szCs w:val="21"/>
                <w:highlight w:val="none"/>
                <w14:textFill>
                  <w14:solidFill>
                    <w14:schemeClr w14:val="tx1"/>
                  </w14:solidFill>
                </w14:textFill>
              </w:rPr>
              <w:t>施要做到定期检查，制定检查方案与实施计划，严防出故障，对三废处理装置要定期检修，以确保污染物达标排放。按照相关要求，对排污口进行规范化管理，在正确的排放点位设置标识，以便进行自行验收和规范化管理</w:t>
            </w:r>
            <w:r>
              <w:rPr>
                <w:rFonts w:hint="eastAsia" w:cs="Times New Roman"/>
                <w:color w:val="000000" w:themeColor="text1"/>
                <w:sz w:val="21"/>
                <w:szCs w:val="21"/>
                <w:highlight w:val="none"/>
                <w:lang w:eastAsia="zh-CN"/>
                <w14:textFill>
                  <w14:solidFill>
                    <w14:schemeClr w14:val="tx1"/>
                  </w14:solidFill>
                </w14:textFill>
              </w:rPr>
              <w:t>。</w:t>
            </w:r>
          </w:p>
        </w:tc>
      </w:tr>
    </w:tbl>
    <w:p w14:paraId="2D6342B4">
      <w:pPr>
        <w:pStyle w:val="28"/>
        <w:spacing w:before="0" w:beforeAutospacing="0" w:after="158" w:afterLines="50" w:afterAutospacing="0"/>
        <w:jc w:val="center"/>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br w:type="page"/>
      </w:r>
      <w:bookmarkStart w:id="12" w:name="_Toc19724"/>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六、结论</w:t>
      </w:r>
      <w:bookmarkEnd w:id="12"/>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0EAAB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8" w:hRule="atLeast"/>
          <w:jc w:val="center"/>
        </w:trPr>
        <w:tc>
          <w:tcPr>
            <w:tcW w:w="5000" w:type="pct"/>
            <w:vAlign w:val="top"/>
          </w:tcPr>
          <w:p w14:paraId="76031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w:t>
            </w:r>
            <w:r>
              <w:rPr>
                <w:rFonts w:hint="default"/>
                <w:color w:val="000000" w:themeColor="text1"/>
                <w:szCs w:val="21"/>
                <w:highlight w:val="none"/>
                <w14:textFill>
                  <w14:solidFill>
                    <w14:schemeClr w14:val="tx1"/>
                  </w14:solidFill>
                </w14:textFill>
              </w:rPr>
              <w:t>项目符合国家产业政策，环保治理措施技术可行、污染物达标排放。企业在确实落实各项治理措施的情况下，在环保方面是可行的。</w:t>
            </w:r>
          </w:p>
        </w:tc>
      </w:tr>
    </w:tbl>
    <w:p w14:paraId="26E2B028">
      <w:pPr>
        <w:pStyle w:val="28"/>
        <w:spacing w:before="0" w:beforeAutospacing="0" w:after="158" w:afterLines="50" w:afterAutospacing="0"/>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sectPr>
          <w:footerReference r:id="rId5" w:type="default"/>
          <w:pgSz w:w="11849" w:h="16781"/>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p>
    <w:p w14:paraId="07B8CD26">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pPr>
      <w:bookmarkStart w:id="13" w:name="_Toc17733"/>
      <w: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t>附表</w:t>
      </w:r>
      <w:bookmarkEnd w:id="13"/>
    </w:p>
    <w:p w14:paraId="4C903D0D">
      <w:pPr>
        <w:pStyle w:val="28"/>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Times New Roman" w:hAnsi="Times New Roman" w:eastAsia="黑体" w:cs="Times New Roman"/>
          <w:snapToGrid w:val="0"/>
          <w:color w:val="000000" w:themeColor="text1"/>
          <w:kern w:val="21"/>
          <w:sz w:val="30"/>
          <w:szCs w:val="38"/>
          <w:highlight w:val="none"/>
          <w:lang w:eastAsia="zh-CN"/>
          <w14:textFill>
            <w14:solidFill>
              <w14:schemeClr w14:val="tx1"/>
            </w14:solidFill>
          </w14:textFill>
        </w:rPr>
      </w:pPr>
      <w:r>
        <w:rPr>
          <w:rFonts w:hint="default" w:ascii="Times New Roman" w:hAnsi="Times New Roman" w:eastAsia="黑体" w:cs="Times New Roman"/>
          <w:snapToGrid w:val="0"/>
          <w:color w:val="000000" w:themeColor="text1"/>
          <w:kern w:val="21"/>
          <w:sz w:val="30"/>
          <w:szCs w:val="38"/>
          <w:highlight w:val="none"/>
          <w14:textFill>
            <w14:solidFill>
              <w14:schemeClr w14:val="tx1"/>
            </w14:solidFill>
          </w14:textFill>
        </w:rPr>
        <w:t>建设项目污染物排放量汇总表</w:t>
      </w:r>
    </w:p>
    <w:tbl>
      <w:tblPr>
        <w:tblStyle w:val="33"/>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471"/>
        <w:gridCol w:w="1364"/>
        <w:gridCol w:w="1296"/>
        <w:gridCol w:w="1409"/>
        <w:gridCol w:w="1559"/>
        <w:gridCol w:w="1535"/>
        <w:gridCol w:w="1786"/>
        <w:gridCol w:w="1225"/>
      </w:tblGrid>
      <w:tr w14:paraId="6E870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tcBorders>
              <w:tl2br w:val="single" w:color="auto" w:sz="4" w:space="0"/>
            </w:tcBorders>
            <w:tcMar>
              <w:left w:w="28" w:type="dxa"/>
              <w:right w:w="28" w:type="dxa"/>
            </w:tcMar>
            <w:vAlign w:val="center"/>
          </w:tcPr>
          <w:p w14:paraId="0C861534">
            <w:pPr>
              <w:pStyle w:val="64"/>
              <w:keepNext w:val="0"/>
              <w:keepLines w:val="0"/>
              <w:suppressLineNumbers w:val="0"/>
              <w:spacing w:before="0" w:beforeLines="0" w:beforeAutospacing="0" w:after="0" w:afterLines="0" w:afterAutospacing="0" w:line="240" w:lineRule="auto"/>
              <w:ind w:left="0" w:right="0" w:firstLine="0" w:firstLineChars="0"/>
              <w:jc w:val="right"/>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项目</w:t>
            </w:r>
          </w:p>
          <w:p w14:paraId="35587A2F">
            <w:pPr>
              <w:pStyle w:val="64"/>
              <w:keepNext w:val="0"/>
              <w:keepLines w:val="0"/>
              <w:suppressLineNumbers w:val="0"/>
              <w:spacing w:before="0" w:beforeLines="0" w:beforeAutospacing="0" w:after="0" w:afterLines="0" w:afterAutospacing="0" w:line="240" w:lineRule="auto"/>
              <w:ind w:left="0" w:right="0" w:firstLine="0" w:firstLineChars="0"/>
              <w:jc w:val="both"/>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分类</w:t>
            </w:r>
          </w:p>
        </w:tc>
        <w:tc>
          <w:tcPr>
            <w:tcW w:w="2471" w:type="dxa"/>
            <w:tcMar>
              <w:left w:w="28" w:type="dxa"/>
              <w:right w:w="28" w:type="dxa"/>
            </w:tcMar>
            <w:vAlign w:val="center"/>
          </w:tcPr>
          <w:p w14:paraId="14D6FE7A">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污染物名称</w:t>
            </w:r>
          </w:p>
        </w:tc>
        <w:tc>
          <w:tcPr>
            <w:tcW w:w="1364" w:type="dxa"/>
            <w:tcMar>
              <w:left w:w="28" w:type="dxa"/>
              <w:right w:w="28" w:type="dxa"/>
            </w:tcMar>
            <w:vAlign w:val="center"/>
          </w:tcPr>
          <w:p w14:paraId="6B3FD2E2">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14:paraId="2450ABF7">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296" w:type="dxa"/>
            <w:tcMar>
              <w:left w:w="28" w:type="dxa"/>
              <w:right w:w="28" w:type="dxa"/>
            </w:tcMar>
            <w:vAlign w:val="center"/>
          </w:tcPr>
          <w:p w14:paraId="3E4C8FC7">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现有工程</w:t>
            </w:r>
          </w:p>
          <w:p w14:paraId="412BC488">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许可排放量</w:t>
            </w:r>
          </w:p>
          <w:p w14:paraId="2761ED77">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409" w:type="dxa"/>
            <w:tcMar>
              <w:left w:w="28" w:type="dxa"/>
              <w:right w:w="28" w:type="dxa"/>
            </w:tcMar>
            <w:vAlign w:val="center"/>
          </w:tcPr>
          <w:p w14:paraId="5B50537B">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在建工程</w:t>
            </w:r>
          </w:p>
          <w:p w14:paraId="5DC7620E">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59" w:type="dxa"/>
            <w:tcMar>
              <w:left w:w="28" w:type="dxa"/>
              <w:right w:w="28" w:type="dxa"/>
            </w:tcMar>
            <w:vAlign w:val="center"/>
          </w:tcPr>
          <w:p w14:paraId="7D09F808">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本项目</w:t>
            </w:r>
          </w:p>
          <w:p w14:paraId="05E00EB4">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35" w:type="dxa"/>
            <w:tcMar>
              <w:left w:w="28" w:type="dxa"/>
              <w:right w:w="28" w:type="dxa"/>
            </w:tcMar>
            <w:vAlign w:val="center"/>
          </w:tcPr>
          <w:p w14:paraId="758CD5F7">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以新带老削减量</w:t>
            </w:r>
          </w:p>
          <w:p w14:paraId="0939E4D0">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786" w:type="dxa"/>
            <w:tcMar>
              <w:left w:w="28" w:type="dxa"/>
              <w:right w:w="28" w:type="dxa"/>
            </w:tcMar>
            <w:vAlign w:val="center"/>
          </w:tcPr>
          <w:p w14:paraId="74861CF5">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本项目建成后</w:t>
            </w:r>
          </w:p>
          <w:p w14:paraId="3BCC806E">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highlight w:val="none"/>
                <w14:textFill>
                  <w14:solidFill>
                    <w14:schemeClr w14:val="tx1"/>
                  </w14:solidFill>
                </w14:textFill>
              </w:rPr>
              <w:fldChar w:fldCharType="end"/>
            </w:r>
          </w:p>
        </w:tc>
        <w:tc>
          <w:tcPr>
            <w:tcW w:w="1225" w:type="dxa"/>
            <w:tcMar>
              <w:left w:w="28" w:type="dxa"/>
              <w:right w:w="28" w:type="dxa"/>
            </w:tcMar>
            <w:vAlign w:val="center"/>
          </w:tcPr>
          <w:p w14:paraId="129D5064">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t>变化量</w:t>
            </w:r>
          </w:p>
          <w:p w14:paraId="66C4C801">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黑体" w:cs="Times New Roman"/>
                <w:color w:val="000000" w:themeColor="text1"/>
                <w:kern w:val="2"/>
                <w:sz w:val="21"/>
                <w:szCs w:val="21"/>
                <w:highlight w:val="none"/>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highlight w:val="none"/>
                <w14:textFill>
                  <w14:solidFill>
                    <w14:schemeClr w14:val="tx1"/>
                  </w14:solidFill>
                </w14:textFill>
              </w:rPr>
              <w:fldChar w:fldCharType="end"/>
            </w:r>
          </w:p>
        </w:tc>
      </w:tr>
      <w:tr w14:paraId="3B268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restart"/>
            <w:vAlign w:val="center"/>
          </w:tcPr>
          <w:p w14:paraId="308815F6">
            <w:pPr>
              <w:pStyle w:val="64"/>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 w:val="21"/>
                <w:szCs w:val="21"/>
                <w:highlight w:val="none"/>
                <w:lang w:val="en-US" w:eastAsia="zh-CN"/>
                <w14:textFill>
                  <w14:solidFill>
                    <w14:schemeClr w14:val="tx1"/>
                  </w14:solidFill>
                </w14:textFill>
              </w:rPr>
              <w:t>废气</w:t>
            </w:r>
          </w:p>
        </w:tc>
        <w:tc>
          <w:tcPr>
            <w:tcW w:w="2471" w:type="dxa"/>
            <w:vAlign w:val="center"/>
          </w:tcPr>
          <w:p w14:paraId="1AF30F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颗粒物</w:t>
            </w:r>
          </w:p>
        </w:tc>
        <w:tc>
          <w:tcPr>
            <w:tcW w:w="1364" w:type="dxa"/>
            <w:vAlign w:val="center"/>
          </w:tcPr>
          <w:p w14:paraId="3B7C3E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0.0864</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96" w:type="dxa"/>
            <w:vAlign w:val="center"/>
          </w:tcPr>
          <w:p w14:paraId="07E5F6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0.124</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409" w:type="dxa"/>
            <w:vAlign w:val="center"/>
          </w:tcPr>
          <w:p w14:paraId="5ED2B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708BFD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0.317t/a</w:t>
            </w:r>
          </w:p>
        </w:tc>
        <w:tc>
          <w:tcPr>
            <w:tcW w:w="1535" w:type="dxa"/>
            <w:vAlign w:val="center"/>
          </w:tcPr>
          <w:p w14:paraId="4A4CD82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786" w:type="dxa"/>
            <w:vAlign w:val="center"/>
          </w:tcPr>
          <w:p w14:paraId="4C7A3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0.403</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7606D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+0.317t/a</w:t>
            </w:r>
          </w:p>
        </w:tc>
      </w:tr>
      <w:tr w14:paraId="21ECE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72F015EB">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1D2FBC4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364" w:type="dxa"/>
            <w:vAlign w:val="center"/>
          </w:tcPr>
          <w:p w14:paraId="68ABF43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0.00768</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96" w:type="dxa"/>
            <w:vAlign w:val="center"/>
          </w:tcPr>
          <w:p w14:paraId="6C0153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0.411</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409" w:type="dxa"/>
            <w:vAlign w:val="center"/>
          </w:tcPr>
          <w:p w14:paraId="6CE94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2D5C7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0.379t/a</w:t>
            </w:r>
          </w:p>
        </w:tc>
        <w:tc>
          <w:tcPr>
            <w:tcW w:w="1535" w:type="dxa"/>
            <w:vAlign w:val="center"/>
          </w:tcPr>
          <w:p w14:paraId="2E9F28B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786" w:type="dxa"/>
            <w:vAlign w:val="center"/>
          </w:tcPr>
          <w:p w14:paraId="2D9C7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0.387</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6B38D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+0.379t/a</w:t>
            </w:r>
          </w:p>
        </w:tc>
      </w:tr>
      <w:tr w14:paraId="6CE54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553F2F56">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03C2EC4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p>
        </w:tc>
        <w:tc>
          <w:tcPr>
            <w:tcW w:w="1364" w:type="dxa"/>
            <w:vAlign w:val="center"/>
          </w:tcPr>
          <w:p w14:paraId="04C322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0.476</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96" w:type="dxa"/>
            <w:vAlign w:val="center"/>
          </w:tcPr>
          <w:p w14:paraId="1A1E77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1.233</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409" w:type="dxa"/>
            <w:vAlign w:val="center"/>
          </w:tcPr>
          <w:p w14:paraId="0A246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1C576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1.662t/a</w:t>
            </w:r>
          </w:p>
        </w:tc>
        <w:tc>
          <w:tcPr>
            <w:tcW w:w="1535" w:type="dxa"/>
            <w:vAlign w:val="center"/>
          </w:tcPr>
          <w:p w14:paraId="066188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786" w:type="dxa"/>
            <w:vAlign w:val="center"/>
          </w:tcPr>
          <w:p w14:paraId="6F65D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2.143</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4CC1A5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+1.662t/a</w:t>
            </w:r>
          </w:p>
        </w:tc>
      </w:tr>
      <w:tr w14:paraId="20FFA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70578686">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p>
        </w:tc>
        <w:tc>
          <w:tcPr>
            <w:tcW w:w="2471" w:type="dxa"/>
            <w:vAlign w:val="center"/>
          </w:tcPr>
          <w:p w14:paraId="04265D47">
            <w:pPr>
              <w:keepNext w:val="0"/>
              <w:keepLines w:val="0"/>
              <w:suppressLineNumbers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工业粉尘</w:t>
            </w:r>
          </w:p>
        </w:tc>
        <w:tc>
          <w:tcPr>
            <w:tcW w:w="1364" w:type="dxa"/>
            <w:vAlign w:val="center"/>
          </w:tcPr>
          <w:p w14:paraId="3FEEF4B3">
            <w:pPr>
              <w:keepNext w:val="0"/>
              <w:keepLines w:val="0"/>
              <w:suppressLineNumbers w:val="0"/>
              <w:spacing w:before="0" w:beforeAutospacing="0" w:after="0" w:afterAutospacing="0"/>
              <w:ind w:left="0" w:leftChars="0" w:right="0" w:rightChars="0"/>
              <w:jc w:val="center"/>
              <w:rPr>
                <w:rFonts w:hint="default"/>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3.1</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96" w:type="dxa"/>
            <w:vAlign w:val="center"/>
          </w:tcPr>
          <w:p w14:paraId="2F9293F2">
            <w:pPr>
              <w:keepNext w:val="0"/>
              <w:keepLines w:val="0"/>
              <w:suppressLineNumbers w:val="0"/>
              <w:spacing w:before="0" w:beforeAutospacing="0" w:after="0" w:afterAutospacing="0"/>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409" w:type="dxa"/>
            <w:vAlign w:val="center"/>
          </w:tcPr>
          <w:p w14:paraId="15EC0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559" w:type="dxa"/>
            <w:vAlign w:val="center"/>
          </w:tcPr>
          <w:p w14:paraId="2B701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0.7t/a</w:t>
            </w:r>
          </w:p>
        </w:tc>
        <w:tc>
          <w:tcPr>
            <w:tcW w:w="1535" w:type="dxa"/>
            <w:vAlign w:val="center"/>
          </w:tcPr>
          <w:p w14:paraId="1E80EB52">
            <w:pPr>
              <w:keepNext w:val="0"/>
              <w:keepLines w:val="0"/>
              <w:suppressLineNumbers w:val="0"/>
              <w:spacing w:before="0" w:beforeAutospacing="0" w:after="0" w:afterAutospacing="0"/>
              <w:ind w:left="0" w:leftChars="0" w:right="0" w:right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786" w:type="dxa"/>
            <w:vAlign w:val="center"/>
          </w:tcPr>
          <w:p w14:paraId="67E24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c>
          <w:tcPr>
            <w:tcW w:w="1225" w:type="dxa"/>
            <w:vAlign w:val="center"/>
          </w:tcPr>
          <w:p w14:paraId="3E4882B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+0.7</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t/a</w:t>
            </w:r>
          </w:p>
        </w:tc>
      </w:tr>
      <w:tr w14:paraId="69E00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restart"/>
            <w:vAlign w:val="center"/>
          </w:tcPr>
          <w:p w14:paraId="0A1A906E">
            <w:pPr>
              <w:pStyle w:val="64"/>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21"/>
                <w:sz w:val="21"/>
                <w:szCs w:val="21"/>
                <w:highlight w:val="none"/>
                <w:lang w:val="en-US" w:eastAsia="zh-CN"/>
                <w14:textFill>
                  <w14:solidFill>
                    <w14:schemeClr w14:val="tx1"/>
                  </w14:solidFill>
                </w14:textFill>
              </w:rPr>
              <w:t>一般</w:t>
            </w:r>
            <w: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t>固体废物</w:t>
            </w:r>
          </w:p>
        </w:tc>
        <w:tc>
          <w:tcPr>
            <w:tcW w:w="2471" w:type="dxa"/>
            <w:vAlign w:val="center"/>
          </w:tcPr>
          <w:p w14:paraId="1EF85718">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生活垃圾</w:t>
            </w:r>
          </w:p>
        </w:tc>
        <w:tc>
          <w:tcPr>
            <w:tcW w:w="1364" w:type="dxa"/>
            <w:vAlign w:val="center"/>
          </w:tcPr>
          <w:p w14:paraId="5DFC17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1.8</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96" w:type="dxa"/>
            <w:vAlign w:val="center"/>
          </w:tcPr>
          <w:p w14:paraId="26D1C89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409" w:type="dxa"/>
            <w:vAlign w:val="center"/>
          </w:tcPr>
          <w:p w14:paraId="4D50507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3811054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35" w:type="dxa"/>
            <w:vAlign w:val="center"/>
          </w:tcPr>
          <w:p w14:paraId="2169150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786" w:type="dxa"/>
            <w:vAlign w:val="center"/>
          </w:tcPr>
          <w:p w14:paraId="7BD10EC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1.8</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25" w:type="dxa"/>
            <w:vAlign w:val="center"/>
          </w:tcPr>
          <w:p w14:paraId="2FBF968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r>
      <w:tr w14:paraId="36769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061A823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71" w:type="dxa"/>
            <w:vAlign w:val="center"/>
          </w:tcPr>
          <w:p w14:paraId="4794B5E5">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热风炉炉渣</w:t>
            </w:r>
            <w:r>
              <w:rPr>
                <w:rFonts w:hint="eastAsia" w:cs="Times New Roman"/>
                <w:color w:val="000000" w:themeColor="text1"/>
                <w:sz w:val="21"/>
                <w:szCs w:val="21"/>
                <w:highlight w:val="none"/>
                <w:lang w:val="en-US" w:eastAsia="zh-CN"/>
                <w14:textFill>
                  <w14:solidFill>
                    <w14:schemeClr w14:val="tx1"/>
                  </w14:solidFill>
                </w14:textFill>
              </w:rPr>
              <w:t>及除尘器收尘</w:t>
            </w:r>
          </w:p>
        </w:tc>
        <w:tc>
          <w:tcPr>
            <w:tcW w:w="1364" w:type="dxa"/>
            <w:vAlign w:val="center"/>
          </w:tcPr>
          <w:p w14:paraId="049A4E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29.46</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96" w:type="dxa"/>
            <w:vAlign w:val="center"/>
          </w:tcPr>
          <w:p w14:paraId="3FECDE98">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409" w:type="dxa"/>
            <w:vAlign w:val="center"/>
          </w:tcPr>
          <w:p w14:paraId="78DED1D7">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6814702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142.22</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535" w:type="dxa"/>
            <w:vAlign w:val="center"/>
          </w:tcPr>
          <w:p w14:paraId="54BA7C7D">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786" w:type="dxa"/>
            <w:vAlign w:val="center"/>
          </w:tcPr>
          <w:p w14:paraId="57AB170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171.68</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25" w:type="dxa"/>
            <w:vAlign w:val="center"/>
          </w:tcPr>
          <w:p w14:paraId="6181AAB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+142.22</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r>
      <w:tr w14:paraId="20434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1846D22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71" w:type="dxa"/>
            <w:vAlign w:val="center"/>
          </w:tcPr>
          <w:p w14:paraId="2A69DB3B">
            <w:pPr>
              <w:keepNext w:val="0"/>
              <w:keepLines w:val="0"/>
              <w:pageBreakBefore w:val="0"/>
              <w:suppressLineNumbers w:val="0"/>
              <w:kinsoku/>
              <w:wordWrap/>
              <w:overflowPunct/>
              <w:topLinePunct w:val="0"/>
              <w:autoSpaceDE w:val="0"/>
              <w:autoSpaceDN w:val="0"/>
              <w:bidi w:val="0"/>
              <w:spacing w:before="0" w:beforeAutospacing="0" w:after="0" w:afterAutospacing="0" w:line="240" w:lineRule="auto"/>
              <w:ind w:left="0" w:leftChars="0" w:right="0" w:rightChars="0"/>
              <w:contextualSpacing/>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废布袋</w:t>
            </w:r>
          </w:p>
        </w:tc>
        <w:tc>
          <w:tcPr>
            <w:tcW w:w="1364" w:type="dxa"/>
            <w:vAlign w:val="center"/>
          </w:tcPr>
          <w:p w14:paraId="07A209F0">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296" w:type="dxa"/>
            <w:vAlign w:val="center"/>
          </w:tcPr>
          <w:p w14:paraId="5116F899">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409" w:type="dxa"/>
            <w:vAlign w:val="center"/>
          </w:tcPr>
          <w:p w14:paraId="675E5DEA">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21DD5C4A">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0.10t/a</w:t>
            </w:r>
          </w:p>
        </w:tc>
        <w:tc>
          <w:tcPr>
            <w:tcW w:w="1535" w:type="dxa"/>
            <w:vAlign w:val="center"/>
          </w:tcPr>
          <w:p w14:paraId="0141BFEF">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786" w:type="dxa"/>
            <w:vAlign w:val="center"/>
          </w:tcPr>
          <w:p w14:paraId="7F58E8DF">
            <w:pPr>
              <w:pStyle w:val="12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0.10t/a</w:t>
            </w:r>
          </w:p>
        </w:tc>
        <w:tc>
          <w:tcPr>
            <w:tcW w:w="1225" w:type="dxa"/>
            <w:vAlign w:val="center"/>
          </w:tcPr>
          <w:p w14:paraId="4E6D8C7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jc w:val="center"/>
              <w:textAlignment w:val="auto"/>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+0.10</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r>
      <w:tr w14:paraId="09945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14:paraId="1957167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p>
        </w:tc>
        <w:tc>
          <w:tcPr>
            <w:tcW w:w="2471" w:type="dxa"/>
            <w:vAlign w:val="center"/>
          </w:tcPr>
          <w:p w14:paraId="0F710108">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初清杂质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及输送装卸、筛分、烘干</w:t>
            </w:r>
            <w:r>
              <w:rPr>
                <w:rFonts w:hint="default" w:ascii="Times New Roman" w:hAnsi="Times New Roman" w:cs="Times New Roman"/>
                <w:color w:val="000000" w:themeColor="text1"/>
                <w:sz w:val="21"/>
                <w:szCs w:val="21"/>
                <w:highlight w:val="none"/>
                <w14:textFill>
                  <w14:solidFill>
                    <w14:schemeClr w14:val="tx1"/>
                  </w14:solidFill>
                </w14:textFill>
              </w:rPr>
              <w:t>粉尘</w:t>
            </w:r>
          </w:p>
        </w:tc>
        <w:tc>
          <w:tcPr>
            <w:tcW w:w="1364" w:type="dxa"/>
            <w:vAlign w:val="center"/>
          </w:tcPr>
          <w:p w14:paraId="5825426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70.87</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96" w:type="dxa"/>
            <w:vAlign w:val="center"/>
          </w:tcPr>
          <w:p w14:paraId="2F177B1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409" w:type="dxa"/>
            <w:vAlign w:val="center"/>
          </w:tcPr>
          <w:p w14:paraId="28E17A9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559" w:type="dxa"/>
            <w:vAlign w:val="center"/>
          </w:tcPr>
          <w:p w14:paraId="158DEF1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33.297</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535" w:type="dxa"/>
            <w:vAlign w:val="center"/>
          </w:tcPr>
          <w:p w14:paraId="3305923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w:t>
            </w:r>
          </w:p>
        </w:tc>
        <w:tc>
          <w:tcPr>
            <w:tcW w:w="1786" w:type="dxa"/>
            <w:vAlign w:val="center"/>
          </w:tcPr>
          <w:p w14:paraId="1B2085E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104.167</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c>
          <w:tcPr>
            <w:tcW w:w="1225" w:type="dxa"/>
            <w:vAlign w:val="center"/>
          </w:tcPr>
          <w:p w14:paraId="46F1057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+33.297</w:t>
            </w: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t/a</w:t>
            </w:r>
          </w:p>
        </w:tc>
      </w:tr>
      <w:tr w14:paraId="17905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14:paraId="22F8383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危险废物</w:t>
            </w:r>
          </w:p>
        </w:tc>
        <w:tc>
          <w:tcPr>
            <w:tcW w:w="2471" w:type="dxa"/>
            <w:vAlign w:val="center"/>
          </w:tcPr>
          <w:p w14:paraId="6ECD4965">
            <w:pPr>
              <w:pStyle w:val="129"/>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废机油、废弃含油抹布手套</w:t>
            </w:r>
          </w:p>
        </w:tc>
        <w:tc>
          <w:tcPr>
            <w:tcW w:w="1364" w:type="dxa"/>
            <w:vAlign w:val="center"/>
          </w:tcPr>
          <w:p w14:paraId="5ED071CD">
            <w:pPr>
              <w:keepNext w:val="0"/>
              <w:keepLines w:val="0"/>
              <w:suppressLineNumbers w:val="0"/>
              <w:adjustRightInd w:val="0"/>
              <w:snapToGrid w:val="0"/>
              <w:spacing w:before="0" w:beforeAutospacing="0" w:after="0" w:afterAutospacing="0" w:line="240" w:lineRule="auto"/>
              <w:ind w:left="0" w:right="0"/>
              <w:jc w:val="center"/>
              <w:rPr>
                <w:rFonts w:hint="default"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w:t>
            </w:r>
          </w:p>
        </w:tc>
        <w:tc>
          <w:tcPr>
            <w:tcW w:w="1296" w:type="dxa"/>
            <w:vAlign w:val="center"/>
          </w:tcPr>
          <w:p w14:paraId="1EE2DB2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409" w:type="dxa"/>
            <w:vAlign w:val="center"/>
          </w:tcPr>
          <w:p w14:paraId="1FF062DB">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559" w:type="dxa"/>
            <w:vAlign w:val="center"/>
          </w:tcPr>
          <w:p w14:paraId="336166E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0.03t/a</w:t>
            </w:r>
          </w:p>
        </w:tc>
        <w:tc>
          <w:tcPr>
            <w:tcW w:w="1535" w:type="dxa"/>
            <w:vAlign w:val="center"/>
          </w:tcPr>
          <w:p w14:paraId="48984F1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786" w:type="dxa"/>
            <w:vAlign w:val="center"/>
          </w:tcPr>
          <w:p w14:paraId="5CF1432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0.03t/a</w:t>
            </w:r>
          </w:p>
        </w:tc>
        <w:tc>
          <w:tcPr>
            <w:tcW w:w="1225" w:type="dxa"/>
            <w:vAlign w:val="center"/>
          </w:tcPr>
          <w:p w14:paraId="65EB0B6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0.03t/a</w:t>
            </w:r>
          </w:p>
        </w:tc>
      </w:tr>
    </w:tbl>
    <w:p w14:paraId="16B8C635">
      <w:pPr>
        <w:rPr>
          <w:rFonts w:hint="default" w:ascii="Times New Roman" w:hAnsi="Times New Roman" w:cs="Times New Roman"/>
          <w:snapToGrid w:val="0"/>
          <w:color w:val="000000" w:themeColor="text1"/>
          <w:kern w:val="21"/>
          <w:sz w:val="21"/>
          <w:szCs w:val="32"/>
          <w:highlight w:val="none"/>
          <w14:textFill>
            <w14:solidFill>
              <w14:schemeClr w14:val="tx1"/>
            </w14:solidFill>
          </w14:textFill>
        </w:rPr>
        <w:sectPr>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cs="Times New Roman"/>
          <w:snapToGrid w:val="0"/>
          <w:color w:val="000000" w:themeColor="text1"/>
          <w:kern w:val="21"/>
          <w:sz w:val="21"/>
          <w:highlight w:val="none"/>
          <w14:textFill>
            <w14:solidFill>
              <w14:schemeClr w14:val="tx1"/>
            </w14:solidFill>
          </w14:textFill>
        </w:rPr>
        <w:t>注：⑥=①+③+④-⑤；⑦=⑥-①</w:t>
      </w:r>
    </w:p>
    <w:p w14:paraId="3A5C1991">
      <w:pPr>
        <w:pStyle w:val="5"/>
        <w:spacing w:line="360" w:lineRule="auto"/>
        <w:ind w:left="0" w:leftChars="0" w:firstLine="0" w:firstLineChars="0"/>
        <w:rPr>
          <w:rFonts w:hint="eastAsia" w:ascii="Times New Roman" w:hAnsi="Times New Roman" w:eastAsia="宋体" w:cs="Times New Roman"/>
          <w:color w:val="000000" w:themeColor="text1"/>
          <w:highlight w:val="none"/>
          <w:lang w:eastAsia="zh-CN"/>
          <w14:textFill>
            <w14:solidFill>
              <w14:schemeClr w14:val="tx1"/>
            </w14:solidFill>
          </w14:textFill>
        </w:rPr>
      </w:pPr>
      <w:bookmarkStart w:id="14" w:name="_Toc11995"/>
      <w:bookmarkStart w:id="15" w:name="_Toc24197"/>
      <w:bookmarkStart w:id="16" w:name="_Toc20292"/>
      <w:r>
        <w:rPr>
          <w:rFonts w:hint="default" w:ascii="Times New Roman" w:hAnsi="Times New Roman" w:eastAsia="宋体" w:cs="Times New Roman"/>
          <w:color w:val="000000" w:themeColor="text1"/>
          <w:sz w:val="21"/>
          <w:szCs w:val="21"/>
          <w:highlight w:val="none"/>
          <w14:textFill>
            <w14:solidFill>
              <w14:schemeClr w14:val="tx1"/>
            </w14:solidFill>
          </w14:textFill>
        </w:rPr>
        <w:t>附件1</w:t>
      </w:r>
      <w:bookmarkEnd w:id="14"/>
      <w:bookmarkEnd w:id="15"/>
      <w:bookmarkEnd w:id="16"/>
      <w:r>
        <w:rPr>
          <w:rFonts w:hint="eastAsia" w:eastAsia="宋体" w:cs="Times New Roman"/>
          <w:color w:val="000000" w:themeColor="text1"/>
          <w:sz w:val="21"/>
          <w:szCs w:val="21"/>
          <w:highlight w:val="none"/>
          <w:lang w:val="en-US" w:eastAsia="zh-CN"/>
          <w14:textFill>
            <w14:solidFill>
              <w14:schemeClr w14:val="tx1"/>
            </w14:solidFill>
          </w14:textFill>
        </w:rPr>
        <w:t>营业执照</w:t>
      </w:r>
    </w:p>
    <w:p w14:paraId="5B381FC1">
      <w:pPr>
        <w:widowControl/>
        <w:adjustRightInd w:val="0"/>
        <w:snapToGrid w:val="0"/>
        <w:jc w:val="center"/>
        <w:rPr>
          <w:rFonts w:hint="eastAsia" w:ascii="Times New Roman" w:hAnsi="Times New Roman" w:eastAsia="Arial Unicode MS" w:cs="Times New Roman"/>
          <w:color w:val="000000" w:themeColor="text1"/>
          <w:highlight w:val="none"/>
          <w:lang w:eastAsia="zh-CN"/>
          <w14:textFill>
            <w14:solidFill>
              <w14:schemeClr w14:val="tx1"/>
            </w14:solidFill>
          </w14:textFill>
        </w:rPr>
      </w:pPr>
      <w:r>
        <w:rPr>
          <w:rFonts w:hint="eastAsia" w:ascii="Times New Roman" w:hAnsi="Times New Roman" w:eastAsia="Arial Unicode MS" w:cs="Times New Roman"/>
          <w:color w:val="000000" w:themeColor="text1"/>
          <w:highlight w:val="none"/>
          <w:lang w:eastAsia="zh-CN"/>
          <w14:textFill>
            <w14:solidFill>
              <w14:schemeClr w14:val="tx1"/>
            </w14:solidFill>
          </w14:textFill>
        </w:rPr>
        <w:drawing>
          <wp:inline distT="0" distB="0" distL="114300" distR="114300">
            <wp:extent cx="8216900" cy="4664075"/>
            <wp:effectExtent l="0" t="0" r="12700" b="3175"/>
            <wp:docPr id="14" name="图片 14" descr="营业执照"/>
            <wp:cNvGraphicFramePr/>
            <a:graphic xmlns:a="http://schemas.openxmlformats.org/drawingml/2006/main">
              <a:graphicData uri="http://schemas.openxmlformats.org/drawingml/2006/picture">
                <pic:pic xmlns:pic="http://schemas.openxmlformats.org/drawingml/2006/picture">
                  <pic:nvPicPr>
                    <pic:cNvPr id="14" name="图片 14" descr="营业执照"/>
                    <pic:cNvPicPr/>
                  </pic:nvPicPr>
                  <pic:blipFill>
                    <a:blip r:embed="rId23"/>
                    <a:stretch>
                      <a:fillRect/>
                    </a:stretch>
                  </pic:blipFill>
                  <pic:spPr>
                    <a:xfrm>
                      <a:off x="0" y="0"/>
                      <a:ext cx="8216900" cy="4664075"/>
                    </a:xfrm>
                    <a:prstGeom prst="rect">
                      <a:avLst/>
                    </a:prstGeom>
                  </pic:spPr>
                </pic:pic>
              </a:graphicData>
            </a:graphic>
          </wp:inline>
        </w:drawing>
      </w:r>
    </w:p>
    <w:p w14:paraId="2B41AC4A">
      <w:pPr>
        <w:pStyle w:val="30"/>
        <w:ind w:left="0" w:leftChars="0" w:firstLine="0" w:firstLineChars="0"/>
        <w:jc w:val="both"/>
        <w:rPr>
          <w:rFonts w:hint="eastAsia"/>
          <w:color w:val="000000" w:themeColor="text1"/>
          <w:highlight w:val="none"/>
          <w:lang w:eastAsia="zh-CN"/>
          <w14:textFill>
            <w14:solidFill>
              <w14:schemeClr w14:val="tx1"/>
            </w14:solidFill>
          </w14:textFill>
        </w:rPr>
        <w:sectPr>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p>
    <w:p w14:paraId="521275EE">
      <w:pPr>
        <w:pStyle w:val="5"/>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bookmarkStart w:id="17" w:name="_Toc37157991"/>
      <w:r>
        <w:rPr>
          <w:rFonts w:hint="default" w:ascii="Times New Roman" w:hAnsi="Times New Roman" w:eastAsia="宋体" w:cs="Times New Roman"/>
          <w:color w:val="000000" w:themeColor="text1"/>
          <w:sz w:val="21"/>
          <w:szCs w:val="21"/>
          <w:highlight w:val="none"/>
          <w14:textFill>
            <w14:solidFill>
              <w14:schemeClr w14:val="tx1"/>
            </w14:solidFill>
          </w14:textFill>
        </w:rPr>
        <w:t>附件</w:t>
      </w:r>
      <w:bookmarkEnd w:id="17"/>
      <w:r>
        <w:rPr>
          <w:rFonts w:hint="eastAsia" w:eastAsia="宋体" w:cs="Times New Roman"/>
          <w:color w:val="000000" w:themeColor="text1"/>
          <w:sz w:val="21"/>
          <w:szCs w:val="21"/>
          <w:highlight w:val="none"/>
          <w:lang w:val="en-US" w:eastAsia="zh-CN"/>
          <w14:textFill>
            <w14:solidFill>
              <w14:schemeClr w14:val="tx1"/>
            </w14:solidFill>
          </w14:textFill>
        </w:rPr>
        <w:t>2</w:t>
      </w:r>
      <w:r>
        <w:rPr>
          <w:rFonts w:hint="eastAsia" w:eastAsia="宋体" w:cs="Times New Roman"/>
          <w:b/>
          <w:color w:val="000000" w:themeColor="text1"/>
          <w:sz w:val="21"/>
          <w:szCs w:val="21"/>
          <w:highlight w:val="none"/>
          <w:lang w:val="en-US" w:eastAsia="zh-CN"/>
          <w14:textFill>
            <w14:solidFill>
              <w14:schemeClr w14:val="tx1"/>
            </w14:solidFill>
          </w14:textFill>
        </w:rPr>
        <w:t>土地手续</w:t>
      </w:r>
    </w:p>
    <w:p w14:paraId="227605EE">
      <w:pPr>
        <w:bidi w:val="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5215255" cy="7835900"/>
            <wp:effectExtent l="0" t="0" r="12700" b="4445"/>
            <wp:docPr id="101" name="图片 101" descr="c8c41f097742642927527da4ee8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8c41f097742642927527da4ee82099"/>
                    <pic:cNvPicPr>
                      <a:picLocks noChangeAspect="1"/>
                    </pic:cNvPicPr>
                  </pic:nvPicPr>
                  <pic:blipFill>
                    <a:blip r:embed="rId24"/>
                    <a:stretch>
                      <a:fillRect/>
                    </a:stretch>
                  </pic:blipFill>
                  <pic:spPr>
                    <a:xfrm rot="5400000">
                      <a:off x="0" y="0"/>
                      <a:ext cx="5215255" cy="7835900"/>
                    </a:xfrm>
                    <a:prstGeom prst="rect">
                      <a:avLst/>
                    </a:prstGeom>
                  </pic:spPr>
                </pic:pic>
              </a:graphicData>
            </a:graphic>
          </wp:inline>
        </w:drawing>
      </w:r>
      <w:r>
        <w:rPr>
          <w:rFonts w:hint="eastAsia" w:eastAsia="宋体" w:cs="Times New Roman"/>
          <w:color w:val="000000" w:themeColor="text1"/>
          <w:sz w:val="21"/>
          <w:szCs w:val="21"/>
          <w:highlight w:val="none"/>
          <w:lang w:val="en-US" w:eastAsia="zh-CN"/>
          <w14:textFill>
            <w14:solidFill>
              <w14:schemeClr w14:val="tx1"/>
            </w14:solidFill>
          </w14:textFill>
        </w:rPr>
        <w:drawing>
          <wp:inline distT="0" distB="0" distL="114300" distR="114300">
            <wp:extent cx="5181600" cy="7584440"/>
            <wp:effectExtent l="0" t="0" r="16510" b="0"/>
            <wp:docPr id="100" name="图片 100" descr="810355b370d2547144f2052fe0dd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10355b370d2547144f2052fe0dd495"/>
                    <pic:cNvPicPr>
                      <a:picLocks noChangeAspect="1"/>
                    </pic:cNvPicPr>
                  </pic:nvPicPr>
                  <pic:blipFill>
                    <a:blip r:embed="rId25"/>
                    <a:stretch>
                      <a:fillRect/>
                    </a:stretch>
                  </pic:blipFill>
                  <pic:spPr>
                    <a:xfrm rot="5400000">
                      <a:off x="0" y="0"/>
                      <a:ext cx="5181600" cy="7584440"/>
                    </a:xfrm>
                    <a:prstGeom prst="rect">
                      <a:avLst/>
                    </a:prstGeom>
                  </pic:spPr>
                </pic:pic>
              </a:graphicData>
            </a:graphic>
          </wp:inline>
        </w:drawing>
      </w:r>
    </w:p>
    <w:p w14:paraId="3B44DFE9">
      <w:pPr>
        <w:rPr>
          <w:rFonts w:hint="eastAsia" w:cs="Times New Roman"/>
          <w:b/>
          <w:bCs/>
          <w:color w:val="000000" w:themeColor="text1"/>
          <w:sz w:val="21"/>
          <w:szCs w:val="2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13DEEEFB">
      <w:pPr>
        <w:rPr>
          <w:rFonts w:hint="eastAsia" w:cs="Times New Roman"/>
          <w:b/>
          <w:bCs/>
          <w:color w:val="000000" w:themeColor="text1"/>
          <w:sz w:val="21"/>
          <w:szCs w:val="21"/>
          <w:highlight w:val="none"/>
          <w:lang w:val="en-US" w:eastAsia="zh-CN"/>
          <w14:textFill>
            <w14:solidFill>
              <w14:schemeClr w14:val="tx1"/>
            </w14:solidFill>
          </w14:textFill>
        </w:rPr>
      </w:pPr>
    </w:p>
    <w:p w14:paraId="233F167C">
      <w:pPr>
        <w:pStyle w:val="5"/>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附件3 </w:t>
      </w:r>
      <w:r>
        <w:rPr>
          <w:rFonts w:hint="eastAsia" w:eastAsia="宋体" w:cs="Times New Roman"/>
          <w:color w:val="000000" w:themeColor="text1"/>
          <w:sz w:val="21"/>
          <w:szCs w:val="21"/>
          <w:highlight w:val="none"/>
          <w:lang w:val="en-US" w:eastAsia="zh-CN"/>
          <w14:textFill>
            <w14:solidFill>
              <w14:schemeClr w14:val="tx1"/>
            </w14:solidFill>
          </w14:textFill>
        </w:rPr>
        <w:t>鸡东环审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eastAsia" w:eastAsia="宋体" w:cs="Times New Roman"/>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号</w:t>
      </w:r>
    </w:p>
    <w:p w14:paraId="235044D0">
      <w:pPr>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drawing>
          <wp:inline distT="0" distB="0" distL="114300" distR="114300">
            <wp:extent cx="5178425" cy="7934325"/>
            <wp:effectExtent l="0" t="0" r="3175" b="9525"/>
            <wp:docPr id="22" name="图片 22" descr="867f96838bdd542c85f8a187f326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7f96838bdd542c85f8a187f32608e"/>
                    <pic:cNvPicPr>
                      <a:picLocks noChangeAspect="1"/>
                    </pic:cNvPicPr>
                  </pic:nvPicPr>
                  <pic:blipFill>
                    <a:blip r:embed="rId26"/>
                    <a:stretch>
                      <a:fillRect/>
                    </a:stretch>
                  </pic:blipFill>
                  <pic:spPr>
                    <a:xfrm>
                      <a:off x="0" y="0"/>
                      <a:ext cx="5178425" cy="7934325"/>
                    </a:xfrm>
                    <a:prstGeom prst="rect">
                      <a:avLst/>
                    </a:prstGeom>
                  </pic:spPr>
                </pic:pic>
              </a:graphicData>
            </a:graphic>
          </wp:inline>
        </w:drawing>
      </w:r>
    </w:p>
    <w:p w14:paraId="1CA9A87E">
      <w:pPr>
        <w:pStyle w:val="127"/>
        <w:spacing w:line="240" w:lineRule="atLeast"/>
        <w:ind w:left="0" w:leftChars="0" w:firstLine="0" w:firstLineChars="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5328285" cy="8341995"/>
            <wp:effectExtent l="0" t="0" r="5715" b="1905"/>
            <wp:docPr id="24" name="图片 24" descr="0c1715b286ded0cff482d2396dc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c1715b286ded0cff482d2396dc2565"/>
                    <pic:cNvPicPr>
                      <a:picLocks noChangeAspect="1"/>
                    </pic:cNvPicPr>
                  </pic:nvPicPr>
                  <pic:blipFill>
                    <a:blip r:embed="rId27"/>
                    <a:stretch>
                      <a:fillRect/>
                    </a:stretch>
                  </pic:blipFill>
                  <pic:spPr>
                    <a:xfrm>
                      <a:off x="0" y="0"/>
                      <a:ext cx="5328285" cy="8341995"/>
                    </a:xfrm>
                    <a:prstGeom prst="rect">
                      <a:avLst/>
                    </a:prstGeom>
                  </pic:spPr>
                </pic:pic>
              </a:graphicData>
            </a:graphic>
          </wp:inline>
        </w:drawing>
      </w:r>
    </w:p>
    <w:p w14:paraId="356635CD">
      <w:pPr>
        <w:pStyle w:val="127"/>
        <w:spacing w:line="240" w:lineRule="atLeast"/>
        <w:ind w:left="0" w:leftChars="0" w:firstLine="0" w:firstLineChars="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5207635" cy="8409305"/>
            <wp:effectExtent l="0" t="0" r="12065" b="10795"/>
            <wp:docPr id="25" name="图片 25" descr="5ae25766fb6e716fdb21a916ae37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ae25766fb6e716fdb21a916ae3751c"/>
                    <pic:cNvPicPr>
                      <a:picLocks noChangeAspect="1"/>
                    </pic:cNvPicPr>
                  </pic:nvPicPr>
                  <pic:blipFill>
                    <a:blip r:embed="rId28"/>
                    <a:stretch>
                      <a:fillRect/>
                    </a:stretch>
                  </pic:blipFill>
                  <pic:spPr>
                    <a:xfrm>
                      <a:off x="0" y="0"/>
                      <a:ext cx="5207635" cy="8409305"/>
                    </a:xfrm>
                    <a:prstGeom prst="rect">
                      <a:avLst/>
                    </a:prstGeom>
                  </pic:spPr>
                </pic:pic>
              </a:graphicData>
            </a:graphic>
          </wp:inline>
        </w:drawing>
      </w:r>
    </w:p>
    <w:p w14:paraId="3033ACEC">
      <w:pPr>
        <w:pStyle w:val="127"/>
        <w:spacing w:line="240" w:lineRule="atLeast"/>
        <w:ind w:left="0" w:leftChars="0" w:firstLine="0" w:firstLineChars="0"/>
        <w:jc w:val="center"/>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5574665" cy="8101330"/>
            <wp:effectExtent l="0" t="0" r="6985" b="13970"/>
            <wp:docPr id="26" name="图片 26" descr="ef58e458a8e14dd11471fe5af2d4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f58e458a8e14dd11471fe5af2d4cb1"/>
                    <pic:cNvPicPr>
                      <a:picLocks noChangeAspect="1"/>
                    </pic:cNvPicPr>
                  </pic:nvPicPr>
                  <pic:blipFill>
                    <a:blip r:embed="rId29"/>
                    <a:stretch>
                      <a:fillRect/>
                    </a:stretch>
                  </pic:blipFill>
                  <pic:spPr>
                    <a:xfrm>
                      <a:off x="0" y="0"/>
                      <a:ext cx="5574665" cy="8101330"/>
                    </a:xfrm>
                    <a:prstGeom prst="rect">
                      <a:avLst/>
                    </a:prstGeom>
                  </pic:spPr>
                </pic:pic>
              </a:graphicData>
            </a:graphic>
          </wp:inline>
        </w:drawing>
      </w:r>
    </w:p>
    <w:p w14:paraId="3C0812F4">
      <w:pPr>
        <w:pStyle w:val="127"/>
        <w:spacing w:line="240" w:lineRule="atLeast"/>
        <w:ind w:left="0" w:leftChars="0" w:firstLine="0" w:firstLineChars="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1EEAC8A">
      <w:pPr>
        <w:pStyle w:val="5"/>
        <w:keepNext/>
        <w:keepLines w:val="0"/>
        <w:pageBreakBefore w:val="0"/>
        <w:widowControl w:val="0"/>
        <w:kinsoku/>
        <w:wordWrap/>
        <w:overflowPunct w:val="0"/>
        <w:topLinePunct w:val="0"/>
        <w:autoSpaceDE/>
        <w:autoSpaceDN/>
        <w:bidi w:val="0"/>
        <w:adjustRightInd/>
        <w:snapToGrid w:val="0"/>
        <w:spacing w:before="0" w:after="0" w:line="360" w:lineRule="auto"/>
        <w:ind w:left="431" w:hanging="431"/>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附件</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黑龙江省高能环境检测有限公司验收意见</w:t>
      </w:r>
    </w:p>
    <w:p w14:paraId="7AF1BB6A">
      <w:pP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p w14:paraId="1CF6B22E">
      <w:pPr>
        <w:pStyle w:val="42"/>
        <w:jc w:val="center"/>
        <w:rPr>
          <w:rFonts w:hint="default"/>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highlight w:val="none"/>
          <w:lang w:val="en-US" w:eastAsia="zh-CN"/>
        </w:rPr>
        <w:drawing>
          <wp:inline distT="0" distB="0" distL="114300" distR="114300">
            <wp:extent cx="5142230" cy="7922260"/>
            <wp:effectExtent l="0" t="0" r="1270" b="2540"/>
            <wp:docPr id="9" name="图片 9" descr="c7ab0b65042f75b8ade5048baee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7ab0b65042f75b8ade5048baee6254"/>
                    <pic:cNvPicPr>
                      <a:picLocks noChangeAspect="1"/>
                    </pic:cNvPicPr>
                  </pic:nvPicPr>
                  <pic:blipFill>
                    <a:blip r:embed="rId30"/>
                    <a:stretch>
                      <a:fillRect/>
                    </a:stretch>
                  </pic:blipFill>
                  <pic:spPr>
                    <a:xfrm>
                      <a:off x="0" y="0"/>
                      <a:ext cx="5142230" cy="7922260"/>
                    </a:xfrm>
                    <a:prstGeom prst="rect">
                      <a:avLst/>
                    </a:prstGeom>
                  </pic:spPr>
                </pic:pic>
              </a:graphicData>
            </a:graphic>
          </wp:inline>
        </w:drawing>
      </w:r>
      <w:r>
        <w:rPr>
          <w:rFonts w:hint="default"/>
          <w:highlight w:val="none"/>
          <w:lang w:val="en-US" w:eastAsia="zh-CN"/>
        </w:rPr>
        <w:drawing>
          <wp:inline distT="0" distB="0" distL="114300" distR="114300">
            <wp:extent cx="5099685" cy="8499475"/>
            <wp:effectExtent l="0" t="0" r="5715" b="15875"/>
            <wp:docPr id="12" name="图片 12" descr="6ad6bcffb3623f677d4071e6e23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ad6bcffb3623f677d4071e6e235714"/>
                    <pic:cNvPicPr>
                      <a:picLocks noChangeAspect="1"/>
                    </pic:cNvPicPr>
                  </pic:nvPicPr>
                  <pic:blipFill>
                    <a:blip r:embed="rId31"/>
                    <a:stretch>
                      <a:fillRect/>
                    </a:stretch>
                  </pic:blipFill>
                  <pic:spPr>
                    <a:xfrm>
                      <a:off x="0" y="0"/>
                      <a:ext cx="5099685" cy="8499475"/>
                    </a:xfrm>
                    <a:prstGeom prst="rect">
                      <a:avLst/>
                    </a:prstGeom>
                  </pic:spPr>
                </pic:pic>
              </a:graphicData>
            </a:graphic>
          </wp:inline>
        </w:drawing>
      </w:r>
      <w:r>
        <w:rPr>
          <w:rFonts w:hint="default"/>
          <w:highlight w:val="none"/>
          <w:lang w:val="en-US" w:eastAsia="zh-CN"/>
        </w:rPr>
        <w:drawing>
          <wp:inline distT="0" distB="0" distL="114300" distR="114300">
            <wp:extent cx="5324475" cy="8359140"/>
            <wp:effectExtent l="0" t="0" r="9525" b="3810"/>
            <wp:docPr id="13" name="图片 13" descr="e492db076f6777ba37231f78273a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492db076f6777ba37231f78273a408"/>
                    <pic:cNvPicPr>
                      <a:picLocks noChangeAspect="1"/>
                    </pic:cNvPicPr>
                  </pic:nvPicPr>
                  <pic:blipFill>
                    <a:blip r:embed="rId32"/>
                    <a:stretch>
                      <a:fillRect/>
                    </a:stretch>
                  </pic:blipFill>
                  <pic:spPr>
                    <a:xfrm>
                      <a:off x="0" y="0"/>
                      <a:ext cx="5324475" cy="8359140"/>
                    </a:xfrm>
                    <a:prstGeom prst="rect">
                      <a:avLst/>
                    </a:prstGeom>
                  </pic:spPr>
                </pic:pic>
              </a:graphicData>
            </a:graphic>
          </wp:inline>
        </w:drawing>
      </w:r>
      <w:r>
        <w:rPr>
          <w:rFonts w:hint="default"/>
          <w:highlight w:val="none"/>
          <w:lang w:val="en-US" w:eastAsia="zh-CN"/>
        </w:rPr>
        <w:drawing>
          <wp:inline distT="0" distB="0" distL="114300" distR="114300">
            <wp:extent cx="4963160" cy="8290560"/>
            <wp:effectExtent l="0" t="0" r="8890" b="15240"/>
            <wp:docPr id="20" name="图片 20" descr="8c777fa34427d2caed869c97f979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c777fa34427d2caed869c97f979c58"/>
                    <pic:cNvPicPr>
                      <a:picLocks noChangeAspect="1"/>
                    </pic:cNvPicPr>
                  </pic:nvPicPr>
                  <pic:blipFill>
                    <a:blip r:embed="rId33"/>
                    <a:stretch>
                      <a:fillRect/>
                    </a:stretch>
                  </pic:blipFill>
                  <pic:spPr>
                    <a:xfrm>
                      <a:off x="0" y="0"/>
                      <a:ext cx="4963160" cy="8290560"/>
                    </a:xfrm>
                    <a:prstGeom prst="rect">
                      <a:avLst/>
                    </a:prstGeom>
                  </pic:spPr>
                </pic:pic>
              </a:graphicData>
            </a:graphic>
          </wp:inline>
        </w:drawing>
      </w:r>
      <w:r>
        <w:rPr>
          <w:rFonts w:hint="default"/>
          <w:highlight w:val="none"/>
          <w:lang w:val="en-US" w:eastAsia="zh-CN"/>
        </w:rPr>
        <w:drawing>
          <wp:inline distT="0" distB="0" distL="114300" distR="114300">
            <wp:extent cx="5137785" cy="8511540"/>
            <wp:effectExtent l="0" t="0" r="5715" b="3810"/>
            <wp:docPr id="29" name="图片 29" descr="ead3a0448d10f21df0b2e0e6312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ad3a0448d10f21df0b2e0e63124085"/>
                    <pic:cNvPicPr>
                      <a:picLocks noChangeAspect="1"/>
                    </pic:cNvPicPr>
                  </pic:nvPicPr>
                  <pic:blipFill>
                    <a:blip r:embed="rId34"/>
                    <a:stretch>
                      <a:fillRect/>
                    </a:stretch>
                  </pic:blipFill>
                  <pic:spPr>
                    <a:xfrm>
                      <a:off x="0" y="0"/>
                      <a:ext cx="5137785" cy="8511540"/>
                    </a:xfrm>
                    <a:prstGeom prst="rect">
                      <a:avLst/>
                    </a:prstGeom>
                  </pic:spPr>
                </pic:pic>
              </a:graphicData>
            </a:graphic>
          </wp:inline>
        </w:drawing>
      </w:r>
      <w:r>
        <w:rPr>
          <w:rFonts w:hint="default"/>
          <w:highlight w:val="none"/>
          <w:lang w:val="en-US" w:eastAsia="zh-CN"/>
        </w:rPr>
        <w:drawing>
          <wp:inline distT="0" distB="0" distL="114300" distR="114300">
            <wp:extent cx="5339080" cy="8517890"/>
            <wp:effectExtent l="0" t="0" r="13970" b="16510"/>
            <wp:docPr id="83" name="图片 83" descr="0a8a14c20eece386f4c112e8f3a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a8a14c20eece386f4c112e8f3a8622"/>
                    <pic:cNvPicPr>
                      <a:picLocks noChangeAspect="1"/>
                    </pic:cNvPicPr>
                  </pic:nvPicPr>
                  <pic:blipFill>
                    <a:blip r:embed="rId35"/>
                    <a:stretch>
                      <a:fillRect/>
                    </a:stretch>
                  </pic:blipFill>
                  <pic:spPr>
                    <a:xfrm>
                      <a:off x="0" y="0"/>
                      <a:ext cx="5339080" cy="8517890"/>
                    </a:xfrm>
                    <a:prstGeom prst="rect">
                      <a:avLst/>
                    </a:prstGeom>
                  </pic:spPr>
                </pic:pic>
              </a:graphicData>
            </a:graphic>
          </wp:inline>
        </w:drawing>
      </w:r>
      <w:r>
        <w:rPr>
          <w:rFonts w:hint="default"/>
          <w:highlight w:val="none"/>
          <w:lang w:val="en-US" w:eastAsia="zh-CN"/>
        </w:rPr>
        <w:drawing>
          <wp:inline distT="0" distB="0" distL="114300" distR="114300">
            <wp:extent cx="5012690" cy="8499475"/>
            <wp:effectExtent l="0" t="0" r="16510" b="15875"/>
            <wp:docPr id="84" name="图片 84" descr="8d05e42e414bb73e537b89aee7a3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d05e42e414bb73e537b89aee7a3a96"/>
                    <pic:cNvPicPr>
                      <a:picLocks noChangeAspect="1"/>
                    </pic:cNvPicPr>
                  </pic:nvPicPr>
                  <pic:blipFill>
                    <a:blip r:embed="rId36"/>
                    <a:stretch>
                      <a:fillRect/>
                    </a:stretch>
                  </pic:blipFill>
                  <pic:spPr>
                    <a:xfrm>
                      <a:off x="0" y="0"/>
                      <a:ext cx="5012690" cy="8499475"/>
                    </a:xfrm>
                    <a:prstGeom prst="rect">
                      <a:avLst/>
                    </a:prstGeom>
                  </pic:spPr>
                </pic:pic>
              </a:graphicData>
            </a:graphic>
          </wp:inline>
        </w:drawing>
      </w:r>
    </w:p>
    <w:p w14:paraId="52B734E3">
      <w:pPr>
        <w:pStyle w:val="42"/>
        <w:rPr>
          <w:rFonts w:hint="eastAsia" w:eastAsia="宋体" w:cs="Times New Roman"/>
          <w:color w:val="000000" w:themeColor="text1"/>
          <w:sz w:val="21"/>
          <w:szCs w:val="21"/>
          <w:highlight w:val="none"/>
          <w:lang w:val="en-US" w:eastAsia="zh-CN"/>
          <w14:textFill>
            <w14:solidFill>
              <w14:schemeClr w14:val="tx1"/>
            </w14:solidFill>
          </w14:textFill>
        </w:rPr>
      </w:pPr>
    </w:p>
    <w:p w14:paraId="1DE2E11A">
      <w:pPr>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附件5本项目检测报告</w:t>
      </w:r>
    </w:p>
    <w:p w14:paraId="777E21CE">
      <w:pPr>
        <w:jc w:val="center"/>
        <w:rPr>
          <w:rFonts w:hint="eastAsia" w:eastAsia="宋体" w:cs="Times New Roman"/>
          <w:color w:val="000000" w:themeColor="text1"/>
          <w:sz w:val="21"/>
          <w:szCs w:val="2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12740" cy="7595235"/>
            <wp:effectExtent l="0" t="0" r="16510" b="5715"/>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37"/>
                    <a:stretch>
                      <a:fillRect/>
                    </a:stretch>
                  </pic:blipFill>
                  <pic:spPr>
                    <a:xfrm>
                      <a:off x="0" y="0"/>
                      <a:ext cx="5412740" cy="759523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133340" cy="7187565"/>
            <wp:effectExtent l="0" t="0" r="10160" b="13335"/>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38"/>
                    <a:stretch>
                      <a:fillRect/>
                    </a:stretch>
                  </pic:blipFill>
                  <pic:spPr>
                    <a:xfrm>
                      <a:off x="0" y="0"/>
                      <a:ext cx="5133340" cy="718756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289550" cy="7465695"/>
            <wp:effectExtent l="0" t="0" r="6350" b="190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39"/>
                    <a:stretch>
                      <a:fillRect/>
                    </a:stretch>
                  </pic:blipFill>
                  <pic:spPr>
                    <a:xfrm>
                      <a:off x="0" y="0"/>
                      <a:ext cx="5289550" cy="746569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342890" cy="7524750"/>
            <wp:effectExtent l="0" t="0" r="10160" b="0"/>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40"/>
                    <a:stretch>
                      <a:fillRect/>
                    </a:stretch>
                  </pic:blipFill>
                  <pic:spPr>
                    <a:xfrm>
                      <a:off x="0" y="0"/>
                      <a:ext cx="5342890" cy="752475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266055" cy="7404735"/>
            <wp:effectExtent l="0" t="0" r="10795" b="5715"/>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41"/>
                    <a:stretch>
                      <a:fillRect/>
                    </a:stretch>
                  </pic:blipFill>
                  <pic:spPr>
                    <a:xfrm>
                      <a:off x="0" y="0"/>
                      <a:ext cx="5266055" cy="7404735"/>
                    </a:xfrm>
                    <a:prstGeom prst="rect">
                      <a:avLst/>
                    </a:prstGeom>
                    <a:noFill/>
                    <a:ln>
                      <a:noFill/>
                    </a:ln>
                  </pic:spPr>
                </pic:pic>
              </a:graphicData>
            </a:graphic>
          </wp:inline>
        </w:drawing>
      </w:r>
    </w:p>
    <w:p w14:paraId="6B431655">
      <w:pPr>
        <w:rPr>
          <w:rFonts w:hint="eastAsia" w:eastAsia="宋体" w:cs="Times New Roman"/>
          <w:color w:val="000000" w:themeColor="text1"/>
          <w:sz w:val="21"/>
          <w:szCs w:val="21"/>
          <w:highlight w:val="none"/>
          <w:lang w:val="en-US" w:eastAsia="zh-CN"/>
          <w14:textFill>
            <w14:solidFill>
              <w14:schemeClr w14:val="tx1"/>
            </w14:solidFill>
          </w14:textFill>
        </w:rPr>
      </w:pPr>
    </w:p>
    <w:p w14:paraId="57823629">
      <w:pPr>
        <w:pStyle w:val="2"/>
        <w:rPr>
          <w:rFonts w:hint="default"/>
          <w:color w:val="000000" w:themeColor="text1"/>
          <w:highlight w:val="none"/>
          <w:lang w:val="en-US" w:eastAsia="zh-CN"/>
          <w14:textFill>
            <w14:solidFill>
              <w14:schemeClr w14:val="tx1"/>
            </w14:solidFill>
          </w14:textFill>
        </w:rPr>
      </w:pPr>
    </w:p>
    <w:p w14:paraId="1D18A777">
      <w:pPr>
        <w:pStyle w:val="5"/>
        <w:ind w:left="0" w:leftChars="0" w:firstLine="0" w:firstLineChars="0"/>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 xml:space="preserve">附件6 </w:t>
      </w:r>
      <w:r>
        <w:rPr>
          <w:rFonts w:hint="eastAsia" w:ascii="宋体" w:hAnsi="宋体" w:eastAsia="宋体" w:cs="宋体"/>
          <w:color w:val="000000" w:themeColor="text1"/>
          <w:sz w:val="21"/>
          <w:szCs w:val="21"/>
          <w:highlight w:val="none"/>
          <w14:textFill>
            <w14:solidFill>
              <w14:schemeClr w14:val="tx1"/>
            </w14:solidFill>
          </w14:textFill>
        </w:rPr>
        <w:t>生物质成型</w:t>
      </w:r>
      <w:r>
        <w:rPr>
          <w:rFonts w:hint="eastAsia" w:ascii="宋体" w:hAnsi="宋体" w:eastAsia="宋体" w:cs="宋体"/>
          <w:color w:val="000000" w:themeColor="text1"/>
          <w:sz w:val="21"/>
          <w:szCs w:val="21"/>
          <w:highlight w:val="none"/>
          <w:lang w:eastAsia="zh-CN"/>
          <w14:textFill>
            <w14:solidFill>
              <w14:schemeClr w14:val="tx1"/>
            </w14:solidFill>
          </w14:textFill>
        </w:rPr>
        <w:t>压块</w:t>
      </w:r>
      <w:r>
        <w:rPr>
          <w:rFonts w:hint="eastAsia" w:ascii="宋体" w:hAnsi="宋体" w:eastAsia="宋体" w:cs="宋体"/>
          <w:color w:val="000000" w:themeColor="text1"/>
          <w:sz w:val="21"/>
          <w:szCs w:val="21"/>
          <w:highlight w:val="none"/>
          <w14:textFill>
            <w14:solidFill>
              <w14:schemeClr w14:val="tx1"/>
            </w14:solidFill>
          </w14:textFill>
        </w:rPr>
        <w:t>分析报告</w:t>
      </w:r>
    </w:p>
    <w:p w14:paraId="30258B3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5612765" cy="7571740"/>
            <wp:effectExtent l="0" t="0" r="6985" b="10160"/>
            <wp:docPr id="27" name="图片 27" descr="13eff12c15d816775a5492979a4b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3eff12c15d816775a5492979a4bc7c"/>
                    <pic:cNvPicPr>
                      <a:picLocks noChangeAspect="1"/>
                    </pic:cNvPicPr>
                  </pic:nvPicPr>
                  <pic:blipFill>
                    <a:blip r:embed="rId42"/>
                    <a:stretch>
                      <a:fillRect/>
                    </a:stretch>
                  </pic:blipFill>
                  <pic:spPr>
                    <a:xfrm>
                      <a:off x="0" y="0"/>
                      <a:ext cx="5612765" cy="7571740"/>
                    </a:xfrm>
                    <a:prstGeom prst="rect">
                      <a:avLst/>
                    </a:prstGeom>
                  </pic:spPr>
                </pic:pic>
              </a:graphicData>
            </a:graphic>
          </wp:inline>
        </w:drawing>
      </w:r>
    </w:p>
    <w:p w14:paraId="694C9F22">
      <w:pPr>
        <w:bidi w:val="0"/>
        <w:rPr>
          <w:rFonts w:hint="default" w:ascii="Times New Roman" w:hAnsi="Times New Roman" w:eastAsia="宋体" w:cs="Times New Roman"/>
          <w:color w:val="000000" w:themeColor="text1"/>
          <w:sz w:val="21"/>
          <w:szCs w:val="21"/>
          <w:highlight w:val="none"/>
          <w14:textFill>
            <w14:solidFill>
              <w14:schemeClr w14:val="tx1"/>
            </w14:solidFill>
          </w14:textFill>
        </w:rPr>
      </w:pPr>
    </w:p>
    <w:p w14:paraId="674AF870">
      <w:pP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br w:type="page"/>
      </w:r>
    </w:p>
    <w:p w14:paraId="734691E5">
      <w:pPr>
        <w:pStyle w:val="5"/>
        <w:spacing w:line="260" w:lineRule="auto"/>
        <w:ind w:left="0" w:firstLine="0"/>
        <w:rPr>
          <w:rFonts w:hint="eastAsia"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附件</w:t>
      </w:r>
      <w:r>
        <w:rPr>
          <w:rFonts w:hint="eastAsia" w:eastAsia="宋体" w:cs="Times New Roman"/>
          <w:color w:val="000000" w:themeColor="text1"/>
          <w:sz w:val="21"/>
          <w:szCs w:val="21"/>
          <w:highlight w:val="none"/>
          <w:lang w:val="en-US" w:eastAsia="zh-CN"/>
          <w14:textFill>
            <w14:solidFill>
              <w14:schemeClr w14:val="tx1"/>
            </w14:solidFill>
          </w14:textFill>
        </w:rPr>
        <w:t>7 核定排放量计算说明</w:t>
      </w:r>
    </w:p>
    <w:p w14:paraId="40288288">
      <w:pPr>
        <w:keepNext w:val="0"/>
        <w:keepLines w:val="0"/>
        <w:pageBreakBefore w:val="0"/>
        <w:widowControl/>
        <w:numPr>
          <w:ilvl w:val="0"/>
          <w:numId w:val="9"/>
        </w:numPr>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废气排放总量</w:t>
      </w:r>
    </w:p>
    <w:p w14:paraId="0066C91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b w:val="0"/>
          <w:bCs/>
          <w:color w:val="000000" w:themeColor="text1"/>
          <w:highlight w:val="none"/>
          <w14:textFill>
            <w14:solidFill>
              <w14:schemeClr w14:val="tx1"/>
            </w14:solidFill>
          </w14:textFill>
        </w:rPr>
      </w:pPr>
      <w:r>
        <w:rPr>
          <w:rFonts w:hint="eastAsia" w:ascii="宋体" w:hAnsi="宋体" w:cs="宋体"/>
          <w:b w:val="0"/>
          <w:bCs/>
          <w:color w:val="000000" w:themeColor="text1"/>
          <w:szCs w:val="21"/>
          <w:highlight w:val="none"/>
          <w:lang w:val="en-US" w:eastAsia="zh-CN"/>
          <w14:textFill>
            <w14:solidFill>
              <w14:schemeClr w14:val="tx1"/>
            </w14:solidFill>
          </w14:textFill>
        </w:rPr>
        <w:t>本项目核定</w:t>
      </w:r>
      <w:r>
        <w:rPr>
          <w:rFonts w:hint="eastAsia" w:ascii="宋体" w:hAnsi="宋体" w:cs="宋体"/>
          <w:b w:val="0"/>
          <w:bCs/>
          <w:color w:val="000000" w:themeColor="text1"/>
          <w:szCs w:val="21"/>
          <w:highlight w:val="none"/>
          <w14:textFill>
            <w14:solidFill>
              <w14:schemeClr w14:val="tx1"/>
            </w14:solidFill>
          </w14:textFill>
        </w:rPr>
        <w:t>排放总量</w:t>
      </w:r>
    </w:p>
    <w:p w14:paraId="0149A06F">
      <w:pPr>
        <w:pStyle w:val="153"/>
        <w:adjustRightInd w:val="0"/>
        <w:snapToGrid w:val="0"/>
        <w:spacing w:line="360" w:lineRule="auto"/>
        <w:ind w:firstLineChars="200"/>
        <w:rPr>
          <w:rFonts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1、热风炉污染物：</w:t>
      </w:r>
      <w:r>
        <w:rPr>
          <w:rFonts w:eastAsia="宋体"/>
          <w:color w:val="000000" w:themeColor="text1"/>
          <w:sz w:val="21"/>
          <w:szCs w:val="21"/>
          <w:highlight w:val="none"/>
          <w14:textFill>
            <w14:solidFill>
              <w14:schemeClr w14:val="tx1"/>
            </w14:solidFill>
          </w14:textFill>
        </w:rPr>
        <w:t>根据《排污许可证申请与核发技术规范 工业炉窑》（HJ1121-2020）中表6取值表计算本项目</w:t>
      </w:r>
      <w:r>
        <w:rPr>
          <w:rFonts w:hint="eastAsia"/>
          <w:color w:val="000000" w:themeColor="text1"/>
          <w:sz w:val="21"/>
          <w:szCs w:val="21"/>
          <w:highlight w:val="none"/>
          <w:lang w:val="en-US" w:eastAsia="zh-CN"/>
          <w14:textFill>
            <w14:solidFill>
              <w14:schemeClr w14:val="tx1"/>
            </w14:solidFill>
          </w14:textFill>
        </w:rPr>
        <w:t>颗粒物</w:t>
      </w:r>
      <w:r>
        <w:rPr>
          <w:rFonts w:hint="eastAsia"/>
          <w:color w:val="000000" w:themeColor="text1"/>
          <w:sz w:val="21"/>
          <w:szCs w:val="21"/>
          <w:highlight w:val="none"/>
          <w:lang w:eastAsia="zh-CN"/>
          <w14:textFill>
            <w14:solidFill>
              <w14:schemeClr w14:val="tx1"/>
            </w14:solidFill>
          </w14:textFill>
        </w:rPr>
        <w:t>、二氧化硫、</w:t>
      </w:r>
      <w:r>
        <w:rPr>
          <w:rFonts w:eastAsia="宋体"/>
          <w:color w:val="000000" w:themeColor="text1"/>
          <w:sz w:val="21"/>
          <w:szCs w:val="21"/>
          <w:highlight w:val="none"/>
          <w14:textFill>
            <w14:solidFill>
              <w14:schemeClr w14:val="tx1"/>
            </w14:solidFill>
          </w14:textFill>
        </w:rPr>
        <w:t>氮氧化物绩效值。</w:t>
      </w:r>
      <w:r>
        <w:rPr>
          <w:rFonts w:hint="default" w:ascii="Times New Roman" w:hAnsi="Times New Roman" w:cs="Times New Roman"/>
          <w:color w:val="000000" w:themeColor="text1"/>
          <w:sz w:val="21"/>
          <w:szCs w:val="21"/>
          <w:highlight w:val="none"/>
          <w14:textFill>
            <w14:solidFill>
              <w14:schemeClr w14:val="tx1"/>
            </w14:solidFill>
          </w14:textFill>
        </w:rPr>
        <w:t>本项目低位发热量（Q</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net，ar</w:t>
      </w:r>
      <w:r>
        <w:rPr>
          <w:rFonts w:hint="default" w:ascii="Times New Roman" w:hAnsi="Times New Roman" w:cs="Times New Roman"/>
          <w:color w:val="000000" w:themeColor="text1"/>
          <w:sz w:val="21"/>
          <w:szCs w:val="21"/>
          <w:highlight w:val="none"/>
          <w14:textFill>
            <w14:solidFill>
              <w14:schemeClr w14:val="tx1"/>
            </w14:solidFill>
          </w14:textFill>
        </w:rPr>
        <w:t>）为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7.52</w:t>
      </w:r>
      <w:r>
        <w:rPr>
          <w:rFonts w:hint="default" w:ascii="Times New Roman" w:hAnsi="Times New Roman" w:cs="Times New Roman"/>
          <w:color w:val="000000" w:themeColor="text1"/>
          <w:sz w:val="21"/>
          <w:szCs w:val="21"/>
          <w:highlight w:val="none"/>
          <w14:textFill>
            <w14:solidFill>
              <w14:schemeClr w14:val="tx1"/>
            </w14:solidFill>
          </w14:textFill>
        </w:rPr>
        <w:t>MJ/kg</w:t>
      </w:r>
      <w:r>
        <w:rPr>
          <w:rFonts w:eastAsia="宋体"/>
          <w:color w:val="000000" w:themeColor="text1"/>
          <w:sz w:val="21"/>
          <w:szCs w:val="21"/>
          <w:highlight w:val="none"/>
          <w14:textFill>
            <w14:solidFill>
              <w14:schemeClr w14:val="tx1"/>
            </w14:solidFill>
          </w14:textFill>
        </w:rPr>
        <w:t>，采用插值法计算绩效值：</w:t>
      </w:r>
    </w:p>
    <w:p w14:paraId="6FDFA93E">
      <w:pPr>
        <w:pStyle w:val="153"/>
        <w:adjustRightInd w:val="0"/>
        <w:snapToGrid w:val="0"/>
        <w:spacing w:line="360" w:lineRule="auto"/>
        <w:ind w:left="0" w:leftChars="0" w:firstLine="0" w:firstLineChars="0"/>
        <w:rPr>
          <w:rFonts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颗粒物</w:t>
      </w:r>
      <w:r>
        <w:rPr>
          <w:rFonts w:eastAsia="宋体"/>
          <w:color w:val="000000" w:themeColor="text1"/>
          <w:sz w:val="21"/>
          <w:szCs w:val="21"/>
          <w:highlight w:val="none"/>
          <w14:textFill>
            <w14:solidFill>
              <w14:schemeClr w14:val="tx1"/>
            </w14:solidFill>
          </w14:textFill>
        </w:rPr>
        <w:t>绩效值=0.</w:t>
      </w:r>
      <w:r>
        <w:rPr>
          <w:rFonts w:hint="eastAsia" w:eastAsia="宋体"/>
          <w:color w:val="000000" w:themeColor="text1"/>
          <w:sz w:val="21"/>
          <w:szCs w:val="21"/>
          <w:highlight w:val="none"/>
          <w:lang w:val="en-US" w:eastAsia="zh-CN"/>
          <w14:textFill>
            <w14:solidFill>
              <w14:schemeClr w14:val="tx1"/>
            </w14:solidFill>
          </w14:textFill>
        </w:rPr>
        <w:t>252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0.276</w:t>
      </w:r>
      <w:r>
        <w:rPr>
          <w:rFonts w:eastAsia="宋体"/>
          <w:color w:val="000000" w:themeColor="text1"/>
          <w:sz w:val="21"/>
          <w:szCs w:val="21"/>
          <w:highlight w:val="none"/>
          <w14:textFill>
            <w14:solidFill>
              <w14:schemeClr w14:val="tx1"/>
            </w14:solidFill>
          </w14:textFill>
        </w:rPr>
        <w:t>-0.</w:t>
      </w:r>
      <w:r>
        <w:rPr>
          <w:rFonts w:hint="eastAsia" w:eastAsia="宋体"/>
          <w:color w:val="000000" w:themeColor="text1"/>
          <w:sz w:val="21"/>
          <w:szCs w:val="21"/>
          <w:highlight w:val="none"/>
          <w:lang w:val="en-US" w:eastAsia="zh-CN"/>
          <w14:textFill>
            <w14:solidFill>
              <w14:schemeClr w14:val="tx1"/>
            </w14:solidFill>
          </w14:textFill>
        </w:rPr>
        <w:t>252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16.75</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18.84</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）=0.</w:t>
      </w:r>
      <w:r>
        <w:rPr>
          <w:rFonts w:hint="eastAsia" w:eastAsia="宋体"/>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660</w:t>
      </w:r>
      <w:r>
        <w:rPr>
          <w:rFonts w:eastAsia="宋体"/>
          <w:color w:val="000000" w:themeColor="text1"/>
          <w:sz w:val="21"/>
          <w:szCs w:val="21"/>
          <w:highlight w:val="none"/>
          <w14:textFill>
            <w14:solidFill>
              <w14:schemeClr w14:val="tx1"/>
            </w14:solidFill>
          </w14:textFill>
        </w:rPr>
        <w:t>kg/t原料</w:t>
      </w:r>
    </w:p>
    <w:p w14:paraId="700EF721">
      <w:pPr>
        <w:pStyle w:val="153"/>
        <w:adjustRightInd w:val="0"/>
        <w:snapToGrid w:val="0"/>
        <w:spacing w:line="360" w:lineRule="auto"/>
        <w:ind w:left="0" w:leftChars="0" w:firstLine="0" w:firstLineChars="0"/>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二氧化硫绩效值</w:t>
      </w:r>
      <w:r>
        <w:rPr>
          <w:rFonts w:hint="eastAsia"/>
          <w:color w:val="000000" w:themeColor="text1"/>
          <w:sz w:val="21"/>
          <w:szCs w:val="21"/>
          <w:highlight w:val="none"/>
          <w:lang w:val="en-US" w:eastAsia="zh-CN"/>
          <w14:textFill>
            <w14:solidFill>
              <w14:schemeClr w14:val="tx1"/>
            </w14:solidFill>
          </w14:textFill>
        </w:rPr>
        <w:t>=0.839+（0.919-0.839）</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16.75</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18.84</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=0.8</w:t>
      </w:r>
      <w:r>
        <w:rPr>
          <w:rFonts w:hint="eastAsia"/>
          <w:color w:val="000000" w:themeColor="text1"/>
          <w:sz w:val="21"/>
          <w:szCs w:val="21"/>
          <w:highlight w:val="none"/>
          <w:lang w:val="en-US" w:eastAsia="zh-CN"/>
          <w14:textFill>
            <w14:solidFill>
              <w14:schemeClr w14:val="tx1"/>
            </w14:solidFill>
          </w14:textFill>
        </w:rPr>
        <w:t>857</w:t>
      </w:r>
      <w:r>
        <w:rPr>
          <w:rFonts w:eastAsia="宋体"/>
          <w:color w:val="000000" w:themeColor="text1"/>
          <w:sz w:val="21"/>
          <w:szCs w:val="21"/>
          <w:highlight w:val="none"/>
          <w14:textFill>
            <w14:solidFill>
              <w14:schemeClr w14:val="tx1"/>
            </w14:solidFill>
          </w14:textFill>
        </w:rPr>
        <w:t>kg/t原料</w:t>
      </w:r>
    </w:p>
    <w:p w14:paraId="1BE05A14">
      <w:pPr>
        <w:pStyle w:val="153"/>
        <w:adjustRightInd w:val="0"/>
        <w:snapToGrid w:val="0"/>
        <w:spacing w:line="360" w:lineRule="auto"/>
        <w:ind w:left="0" w:leftChars="0" w:firstLine="0" w:firstLineChars="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氮氧化合物绩效值=</w:t>
      </w:r>
      <w:r>
        <w:rPr>
          <w:rFonts w:hint="eastAsia" w:eastAsia="宋体"/>
          <w:color w:val="000000" w:themeColor="text1"/>
          <w:sz w:val="21"/>
          <w:szCs w:val="21"/>
          <w:highlight w:val="none"/>
          <w:lang w:val="en-US" w:eastAsia="zh-CN"/>
          <w14:textFill>
            <w14:solidFill>
              <w14:schemeClr w14:val="tx1"/>
            </w14:solidFill>
          </w14:textFill>
        </w:rPr>
        <w:t>2.516</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2.756</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2.516</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16.75</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18.84</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7.52</w:t>
      </w:r>
      <w:r>
        <w:rPr>
          <w:rFonts w:eastAsia="宋体"/>
          <w:color w:val="000000" w:themeColor="text1"/>
          <w:sz w:val="21"/>
          <w:szCs w:val="21"/>
          <w:highlight w:val="none"/>
          <w14:textFill>
            <w14:solidFill>
              <w14:schemeClr w14:val="tx1"/>
            </w14:solidFill>
          </w14:textFill>
        </w:rPr>
        <w:t>）=</w:t>
      </w:r>
      <w:r>
        <w:rPr>
          <w:rFonts w:hint="eastAsia" w:eastAsia="宋体"/>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656</w:t>
      </w:r>
      <w:r>
        <w:rPr>
          <w:rFonts w:eastAsia="宋体"/>
          <w:color w:val="000000" w:themeColor="text1"/>
          <w:sz w:val="21"/>
          <w:szCs w:val="21"/>
          <w:highlight w:val="none"/>
          <w14:textFill>
            <w14:solidFill>
              <w14:schemeClr w14:val="tx1"/>
            </w14:solidFill>
          </w14:textFill>
        </w:rPr>
        <w:t>kg/t原料</w:t>
      </w:r>
    </w:p>
    <w:p w14:paraId="4FBBA216">
      <w:pPr>
        <w:pStyle w:val="153"/>
        <w:adjustRightInd w:val="0"/>
        <w:snapToGrid w:val="0"/>
        <w:spacing w:line="500" w:lineRule="exact"/>
        <w:ind w:firstLine="0"/>
        <w:jc w:val="center"/>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表1加热炉、热处理炉、干燥炉（窑）排放口参考绩效值表</w:t>
      </w:r>
    </w:p>
    <w:p w14:paraId="69AE3006">
      <w:pPr>
        <w:pStyle w:val="153"/>
        <w:adjustRightInd w:val="0"/>
        <w:snapToGrid w:val="0"/>
        <w:ind w:firstLine="0"/>
        <w:jc w:val="center"/>
        <w:rPr>
          <w:rFonts w:eastAsia="宋体"/>
          <w:color w:val="000000" w:themeColor="text1"/>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74310" cy="1818640"/>
            <wp:effectExtent l="0" t="0" r="2540" b="1016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43"/>
                    <a:stretch>
                      <a:fillRect/>
                    </a:stretch>
                  </pic:blipFill>
                  <pic:spPr>
                    <a:xfrm>
                      <a:off x="0" y="0"/>
                      <a:ext cx="5274310" cy="1818640"/>
                    </a:xfrm>
                    <a:prstGeom prst="rect">
                      <a:avLst/>
                    </a:prstGeom>
                    <a:noFill/>
                    <a:ln>
                      <a:noFill/>
                    </a:ln>
                  </pic:spPr>
                </pic:pic>
              </a:graphicData>
            </a:graphic>
          </wp:inline>
        </w:drawing>
      </w:r>
    </w:p>
    <w:p w14:paraId="7FF47165">
      <w:pPr>
        <w:pStyle w:val="153"/>
        <w:adjustRightInd w:val="0"/>
        <w:snapToGrid w:val="0"/>
        <w:spacing w:line="360" w:lineRule="auto"/>
        <w:ind w:firstLineChars="2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根据《排污许可证申请与核发技术规范 工业炉窑》（HJ1121-2020）绩效值法核算方法</w:t>
      </w:r>
    </w:p>
    <w:p w14:paraId="7B536BD0">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drawing>
          <wp:inline distT="0" distB="0" distL="114300" distR="114300">
            <wp:extent cx="1423035" cy="742315"/>
            <wp:effectExtent l="0" t="0" r="571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44"/>
                    <a:stretch>
                      <a:fillRect/>
                    </a:stretch>
                  </pic:blipFill>
                  <pic:spPr>
                    <a:xfrm>
                      <a:off x="0" y="0"/>
                      <a:ext cx="1423035" cy="742315"/>
                    </a:xfrm>
                    <a:prstGeom prst="rect">
                      <a:avLst/>
                    </a:prstGeom>
                    <a:noFill/>
                    <a:ln>
                      <a:noFill/>
                    </a:ln>
                  </pic:spPr>
                </pic:pic>
              </a:graphicData>
            </a:graphic>
          </wp:inline>
        </w:drawing>
      </w:r>
    </w:p>
    <w:p w14:paraId="51E73B17">
      <w:pPr>
        <w:pStyle w:val="153"/>
        <w:adjustRightInd w:val="0"/>
        <w:snapToGrid w:val="0"/>
        <w:spacing w:line="360" w:lineRule="auto"/>
        <w:ind w:firstLineChars="2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式中：Mi——第i个排放口污染物年许可排放量，t；</w:t>
      </w:r>
    </w:p>
    <w:p w14:paraId="66904510">
      <w:pPr>
        <w:pStyle w:val="153"/>
        <w:adjustRightInd w:val="0"/>
        <w:snapToGrid w:val="0"/>
        <w:spacing w:line="360" w:lineRule="auto"/>
        <w:ind w:firstLine="1050" w:firstLineChars="5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R——第i个排放口对应工业炉窑前三年实际产量最大值（若不足一年或前三年实际产量最大值超过设计产能，则以设计产能为准）或前三年实际燃料消耗量最大值（若不足一年或前三年实际燃料消耗量最大值超过设计消耗量，则以设计消耗量为准），万t或万m</w:t>
      </w:r>
      <w:r>
        <w:rPr>
          <w:rFonts w:eastAsia="宋体"/>
          <w:color w:val="000000" w:themeColor="text1"/>
          <w:sz w:val="21"/>
          <w:szCs w:val="21"/>
          <w:highlight w:val="none"/>
          <w:vertAlign w:val="superscript"/>
          <w14:textFill>
            <w14:solidFill>
              <w14:schemeClr w14:val="tx1"/>
            </w14:solidFill>
          </w14:textFill>
        </w:rPr>
        <w:t>3</w:t>
      </w:r>
      <w:r>
        <w:rPr>
          <w:rFonts w:eastAsia="宋体"/>
          <w:color w:val="000000" w:themeColor="text1"/>
          <w:sz w:val="21"/>
          <w:szCs w:val="21"/>
          <w:highlight w:val="none"/>
          <w14:textFill>
            <w14:solidFill>
              <w14:schemeClr w14:val="tx1"/>
            </w14:solidFill>
          </w14:textFill>
        </w:rPr>
        <w:t>；</w:t>
      </w:r>
    </w:p>
    <w:p w14:paraId="20436B37">
      <w:pPr>
        <w:pStyle w:val="153"/>
        <w:adjustRightInd w:val="0"/>
        <w:snapToGrid w:val="0"/>
        <w:spacing w:line="360" w:lineRule="auto"/>
        <w:ind w:firstLine="1050" w:firstLineChars="5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G——绩效值，kg/t产品，kg/t燃料或kg/m</w:t>
      </w:r>
      <w:r>
        <w:rPr>
          <w:rFonts w:eastAsia="宋体"/>
          <w:color w:val="000000" w:themeColor="text1"/>
          <w:sz w:val="21"/>
          <w:szCs w:val="21"/>
          <w:highlight w:val="none"/>
          <w:vertAlign w:val="superscript"/>
          <w14:textFill>
            <w14:solidFill>
              <w14:schemeClr w14:val="tx1"/>
            </w14:solidFill>
          </w14:textFill>
        </w:rPr>
        <w:t>3</w:t>
      </w:r>
      <w:r>
        <w:rPr>
          <w:rFonts w:eastAsia="宋体"/>
          <w:color w:val="000000" w:themeColor="text1"/>
          <w:sz w:val="21"/>
          <w:szCs w:val="21"/>
          <w:highlight w:val="none"/>
          <w14:textFill>
            <w14:solidFill>
              <w14:schemeClr w14:val="tx1"/>
            </w14:solidFill>
          </w14:textFill>
        </w:rPr>
        <w:t>燃料；</w:t>
      </w:r>
    </w:p>
    <w:p w14:paraId="27DCFE3A">
      <w:pPr>
        <w:pStyle w:val="153"/>
        <w:adjustRightInd w:val="0"/>
        <w:snapToGrid w:val="0"/>
        <w:spacing w:line="360" w:lineRule="auto"/>
        <w:ind w:firstLine="1050" w:firstLineChars="5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E</w:t>
      </w:r>
      <w:r>
        <w:rPr>
          <w:rFonts w:eastAsia="宋体"/>
          <w:color w:val="000000" w:themeColor="text1"/>
          <w:sz w:val="21"/>
          <w:szCs w:val="21"/>
          <w:highlight w:val="none"/>
          <w:vertAlign w:val="subscript"/>
          <w14:textFill>
            <w14:solidFill>
              <w14:schemeClr w14:val="tx1"/>
            </w14:solidFill>
          </w14:textFill>
        </w:rPr>
        <w:t>年许可</w:t>
      </w:r>
      <w:r>
        <w:rPr>
          <w:rFonts w:eastAsia="宋体"/>
          <w:color w:val="000000" w:themeColor="text1"/>
          <w:sz w:val="21"/>
          <w:szCs w:val="21"/>
          <w:highlight w:val="none"/>
          <w14:textFill>
            <w14:solidFill>
              <w14:schemeClr w14:val="tx1"/>
            </w14:solidFill>
          </w14:textFill>
        </w:rPr>
        <w:t>——污染物年许可排放量，t。</w:t>
      </w:r>
    </w:p>
    <w:p w14:paraId="5B432D29">
      <w:pPr>
        <w:pStyle w:val="153"/>
        <w:adjustRightInd w:val="0"/>
        <w:snapToGrid w:val="0"/>
        <w:spacing w:line="360" w:lineRule="auto"/>
        <w:ind w:firstLineChars="200"/>
        <w:rPr>
          <w:rFonts w:hint="eastAsia" w:eastAsia="宋体"/>
          <w:color w:val="000000" w:themeColor="text1"/>
          <w:sz w:val="21"/>
          <w:szCs w:val="21"/>
          <w:highlight w:val="none"/>
          <w:lang w:eastAsia="zh-CN"/>
          <w14:textFill>
            <w14:solidFill>
              <w14:schemeClr w14:val="tx1"/>
            </w14:solidFill>
          </w14:textFill>
        </w:rPr>
      </w:pPr>
      <w:r>
        <w:rPr>
          <w:rFonts w:eastAsia="宋体"/>
          <w:color w:val="000000" w:themeColor="text1"/>
          <w:sz w:val="21"/>
          <w:szCs w:val="21"/>
          <w:highlight w:val="none"/>
          <w14:textFill>
            <w14:solidFill>
              <w14:schemeClr w14:val="tx1"/>
            </w14:solidFill>
          </w14:textFill>
        </w:rPr>
        <w:t>本项目为一个烟囱排放口则i=1，设计消耗量</w:t>
      </w:r>
      <w:r>
        <w:rPr>
          <w:rFonts w:hint="eastAsia" w:cs="Times New Roman"/>
          <w:color w:val="000000" w:themeColor="text1"/>
          <w:sz w:val="21"/>
          <w:szCs w:val="21"/>
          <w:highlight w:val="none"/>
          <w:lang w:val="en-US" w:eastAsia="zh-CN"/>
          <w14:textFill>
            <w14:solidFill>
              <w14:schemeClr w14:val="tx1"/>
            </w14:solidFill>
          </w14:textFill>
        </w:rPr>
        <w:t>1434.08</w:t>
      </w:r>
      <w:r>
        <w:rPr>
          <w:rFonts w:eastAsia="宋体"/>
          <w:color w:val="000000" w:themeColor="text1"/>
          <w:sz w:val="21"/>
          <w:szCs w:val="21"/>
          <w:highlight w:val="none"/>
          <w14:textFill>
            <w14:solidFill>
              <w14:schemeClr w14:val="tx1"/>
            </w14:solidFill>
          </w14:textFill>
        </w:rPr>
        <w:t>t/a</w:t>
      </w:r>
    </w:p>
    <w:p w14:paraId="0523E891">
      <w:pPr>
        <w:pStyle w:val="153"/>
        <w:adjustRightInd w:val="0"/>
        <w:snapToGrid w:val="0"/>
        <w:spacing w:line="360" w:lineRule="auto"/>
        <w:ind w:firstLineChars="200"/>
        <w:rPr>
          <w:rFonts w:hint="eastAsia" w:eastAsia="宋体"/>
          <w:color w:val="000000" w:themeColor="text1"/>
          <w:sz w:val="21"/>
          <w:szCs w:val="21"/>
          <w:highlight w:val="none"/>
          <w:lang w:eastAsia="zh-CN"/>
          <w14:textFill>
            <w14:solidFill>
              <w14:schemeClr w14:val="tx1"/>
            </w14:solidFill>
          </w14:textFill>
        </w:rPr>
      </w:pPr>
      <w:r>
        <w:rPr>
          <w:rFonts w:eastAsia="宋体"/>
          <w:color w:val="000000" w:themeColor="text1"/>
          <w:sz w:val="21"/>
          <w:szCs w:val="21"/>
          <w:highlight w:val="none"/>
          <w14:textFill>
            <w14:solidFill>
              <w14:schemeClr w14:val="tx1"/>
            </w14:solidFill>
          </w14:textFill>
        </w:rPr>
        <w:t>则E</w:t>
      </w:r>
      <w:r>
        <w:rPr>
          <w:rFonts w:hint="eastAsia"/>
          <w:color w:val="000000" w:themeColor="text1"/>
          <w:sz w:val="21"/>
          <w:szCs w:val="21"/>
          <w:highlight w:val="none"/>
          <w:vertAlign w:val="subscript"/>
          <w:lang w:eastAsia="zh-CN"/>
          <w14:textFill>
            <w14:solidFill>
              <w14:schemeClr w14:val="tx1"/>
            </w14:solidFill>
          </w14:textFill>
        </w:rPr>
        <w:t>颗粒物</w:t>
      </w:r>
      <w:r>
        <w:rPr>
          <w:rFonts w:eastAsia="宋体"/>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1434.08</w:t>
      </w:r>
      <w:r>
        <w:rPr>
          <w:rFonts w:eastAsia="宋体"/>
          <w:color w:val="000000" w:themeColor="text1"/>
          <w:sz w:val="21"/>
          <w:szCs w:val="21"/>
          <w:highlight w:val="none"/>
          <w14:textFill>
            <w14:solidFill>
              <w14:schemeClr w14:val="tx1"/>
            </w14:solidFill>
          </w14:textFill>
        </w:rPr>
        <w:t>t×0.</w:t>
      </w:r>
      <w:r>
        <w:rPr>
          <w:rFonts w:hint="eastAsia" w:eastAsia="宋体"/>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660</w:t>
      </w:r>
      <w:r>
        <w:rPr>
          <w:rFonts w:eastAsia="宋体"/>
          <w:color w:val="000000" w:themeColor="text1"/>
          <w:sz w:val="21"/>
          <w:szCs w:val="21"/>
          <w:highlight w:val="none"/>
          <w14:textFill>
            <w14:solidFill>
              <w14:schemeClr w14:val="tx1"/>
            </w14:solidFill>
          </w14:textFill>
        </w:rPr>
        <w:t>×10=</w:t>
      </w:r>
      <w:r>
        <w:rPr>
          <w:rFonts w:hint="eastAsia"/>
          <w:color w:val="000000" w:themeColor="text1"/>
          <w:sz w:val="21"/>
          <w:szCs w:val="21"/>
          <w:highlight w:val="none"/>
          <w:lang w:val="en-US" w:eastAsia="zh-CN"/>
          <w14:textFill>
            <w14:solidFill>
              <w14:schemeClr w14:val="tx1"/>
            </w14:solidFill>
          </w14:textFill>
        </w:rPr>
        <w:t>0.381</w:t>
      </w:r>
      <w:r>
        <w:rPr>
          <w:rFonts w:eastAsia="宋体"/>
          <w:color w:val="000000" w:themeColor="text1"/>
          <w:sz w:val="21"/>
          <w:szCs w:val="21"/>
          <w:highlight w:val="none"/>
          <w14:textFill>
            <w14:solidFill>
              <w14:schemeClr w14:val="tx1"/>
            </w14:solidFill>
          </w14:textFill>
        </w:rPr>
        <w:t>t</w:t>
      </w:r>
    </w:p>
    <w:p w14:paraId="47D3B72F">
      <w:pPr>
        <w:pStyle w:val="153"/>
        <w:adjustRightInd w:val="0"/>
        <w:snapToGrid w:val="0"/>
        <w:spacing w:line="360" w:lineRule="auto"/>
        <w:ind w:firstLine="630" w:firstLineChars="300"/>
        <w:rPr>
          <w:rFonts w:hint="default" w:eastAsia="宋体"/>
          <w:color w:val="000000" w:themeColor="text1"/>
          <w:sz w:val="21"/>
          <w:szCs w:val="21"/>
          <w:highlight w:val="none"/>
          <w:lang w:val="en-US"/>
          <w14:textFill>
            <w14:solidFill>
              <w14:schemeClr w14:val="tx1"/>
            </w14:solidFill>
          </w14:textFill>
        </w:rPr>
      </w:pPr>
      <w:r>
        <w:rPr>
          <w:rFonts w:eastAsia="宋体"/>
          <w:color w:val="000000" w:themeColor="text1"/>
          <w:sz w:val="21"/>
          <w:szCs w:val="21"/>
          <w:highlight w:val="none"/>
          <w14:textFill>
            <w14:solidFill>
              <w14:schemeClr w14:val="tx1"/>
            </w14:solidFill>
          </w14:textFill>
        </w:rPr>
        <w:t>E</w:t>
      </w:r>
      <w:r>
        <w:rPr>
          <w:rFonts w:hint="eastAsia" w:eastAsia="宋体"/>
          <w:color w:val="000000" w:themeColor="text1"/>
          <w:sz w:val="21"/>
          <w:szCs w:val="21"/>
          <w:highlight w:val="none"/>
          <w:vertAlign w:val="subscript"/>
          <w:lang w:val="en-US" w:eastAsia="zh-CN"/>
          <w14:textFill>
            <w14:solidFill>
              <w14:schemeClr w14:val="tx1"/>
            </w14:solidFill>
          </w14:textFill>
        </w:rPr>
        <w:t>SO2</w:t>
      </w:r>
      <w:r>
        <w:rPr>
          <w:rFonts w:eastAsia="宋体"/>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1434.08</w:t>
      </w:r>
      <w:r>
        <w:rPr>
          <w:rFonts w:eastAsia="宋体"/>
          <w:color w:val="000000" w:themeColor="text1"/>
          <w:sz w:val="21"/>
          <w:szCs w:val="21"/>
          <w:highlight w:val="none"/>
          <w14:textFill>
            <w14:solidFill>
              <w14:schemeClr w14:val="tx1"/>
            </w14:solidFill>
          </w14:textFill>
        </w:rPr>
        <w:t>t×</w:t>
      </w:r>
      <w:r>
        <w:rPr>
          <w:rFonts w:hint="eastAsia" w:eastAsia="宋体"/>
          <w:color w:val="000000" w:themeColor="text1"/>
          <w:sz w:val="21"/>
          <w:szCs w:val="21"/>
          <w:highlight w:val="none"/>
          <w:lang w:val="en-US" w:eastAsia="zh-CN"/>
          <w14:textFill>
            <w14:solidFill>
              <w14:schemeClr w14:val="tx1"/>
            </w14:solidFill>
          </w14:textFill>
        </w:rPr>
        <w:t>0.8</w:t>
      </w:r>
      <w:r>
        <w:rPr>
          <w:rFonts w:hint="eastAsia"/>
          <w:color w:val="000000" w:themeColor="text1"/>
          <w:sz w:val="21"/>
          <w:szCs w:val="21"/>
          <w:highlight w:val="none"/>
          <w:lang w:val="en-US" w:eastAsia="zh-CN"/>
          <w14:textFill>
            <w14:solidFill>
              <w14:schemeClr w14:val="tx1"/>
            </w14:solidFill>
          </w14:textFill>
        </w:rPr>
        <w:t>857</w:t>
      </w:r>
      <w:r>
        <w:rPr>
          <w:rFonts w:eastAsia="宋体"/>
          <w:color w:val="000000" w:themeColor="text1"/>
          <w:sz w:val="21"/>
          <w:szCs w:val="21"/>
          <w:highlight w:val="none"/>
          <w14:textFill>
            <w14:solidFill>
              <w14:schemeClr w14:val="tx1"/>
            </w14:solidFill>
          </w14:textFill>
        </w:rPr>
        <w:t>×10=</w:t>
      </w:r>
      <w:r>
        <w:rPr>
          <w:rFonts w:hint="eastAsia"/>
          <w:color w:val="000000" w:themeColor="text1"/>
          <w:sz w:val="21"/>
          <w:szCs w:val="21"/>
          <w:highlight w:val="none"/>
          <w:lang w:val="en-US" w:eastAsia="zh-CN"/>
          <w14:textFill>
            <w14:solidFill>
              <w14:schemeClr w14:val="tx1"/>
            </w14:solidFill>
          </w14:textFill>
        </w:rPr>
        <w:t>1.270t</w:t>
      </w:r>
    </w:p>
    <w:p w14:paraId="0C290211">
      <w:pPr>
        <w:pStyle w:val="153"/>
        <w:adjustRightInd w:val="0"/>
        <w:snapToGrid w:val="0"/>
        <w:spacing w:line="360" w:lineRule="auto"/>
        <w:ind w:firstLine="630" w:firstLineChars="300"/>
        <w:rPr>
          <w:rFonts w:eastAsia="宋体"/>
          <w:color w:val="000000" w:themeColor="text1"/>
          <w:sz w:val="21"/>
          <w:szCs w:val="21"/>
          <w:highlight w:val="none"/>
          <w14:textFill>
            <w14:solidFill>
              <w14:schemeClr w14:val="tx1"/>
            </w14:solidFill>
          </w14:textFill>
        </w:rPr>
      </w:pPr>
      <w:r>
        <w:rPr>
          <w:rFonts w:eastAsia="宋体"/>
          <w:color w:val="000000" w:themeColor="text1"/>
          <w:sz w:val="21"/>
          <w:szCs w:val="21"/>
          <w:highlight w:val="none"/>
          <w14:textFill>
            <w14:solidFill>
              <w14:schemeClr w14:val="tx1"/>
            </w14:solidFill>
          </w14:textFill>
        </w:rPr>
        <w:t>E</w:t>
      </w:r>
      <w:r>
        <w:rPr>
          <w:rFonts w:eastAsia="宋体"/>
          <w:color w:val="000000" w:themeColor="text1"/>
          <w:sz w:val="21"/>
          <w:szCs w:val="21"/>
          <w:highlight w:val="none"/>
          <w:vertAlign w:val="subscript"/>
          <w14:textFill>
            <w14:solidFill>
              <w14:schemeClr w14:val="tx1"/>
            </w14:solidFill>
          </w14:textFill>
        </w:rPr>
        <w:t>NOX</w:t>
      </w:r>
      <w:r>
        <w:rPr>
          <w:rFonts w:eastAsia="宋体"/>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1434.08</w:t>
      </w:r>
      <w:r>
        <w:rPr>
          <w:rFonts w:eastAsia="宋体"/>
          <w:color w:val="000000" w:themeColor="text1"/>
          <w:sz w:val="21"/>
          <w:szCs w:val="21"/>
          <w:highlight w:val="none"/>
          <w14:textFill>
            <w14:solidFill>
              <w14:schemeClr w14:val="tx1"/>
            </w14:solidFill>
          </w14:textFill>
        </w:rPr>
        <w:t>t×</w:t>
      </w:r>
      <w:r>
        <w:rPr>
          <w:rFonts w:hint="eastAsia" w:eastAsia="宋体"/>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656</w:t>
      </w:r>
      <w:r>
        <w:rPr>
          <w:rFonts w:eastAsia="宋体"/>
          <w:color w:val="000000" w:themeColor="text1"/>
          <w:sz w:val="21"/>
          <w:szCs w:val="21"/>
          <w:highlight w:val="none"/>
          <w14:textFill>
            <w14:solidFill>
              <w14:schemeClr w14:val="tx1"/>
            </w14:solidFill>
          </w14:textFill>
        </w:rPr>
        <w:t>×10=</w:t>
      </w:r>
      <w:r>
        <w:rPr>
          <w:rFonts w:hint="eastAsia"/>
          <w:color w:val="000000" w:themeColor="text1"/>
          <w:sz w:val="21"/>
          <w:szCs w:val="21"/>
          <w:highlight w:val="none"/>
          <w:lang w:val="en-US" w:eastAsia="zh-CN"/>
          <w14:textFill>
            <w14:solidFill>
              <w14:schemeClr w14:val="tx1"/>
            </w14:solidFill>
          </w14:textFill>
        </w:rPr>
        <w:t>3.809</w:t>
      </w:r>
      <w:r>
        <w:rPr>
          <w:rFonts w:eastAsia="宋体"/>
          <w:color w:val="000000" w:themeColor="text1"/>
          <w:sz w:val="21"/>
          <w:szCs w:val="21"/>
          <w:highlight w:val="none"/>
          <w14:textFill>
            <w14:solidFill>
              <w14:schemeClr w14:val="tx1"/>
            </w14:solidFill>
          </w14:textFill>
        </w:rPr>
        <w:t>t</w:t>
      </w:r>
    </w:p>
    <w:p w14:paraId="6F2728A3">
      <w:pPr>
        <w:pStyle w:val="154"/>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bookmarkStart w:id="18" w:name="_Toc219"/>
      <w:r>
        <w:rPr>
          <w:rFonts w:cs="Times New Roman"/>
          <w:color w:val="000000" w:themeColor="text1"/>
          <w:spacing w:val="0"/>
          <w:sz w:val="21"/>
          <w:szCs w:val="21"/>
          <w:highlight w:val="none"/>
          <w14:textFill>
            <w14:solidFill>
              <w14:schemeClr w14:val="tx1"/>
            </w14:solidFill>
          </w14:textFill>
        </w:rPr>
        <w:t>厂区无组织排放粉尘</w:t>
      </w:r>
      <w:r>
        <w:rPr>
          <w:rFonts w:hint="eastAsia" w:cs="Times New Roman"/>
          <w:color w:val="000000" w:themeColor="text1"/>
          <w:spacing w:val="0"/>
          <w:sz w:val="21"/>
          <w:szCs w:val="21"/>
          <w:highlight w:val="none"/>
          <w:lang w:val="en-US" w:eastAsia="zh-CN"/>
          <w14:textFill>
            <w14:solidFill>
              <w14:schemeClr w14:val="tx1"/>
            </w14:solidFill>
          </w14:textFill>
        </w:rPr>
        <w:t>量为0.7t/a。</w:t>
      </w:r>
    </w:p>
    <w:p w14:paraId="2115D0CD">
      <w:pPr>
        <w:pStyle w:val="3"/>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bCs w:val="0"/>
          <w:color w:val="000000" w:themeColor="text1"/>
          <w:sz w:val="21"/>
          <w:szCs w:val="21"/>
          <w:highlight w:val="none"/>
          <w:lang w:eastAsia="zh-CN"/>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则本项目颗粒物核定排放总量为0.381</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t/a，二氧化硫</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核定排放总量为1.270</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t/a，氮氧化物</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核定排放总量为3.809</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t/a，</w:t>
      </w:r>
      <w:r>
        <w:rPr>
          <w:rFonts w:hint="default" w:ascii="Times New Roman" w:hAnsi="Times New Roman" w:cs="Times New Roman"/>
          <w:color w:val="000000" w:themeColor="text1"/>
          <w:spacing w:val="0"/>
          <w:sz w:val="21"/>
          <w:szCs w:val="21"/>
          <w:highlight w:val="none"/>
          <w14:textFill>
            <w14:solidFill>
              <w14:schemeClr w14:val="tx1"/>
            </w14:solidFill>
          </w14:textFill>
        </w:rPr>
        <w:t>无组织排放粉尘</w:t>
      </w:r>
      <w:r>
        <w:rPr>
          <w:rFonts w:hint="default" w:ascii="Times New Roman" w:hAnsi="Times New Roman" w:cs="Times New Roman"/>
          <w:color w:val="000000" w:themeColor="text1"/>
          <w:spacing w:val="0"/>
          <w:sz w:val="21"/>
          <w:szCs w:val="21"/>
          <w:highlight w:val="none"/>
          <w:lang w:val="en-US" w:eastAsia="zh-CN"/>
          <w14:textFill>
            <w14:solidFill>
              <w14:schemeClr w14:val="tx1"/>
            </w14:solidFill>
          </w14:textFill>
        </w:rPr>
        <w:t>量为0.7t/a</w:t>
      </w:r>
      <w:r>
        <w:rPr>
          <w:rFonts w:hint="eastAsia" w:cs="Times New Roman"/>
          <w:color w:val="000000" w:themeColor="text1"/>
          <w:spacing w:val="0"/>
          <w:sz w:val="21"/>
          <w:szCs w:val="21"/>
          <w:highlight w:val="none"/>
          <w:lang w:val="en-US" w:eastAsia="zh-CN"/>
          <w14:textFill>
            <w14:solidFill>
              <w14:schemeClr w14:val="tx1"/>
            </w14:solidFill>
          </w14:textFill>
        </w:rPr>
        <w:t>。</w:t>
      </w:r>
    </w:p>
    <w:p w14:paraId="0F2E040B">
      <w:pPr>
        <w:pStyle w:val="5"/>
        <w:spacing w:line="260" w:lineRule="auto"/>
        <w:ind w:left="0" w:firstLine="0"/>
        <w:rPr>
          <w:rFonts w:hint="eastAsia"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附件</w:t>
      </w:r>
      <w:r>
        <w:rPr>
          <w:rFonts w:hint="eastAsia" w:eastAsia="宋体" w:cs="Times New Roman"/>
          <w:color w:val="000000" w:themeColor="text1"/>
          <w:sz w:val="21"/>
          <w:szCs w:val="21"/>
          <w:highlight w:val="none"/>
          <w:lang w:val="en-US" w:eastAsia="zh-CN"/>
          <w14:textFill>
            <w14:solidFill>
              <w14:schemeClr w14:val="tx1"/>
            </w14:solidFill>
          </w14:textFill>
        </w:rPr>
        <w:t>8 生态环境分区管控分析报告</w:t>
      </w:r>
    </w:p>
    <w:p w14:paraId="43C0C9EF">
      <w:pPr>
        <w:jc w:val="center"/>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6388735" cy="4488180"/>
            <wp:effectExtent l="0" t="0" r="12065" b="76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5"/>
                    <a:stretch>
                      <a:fillRect/>
                    </a:stretch>
                  </pic:blipFill>
                  <pic:spPr>
                    <a:xfrm>
                      <a:off x="0" y="0"/>
                      <a:ext cx="6388735" cy="448818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6572885" cy="4643755"/>
            <wp:effectExtent l="0" t="0" r="18415"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6"/>
                    <a:stretch>
                      <a:fillRect/>
                    </a:stretch>
                  </pic:blipFill>
                  <pic:spPr>
                    <a:xfrm>
                      <a:off x="0" y="0"/>
                      <a:ext cx="6572885" cy="464375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392035" cy="5224145"/>
            <wp:effectExtent l="0" t="0" r="18415"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7"/>
                    <a:stretch>
                      <a:fillRect/>
                    </a:stretch>
                  </pic:blipFill>
                  <pic:spPr>
                    <a:xfrm>
                      <a:off x="0" y="0"/>
                      <a:ext cx="7392035" cy="522414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6983730" cy="4956810"/>
            <wp:effectExtent l="0" t="0" r="7620" b="1524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8"/>
                    <a:stretch>
                      <a:fillRect/>
                    </a:stretch>
                  </pic:blipFill>
                  <pic:spPr>
                    <a:xfrm>
                      <a:off x="0" y="0"/>
                      <a:ext cx="6983730" cy="495681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472680" cy="5284470"/>
            <wp:effectExtent l="0" t="0" r="13970" b="1143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9"/>
                    <a:stretch>
                      <a:fillRect/>
                    </a:stretch>
                  </pic:blipFill>
                  <pic:spPr>
                    <a:xfrm>
                      <a:off x="0" y="0"/>
                      <a:ext cx="7472680" cy="528447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200900" cy="5097780"/>
            <wp:effectExtent l="0" t="0" r="0" b="762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50"/>
                    <a:stretch>
                      <a:fillRect/>
                    </a:stretch>
                  </pic:blipFill>
                  <pic:spPr>
                    <a:xfrm>
                      <a:off x="0" y="0"/>
                      <a:ext cx="7200900" cy="509778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040880" cy="4982845"/>
            <wp:effectExtent l="0" t="0" r="7620" b="8255"/>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51"/>
                    <a:stretch>
                      <a:fillRect/>
                    </a:stretch>
                  </pic:blipFill>
                  <pic:spPr>
                    <a:xfrm>
                      <a:off x="0" y="0"/>
                      <a:ext cx="7040880" cy="498284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7273925" cy="5133975"/>
            <wp:effectExtent l="0" t="0" r="3175" b="952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52"/>
                    <a:stretch>
                      <a:fillRect/>
                    </a:stretch>
                  </pic:blipFill>
                  <pic:spPr>
                    <a:xfrm>
                      <a:off x="0" y="0"/>
                      <a:ext cx="7273925" cy="513397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6920865" cy="4899025"/>
            <wp:effectExtent l="0" t="0" r="13335" b="1587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53"/>
                    <a:stretch>
                      <a:fillRect/>
                    </a:stretch>
                  </pic:blipFill>
                  <pic:spPr>
                    <a:xfrm>
                      <a:off x="0" y="0"/>
                      <a:ext cx="6920865" cy="489902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6693535" cy="4726940"/>
            <wp:effectExtent l="0" t="0" r="12065" b="1651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4"/>
                    <a:stretch>
                      <a:fillRect/>
                    </a:stretch>
                  </pic:blipFill>
                  <pic:spPr>
                    <a:xfrm>
                      <a:off x="0" y="0"/>
                      <a:ext cx="6693535" cy="4726940"/>
                    </a:xfrm>
                    <a:prstGeom prst="rect">
                      <a:avLst/>
                    </a:prstGeom>
                    <a:noFill/>
                    <a:ln>
                      <a:noFill/>
                    </a:ln>
                  </pic:spPr>
                </pic:pic>
              </a:graphicData>
            </a:graphic>
          </wp:inline>
        </w:drawing>
      </w:r>
    </w:p>
    <w:p w14:paraId="77C61ECC">
      <w:pPr>
        <w:pStyle w:val="127"/>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bCs w:val="0"/>
          <w:color w:val="000000" w:themeColor="text1"/>
          <w:sz w:val="21"/>
          <w:szCs w:val="21"/>
          <w:highlight w:val="none"/>
          <w:lang w:val="en-US" w:eastAsia="zh-CN"/>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5BE514AA">
      <w:pPr>
        <w:spacing w:line="240" w:lineRule="auto"/>
        <w:jc w:val="center"/>
        <w:outlineLvl w:val="9"/>
        <w:rPr>
          <w:rFonts w:hint="eastAsia" w:eastAsia="宋体"/>
          <w:color w:val="000000" w:themeColor="text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6141720</wp:posOffset>
                </wp:positionH>
                <wp:positionV relativeFrom="paragraph">
                  <wp:posOffset>4167505</wp:posOffset>
                </wp:positionV>
                <wp:extent cx="106680" cy="96520"/>
                <wp:effectExtent l="9525" t="9525" r="17145" b="27305"/>
                <wp:wrapNone/>
                <wp:docPr id="88" name="矩形 88"/>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6pt;margin-top:328.15pt;height:7.6pt;width:8.4pt;z-index:251685888;v-text-anchor:middle;mso-width-relative:page;mso-height-relative:page;" filled="f" stroked="t" coordsize="21600,21600" o:gfxdata="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ysO/baAAAACwEAAA8AAAAAAAAAAQAgAAAAIgAAAGRycy9kb3ducmV2LnhtbFBLAQIUABQAAAAI&#10;AIdO4kB02vYuXQIAALQEAAAOAAAAAAAAAAEAIAAAACkBAABkcnMvZTJvRG9jLnhtbFBLBQYAAAAA&#10;BgAGAFkBAAD4BQAAAAA=&#10;">
                <v:fill on="f" focussize="0,0"/>
                <v:stroke weight="1.5pt" color="#FF0000 [3204]" joinstyle="round"/>
                <v:imagedata o:title=""/>
                <o:lock v:ext="edit" aspectratio="f"/>
              </v:rect>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6059170</wp:posOffset>
                </wp:positionH>
                <wp:positionV relativeFrom="paragraph">
                  <wp:posOffset>3867150</wp:posOffset>
                </wp:positionV>
                <wp:extent cx="1710690" cy="904240"/>
                <wp:effectExtent l="4445" t="4445" r="18415" b="5715"/>
                <wp:wrapNone/>
                <wp:docPr id="31" name="文本框 31"/>
                <wp:cNvGraphicFramePr/>
                <a:graphic xmlns:a="http://schemas.openxmlformats.org/drawingml/2006/main">
                  <a:graphicData uri="http://schemas.microsoft.com/office/word/2010/wordprocessingShape">
                    <wps:wsp>
                      <wps:cNvSpPr txBox="1"/>
                      <wps:spPr>
                        <a:xfrm>
                          <a:off x="0" y="0"/>
                          <a:ext cx="1710690" cy="904240"/>
                        </a:xfrm>
                        <a:prstGeom prst="rect">
                          <a:avLst/>
                        </a:prstGeom>
                        <a:solidFill>
                          <a:srgbClr val="FFFFFF"/>
                        </a:solidFill>
                        <a:ln w="9525" cap="flat" cmpd="sng">
                          <a:solidFill>
                            <a:srgbClr val="0070C0"/>
                          </a:solidFill>
                          <a:prstDash val="solid"/>
                          <a:miter/>
                          <a:headEnd type="none" w="med" len="med"/>
                          <a:tailEnd type="none" w="med" len="med"/>
                        </a:ln>
                      </wps:spPr>
                      <wps:txbx>
                        <w:txbxContent>
                          <w:p w14:paraId="4DC96A83">
                            <w:pPr>
                              <w:jc w:val="center"/>
                              <w:rPr>
                                <w:rFonts w:hint="eastAsia"/>
                              </w:rPr>
                            </w:pPr>
                            <w:r>
                              <w:rPr>
                                <w:rFonts w:hint="eastAsia"/>
                              </w:rPr>
                              <w:t>图  例</w:t>
                            </w:r>
                          </w:p>
                          <w:p w14:paraId="180AB781">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27F8658A">
                            <w:pPr>
                              <w:keepNext w:val="0"/>
                              <w:keepLines w:val="0"/>
                              <w:pageBreakBefore w:val="0"/>
                              <w:widowControl w:val="0"/>
                              <w:kinsoku/>
                              <w:wordWrap/>
                              <w:overflowPunct/>
                              <w:topLinePunct w:val="0"/>
                              <w:bidi w:val="0"/>
                              <w:adjustRightInd/>
                              <w:snapToGrid/>
                              <w:textAlignment w:val="auto"/>
                              <w:rPr>
                                <w:rFonts w:hint="default"/>
                                <w:lang w:val="en-US" w:eastAsia="zh-CN"/>
                              </w:rPr>
                            </w:pPr>
                            <w:r>
                              <w:rPr>
                                <w:rFonts w:hint="eastAsia"/>
                                <w:lang w:val="en-US" w:eastAsia="zh-CN"/>
                              </w:rPr>
                              <w:t>比例尺 1:72223</w:t>
                            </w:r>
                          </w:p>
                          <w:p w14:paraId="26D3F982">
                            <w:pPr>
                              <w:pStyle w:val="42"/>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77.1pt;margin-top:304.5pt;height:71.2pt;width:134.7pt;z-index:251684864;mso-width-relative:page;mso-height-relative:page;" fillcolor="#FFFFFF" filled="t" stroked="t" coordsize="21600,21600" o:gfxdata="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R3WV3AAAAAwBAAAPAAAA&#10;AAAAAAEAIAAAACIAAABkcnMvZG93bnJldi54bWxQSwECFAAUAAAACACHTuJAXjcptBECAAA4BAAA&#10;DgAAAAAAAAABACAAAAArAQAAZHJzL2Uyb0RvYy54bWxQSwUGAAAAAAYABgBZAQAArgUAAAAA&#10;">
                <v:fill on="t" focussize="0,0"/>
                <v:stroke color="#0070C0" joinstyle="miter"/>
                <v:imagedata o:title=""/>
                <o:lock v:ext="edit" aspectratio="f"/>
                <v:textbox>
                  <w:txbxContent>
                    <w:p w14:paraId="4DC96A83">
                      <w:pPr>
                        <w:jc w:val="center"/>
                        <w:rPr>
                          <w:rFonts w:hint="eastAsia"/>
                        </w:rPr>
                      </w:pPr>
                      <w:r>
                        <w:rPr>
                          <w:rFonts w:hint="eastAsia"/>
                        </w:rPr>
                        <w:t>图  例</w:t>
                      </w:r>
                    </w:p>
                    <w:p w14:paraId="180AB781">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27F8658A">
                      <w:pPr>
                        <w:keepNext w:val="0"/>
                        <w:keepLines w:val="0"/>
                        <w:pageBreakBefore w:val="0"/>
                        <w:widowControl w:val="0"/>
                        <w:kinsoku/>
                        <w:wordWrap/>
                        <w:overflowPunct/>
                        <w:topLinePunct w:val="0"/>
                        <w:bidi w:val="0"/>
                        <w:adjustRightInd/>
                        <w:snapToGrid/>
                        <w:textAlignment w:val="auto"/>
                        <w:rPr>
                          <w:rFonts w:hint="default"/>
                          <w:lang w:val="en-US" w:eastAsia="zh-CN"/>
                        </w:rPr>
                      </w:pPr>
                      <w:r>
                        <w:rPr>
                          <w:rFonts w:hint="eastAsia"/>
                          <w:lang w:val="en-US" w:eastAsia="zh-CN"/>
                        </w:rPr>
                        <w:t>比例尺 1:72223</w:t>
                      </w:r>
                    </w:p>
                    <w:p w14:paraId="26D3F982">
                      <w:pPr>
                        <w:pStyle w:val="42"/>
                        <w:rPr>
                          <w:rFonts w:hint="default"/>
                          <w:lang w:val="en-US" w:eastAsia="zh-CN"/>
                        </w:rPr>
                      </w:pPr>
                    </w:p>
                  </w:txbxContent>
                </v:textbox>
              </v:shape>
            </w:pict>
          </mc:Fallback>
        </mc:AlternateContent>
      </w:r>
      <w:r>
        <w:rPr>
          <w:rFonts w:hint="default" w:ascii="Times New Roman" w:hAnsi="Times New Roman" w:cs="Times New Roman"/>
          <w:b/>
          <w:bCs/>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7312025</wp:posOffset>
            </wp:positionH>
            <wp:positionV relativeFrom="paragraph">
              <wp:posOffset>22860</wp:posOffset>
            </wp:positionV>
            <wp:extent cx="508000" cy="848995"/>
            <wp:effectExtent l="0" t="0" r="6350" b="8255"/>
            <wp:wrapNone/>
            <wp:docPr id="223" name="图片 5" descr="E:/项目报告表/环评报告/编制参考/环评编制相关/指北/指北图.png指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 descr="E:/项目报告表/环评报告/编制参考/环评编制相关/指北/指北图.png指北图"/>
                    <pic:cNvPicPr>
                      <a:picLocks noChangeAspect="1" noChangeArrowheads="1"/>
                    </pic:cNvPicPr>
                  </pic:nvPicPr>
                  <pic:blipFill>
                    <a:blip r:embed="rId55"/>
                    <a:srcRect l="32228" r="32228"/>
                    <a:stretch>
                      <a:fillRect/>
                    </a:stretch>
                  </pic:blipFill>
                  <pic:spPr>
                    <a:xfrm>
                      <a:off x="0" y="0"/>
                      <a:ext cx="508000" cy="848995"/>
                    </a:xfrm>
                    <a:prstGeom prst="rect">
                      <a:avLst/>
                    </a:prstGeom>
                    <a:noFill/>
                    <a:ln>
                      <a:noFill/>
                    </a:ln>
                  </pic:spPr>
                </pic:pic>
              </a:graphicData>
            </a:graphic>
          </wp:anchor>
        </w:drawing>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4119245</wp:posOffset>
                </wp:positionH>
                <wp:positionV relativeFrom="paragraph">
                  <wp:posOffset>2751455</wp:posOffset>
                </wp:positionV>
                <wp:extent cx="773430" cy="328930"/>
                <wp:effectExtent l="4445" t="4445" r="269875" b="257175"/>
                <wp:wrapNone/>
                <wp:docPr id="28" name="圆角矩形标注 28"/>
                <wp:cNvGraphicFramePr/>
                <a:graphic xmlns:a="http://schemas.openxmlformats.org/drawingml/2006/main">
                  <a:graphicData uri="http://schemas.microsoft.com/office/word/2010/wordprocessingShape">
                    <wps:wsp>
                      <wps:cNvSpPr/>
                      <wps:spPr>
                        <a:xfrm>
                          <a:off x="0" y="0"/>
                          <a:ext cx="773430" cy="328930"/>
                        </a:xfrm>
                        <a:prstGeom prst="wedgeRoundRectCallout">
                          <a:avLst>
                            <a:gd name="adj1" fmla="val 78243"/>
                            <a:gd name="adj2" fmla="val 117237"/>
                            <a:gd name="adj3" fmla="val 16667"/>
                          </a:avLst>
                        </a:prstGeom>
                        <a:solidFill>
                          <a:srgbClr val="FFFFFF"/>
                        </a:solidFill>
                        <a:ln w="9525" cap="flat" cmpd="sng">
                          <a:solidFill>
                            <a:srgbClr val="000000"/>
                          </a:solidFill>
                          <a:prstDash val="solid"/>
                          <a:miter/>
                          <a:headEnd type="none" w="med" len="med"/>
                          <a:tailEnd type="none" w="med" len="med"/>
                        </a:ln>
                        <a:effectLst/>
                      </wps:spPr>
                      <wps:txbx>
                        <w:txbxContent>
                          <w:p w14:paraId="1E18AC36">
                            <w:pPr>
                              <w:rPr>
                                <w:rFonts w:ascii="Calibri" w:hAnsi="Calibri"/>
                              </w:rPr>
                            </w:pPr>
                            <w:r>
                              <w:rPr>
                                <w:rFonts w:ascii="Calibri" w:hAnsi="Calibri"/>
                              </w:rPr>
                              <w:t>项目</w:t>
                            </w:r>
                            <w:r>
                              <w:rPr>
                                <w:rFonts w:hint="eastAsia" w:ascii="Calibri" w:hAnsi="Calibri"/>
                              </w:rPr>
                              <w:t>位置</w:t>
                            </w:r>
                          </w:p>
                        </w:txbxContent>
                      </wps:txbx>
                      <wps:bodyPr upright="1"/>
                    </wps:wsp>
                  </a:graphicData>
                </a:graphic>
              </wp:anchor>
            </w:drawing>
          </mc:Choice>
          <mc:Fallback>
            <w:pict>
              <v:shape id="_x0000_s1026" o:spid="_x0000_s1026" o:spt="62" type="#_x0000_t62" style="position:absolute;left:0pt;margin-left:324.35pt;margin-top:216.65pt;height:25.9pt;width:60.9pt;z-index:251666432;mso-width-relative:page;mso-height-relative:page;" fillcolor="#FFFFFF" filled="t" stroked="t" coordsize="21600,21600" o:gfxdata="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yibwT&#10;2gAAAAsBAAAPAAAAAAAAAAEAIAAAACIAAABkcnMvZG93bnJldi54bWxQSwECFAAUAAAACACHTuJA&#10;jCWKHFgCAADLBAAADgAAAAAAAAABACAAAAApAQAAZHJzL2Uyb0RvYy54bWxQSwUGAAAAAAYABgBZ&#10;AQAA8wUAAAAA&#10;" adj="27700,36123,14400">
                <v:fill on="t" focussize="0,0"/>
                <v:stroke color="#000000" joinstyle="miter"/>
                <v:imagedata o:title=""/>
                <o:lock v:ext="edit" aspectratio="f"/>
                <v:textbox>
                  <w:txbxContent>
                    <w:p w14:paraId="1E18AC36">
                      <w:pPr>
                        <w:rPr>
                          <w:rFonts w:ascii="Calibri" w:hAnsi="Calibri"/>
                        </w:rPr>
                      </w:pPr>
                      <w:r>
                        <w:rPr>
                          <w:rFonts w:ascii="Calibri" w:hAnsi="Calibri"/>
                        </w:rPr>
                        <w:t>项目</w:t>
                      </w:r>
                      <w:r>
                        <w:rPr>
                          <w:rFonts w:hint="eastAsia" w:ascii="Calibri" w:hAnsi="Calibri"/>
                        </w:rPr>
                        <w:t>位置</w:t>
                      </w:r>
                    </w:p>
                  </w:txbxContent>
                </v:textbox>
              </v:shape>
            </w:pict>
          </mc:Fallback>
        </mc:AlternateContent>
      </w:r>
      <w:r>
        <w:rPr>
          <w:rFonts w:hint="eastAsia" w:eastAsia="宋体"/>
          <w:color w:val="000000" w:themeColor="text1"/>
          <w:highlight w:val="none"/>
          <w:lang w:eastAsia="zh-CN"/>
          <w14:textFill>
            <w14:solidFill>
              <w14:schemeClr w14:val="tx1"/>
            </w14:solidFill>
          </w14:textFill>
        </w:rPr>
        <w:drawing>
          <wp:inline distT="0" distB="0" distL="114300" distR="114300">
            <wp:extent cx="6896100" cy="4763770"/>
            <wp:effectExtent l="0" t="0" r="0" b="17780"/>
            <wp:docPr id="1" name="图片 1" descr="忠旺项目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忠旺项目位置图"/>
                    <pic:cNvPicPr>
                      <a:picLocks noChangeAspect="1"/>
                    </pic:cNvPicPr>
                  </pic:nvPicPr>
                  <pic:blipFill>
                    <a:blip r:embed="rId56"/>
                    <a:stretch>
                      <a:fillRect/>
                    </a:stretch>
                  </pic:blipFill>
                  <pic:spPr>
                    <a:xfrm>
                      <a:off x="0" y="0"/>
                      <a:ext cx="6896100" cy="4763770"/>
                    </a:xfrm>
                    <a:prstGeom prst="rect">
                      <a:avLst/>
                    </a:prstGeom>
                  </pic:spPr>
                </pic:pic>
              </a:graphicData>
            </a:graphic>
          </wp:inline>
        </w:drawing>
      </w:r>
    </w:p>
    <w:p w14:paraId="165055BB">
      <w:pPr>
        <w:pStyle w:val="5"/>
        <w:jc w:val="center"/>
        <w:rPr>
          <w:rFonts w:hint="default" w:ascii="Times New Roman" w:hAnsi="Times New Roman" w:eastAsia="黑体" w:cs="Times New Roman"/>
          <w:snapToGrid w:val="0"/>
          <w:color w:val="000000" w:themeColor="text1"/>
          <w:kern w:val="21"/>
          <w:sz w:val="30"/>
          <w:szCs w:val="30"/>
          <w:highlight w:val="none"/>
          <w14:textFill>
            <w14:solidFill>
              <w14:schemeClr w14:val="tx1"/>
            </w14:solidFill>
          </w14:textFill>
        </w:rPr>
        <w:sectPr>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eastAsia="宋体" w:cs="Times New Roman"/>
          <w:color w:val="000000" w:themeColor="text1"/>
          <w:sz w:val="21"/>
          <w:szCs w:val="21"/>
          <w:highlight w:val="none"/>
          <w14:textFill>
            <w14:solidFill>
              <w14:schemeClr w14:val="tx1"/>
            </w14:solidFill>
          </w14:textFill>
        </w:rPr>
        <w:t>附图</w:t>
      </w:r>
      <w:r>
        <w:rPr>
          <w:rFonts w:hint="eastAsia" w:eastAsia="宋体" w:cs="Times New Roman"/>
          <w:color w:val="000000" w:themeColor="text1"/>
          <w:sz w:val="21"/>
          <w:szCs w:val="21"/>
          <w:highlight w:val="none"/>
          <w:lang w:val="en-US" w:eastAsia="zh-CN"/>
          <w14:textFill>
            <w14:solidFill>
              <w14:schemeClr w14:val="tx1"/>
            </w14:solidFill>
          </w14:textFill>
        </w:rPr>
        <w:t xml:space="preserve">1 </w:t>
      </w:r>
      <w:r>
        <w:rPr>
          <w:rFonts w:hint="default" w:ascii="Times New Roman" w:hAnsi="Times New Roman" w:eastAsia="宋体" w:cs="Times New Roman"/>
          <w:color w:val="000000" w:themeColor="text1"/>
          <w:sz w:val="21"/>
          <w:szCs w:val="21"/>
          <w:highlight w:val="none"/>
          <w14:textFill>
            <w14:solidFill>
              <w14:schemeClr w14:val="tx1"/>
            </w14:solidFill>
          </w14:textFill>
        </w:rPr>
        <w:t>项目地理位置图</w:t>
      </w:r>
      <w:r>
        <w:rPr>
          <w:rFonts w:hint="default" w:ascii="Times New Roman" w:hAnsi="Times New Roman" w:cs="Times New Roman"/>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7084695</wp:posOffset>
                </wp:positionH>
                <wp:positionV relativeFrom="paragraph">
                  <wp:posOffset>4326890</wp:posOffset>
                </wp:positionV>
                <wp:extent cx="777240" cy="662940"/>
                <wp:effectExtent l="4445" t="4445" r="18415" b="18415"/>
                <wp:wrapNone/>
                <wp:docPr id="5" name="文本框 5"/>
                <wp:cNvGraphicFramePr/>
                <a:graphic xmlns:a="http://schemas.openxmlformats.org/drawingml/2006/main">
                  <a:graphicData uri="http://schemas.microsoft.com/office/word/2010/wordprocessingShape">
                    <wps:wsp>
                      <wps:cNvSpPr txBox="1"/>
                      <wps:spPr>
                        <a:xfrm>
                          <a:off x="8248015" y="5607050"/>
                          <a:ext cx="777240" cy="662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55CF5C">
                            <w:pPr>
                              <w:jc w:val="center"/>
                            </w:pPr>
                            <w:r>
                              <w:rPr>
                                <w:rFonts w:hint="eastAsia"/>
                              </w:rPr>
                              <w:t>图例</w:t>
                            </w:r>
                          </w:p>
                          <w:p w14:paraId="259BEE1E">
                            <w:pPr>
                              <w:jc w:val="center"/>
                            </w:pPr>
                            <w:r>
                              <w:rPr>
                                <w:rFonts w:hint="eastAsia"/>
                                <w:color w:val="FF0000"/>
                              </w:rPr>
                              <w:t>★</w:t>
                            </w:r>
                          </w:p>
                          <w:p w14:paraId="544A7DFE">
                            <w:pPr>
                              <w:jc w:val="center"/>
                            </w:pPr>
                            <w:r>
                              <w:rPr>
                                <w:rFonts w:hint="eastAsia"/>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85pt;margin-top:340.7pt;height:52.2pt;width:61.2pt;z-index:251664384;mso-width-relative:page;mso-height-relative:page;" fillcolor="#FFFFFF [3201]" filled="t" stroked="t" coordsize="21600,21600" o:gfxdata="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PnZf2QAAAA0BAAAPAAAAAAAAAAEAIAAAACIAAABkcnMvZG93bnJldi54bWxQSwECFAAUAAAA&#10;CACHTuJAULViO18CAADCBAAADgAAAAAAAAABACAAAAAoAQAAZHJzL2Uyb0RvYy54bWxQSwUGAAAA&#10;AAYABgBZAQAA+QUAAAAA&#10;">
                <v:fill on="t" focussize="0,0"/>
                <v:stroke weight="0.5pt" color="#000000 [3204]" joinstyle="round"/>
                <v:imagedata o:title=""/>
                <o:lock v:ext="edit" aspectratio="f"/>
                <v:textbox>
                  <w:txbxContent>
                    <w:p w14:paraId="1E55CF5C">
                      <w:pPr>
                        <w:jc w:val="center"/>
                      </w:pPr>
                      <w:r>
                        <w:rPr>
                          <w:rFonts w:hint="eastAsia"/>
                        </w:rPr>
                        <w:t>图例</w:t>
                      </w:r>
                    </w:p>
                    <w:p w14:paraId="259BEE1E">
                      <w:pPr>
                        <w:jc w:val="center"/>
                      </w:pPr>
                      <w:r>
                        <w:rPr>
                          <w:rFonts w:hint="eastAsia"/>
                          <w:color w:val="FF0000"/>
                        </w:rPr>
                        <w:t>★</w:t>
                      </w:r>
                    </w:p>
                    <w:p w14:paraId="544A7DFE">
                      <w:pPr>
                        <w:jc w:val="center"/>
                      </w:pPr>
                      <w:r>
                        <w:rPr>
                          <w:rFonts w:hint="eastAsia"/>
                        </w:rPr>
                        <w:t>项目位置</w:t>
                      </w:r>
                    </w:p>
                  </w:txbxContent>
                </v:textbox>
              </v:shape>
            </w:pict>
          </mc:Fallback>
        </mc:AlternateContent>
      </w:r>
    </w:p>
    <w:bookmarkEnd w:id="18"/>
    <w:p w14:paraId="626221EE">
      <w:pPr>
        <w:pStyle w:val="5"/>
        <w:keepNext/>
        <w:keepLines w:val="0"/>
        <w:pageBreakBefore w:val="0"/>
        <w:widowControl w:val="0"/>
        <w:kinsoku/>
        <w:wordWrap/>
        <w:overflowPunct w:val="0"/>
        <w:topLinePunct w:val="0"/>
        <w:autoSpaceDE/>
        <w:autoSpaceDN/>
        <w:bidi w:val="0"/>
        <w:adjustRightInd/>
        <w:snapToGrid w:val="0"/>
        <w:spacing w:line="260" w:lineRule="auto"/>
        <w:ind w:left="0" w:firstLine="0"/>
        <w:jc w:val="center"/>
        <w:textAlignment w:val="auto"/>
        <w:rPr>
          <w:rFonts w:hint="eastAsia" w:ascii="Times New Roman" w:hAnsi="Times New Roman" w:eastAsia="黑体" w:cs="Times New Roman"/>
          <w:color w:val="000000" w:themeColor="text1"/>
          <w:sz w:val="21"/>
          <w:szCs w:val="21"/>
          <w:highlight w:val="none"/>
          <w:lang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6755765</wp:posOffset>
                </wp:positionH>
                <wp:positionV relativeFrom="paragraph">
                  <wp:posOffset>4980940</wp:posOffset>
                </wp:positionV>
                <wp:extent cx="106680" cy="96520"/>
                <wp:effectExtent l="0" t="0" r="7620" b="17780"/>
                <wp:wrapNone/>
                <wp:docPr id="77" name="矩形 77"/>
                <wp:cNvGraphicFramePr/>
                <a:graphic xmlns:a="http://schemas.openxmlformats.org/drawingml/2006/main">
                  <a:graphicData uri="http://schemas.microsoft.com/office/word/2010/wordprocessingShape">
                    <wps:wsp>
                      <wps:cNvSpPr/>
                      <wps:spPr>
                        <a:xfrm>
                          <a:off x="0" y="0"/>
                          <a:ext cx="106680" cy="9652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95pt;margin-top:392.2pt;height:7.6pt;width:8.4pt;z-index:251670528;v-text-anchor:middle;mso-width-relative:page;mso-height-relative:page;" fillcolor="#FFFF00" filled="t" stroked="f" coordsize="21600,21600" o:gfxdata="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Yo38NsAAAANAQAADwAAAAAAAAABACAAAAAiAAAAZHJzL2Rvd25yZXYueG1sUEsBAhQAFAAA&#10;AAgAh07iQHVmzrpeAgAAtAQAAA4AAAAAAAAAAQAgAAAAKgEAAGRycy9lMm9Eb2MueG1sUEsFBgAA&#10;AAAGAAYAWQEAAPoFAAAAAA==&#10;">
                <v:fill on="t" focussize="0,0"/>
                <v:stroke on="f" weight="1.5pt"/>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6755765</wp:posOffset>
                </wp:positionH>
                <wp:positionV relativeFrom="paragraph">
                  <wp:posOffset>4761865</wp:posOffset>
                </wp:positionV>
                <wp:extent cx="106680" cy="96520"/>
                <wp:effectExtent l="0" t="0" r="7620" b="17780"/>
                <wp:wrapNone/>
                <wp:docPr id="6" name="矩形 6"/>
                <wp:cNvGraphicFramePr/>
                <a:graphic xmlns:a="http://schemas.openxmlformats.org/drawingml/2006/main">
                  <a:graphicData uri="http://schemas.microsoft.com/office/word/2010/wordprocessingShape">
                    <wps:wsp>
                      <wps:cNvSpPr/>
                      <wps:spPr>
                        <a:xfrm>
                          <a:off x="0" y="0"/>
                          <a:ext cx="106680" cy="96520"/>
                        </a:xfrm>
                        <a:prstGeom prst="rect">
                          <a:avLst/>
                        </a:prstGeom>
                        <a:solidFill>
                          <a:schemeClr val="accent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95pt;margin-top:374.95pt;height:7.6pt;width:8.4pt;z-index:251671552;v-text-anchor:middle;mso-width-relative:page;mso-height-relative:page;" fillcolor="#4F81BD [3204]" filled="t" stroked="f" coordsize="21600,21600" o:gfxdata="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4qY3/2gAAAA0BAAAPAAAAAAAAAAEAIAAAACIAAABkcnMvZG93bnJldi54bWxQSwECFAAUAAAA&#10;CACHTuJA4/umP14CAACyBAAADgAAAAAAAAABACAAAAApAQAAZHJzL2Uyb0RvYy54bWxQSwUGAAAA&#10;AAYABgBZAQAA+QUAAAAA&#10;">
                <v:fill on="t" focussize="0,0"/>
                <v:stroke on="f" weight="1.5pt"/>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6751320</wp:posOffset>
                </wp:positionH>
                <wp:positionV relativeFrom="paragraph">
                  <wp:posOffset>4577080</wp:posOffset>
                </wp:positionV>
                <wp:extent cx="106680" cy="96520"/>
                <wp:effectExtent l="9525" t="9525" r="17145" b="27305"/>
                <wp:wrapNone/>
                <wp:docPr id="10" name="矩形 10"/>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6pt;margin-top:360.4pt;height:7.6pt;width:8.4pt;z-index:251668480;v-text-anchor:middle;mso-width-relative:page;mso-height-relative:page;" filled="f" stroked="t" coordsize="21600,21600" o:gfxdata="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YAWE7bAAAADQEAAA8AAAAAAAAAAQAgAAAAIgAAAGRycy9kb3ducmV2LnhtbFBLAQIUABQAAAAI&#10;AIdO4kCpHvpnXAIAALQEAAAOAAAAAAAAAAEAIAAAACoBAABkcnMvZTJvRG9jLnhtbFBLBQYAAAAA&#10;BgAGAFkBAAD4BQAAAAA=&#10;">
                <v:fill on="f" focussize="0,0"/>
                <v:stroke weight="1.5pt" color="#FFC000 [3204]"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6751320</wp:posOffset>
                </wp:positionH>
                <wp:positionV relativeFrom="paragraph">
                  <wp:posOffset>4367530</wp:posOffset>
                </wp:positionV>
                <wp:extent cx="106680" cy="96520"/>
                <wp:effectExtent l="9525" t="9525" r="17145" b="27305"/>
                <wp:wrapNone/>
                <wp:docPr id="98" name="矩形 98"/>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6pt;margin-top:343.9pt;height:7.6pt;width:8.4pt;z-index:251682816;v-text-anchor:middle;mso-width-relative:page;mso-height-relative:page;" filled="f" stroked="t" coordsize="21600,21600" o:gfxdata="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ns2SnaAAAADQEAAA8AAAAAAAAAAQAgAAAAIgAAAGRycy9kb3ducmV2LnhtbFBLAQIUABQAAAAI&#10;AIdO4kAa9jnNXQIAALQEAAAOAAAAAAAAAAEAIAAAACkBAABkcnMvZTJvRG9jLnhtbFBLBQYAAAAA&#10;BgAGAFkBAAD4BQAAAAA=&#10;">
                <v:fill on="f" focussize="0,0"/>
                <v:stroke weight="1.5pt" color="#1F497D [3215]"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6741795</wp:posOffset>
                </wp:positionH>
                <wp:positionV relativeFrom="paragraph">
                  <wp:posOffset>4177030</wp:posOffset>
                </wp:positionV>
                <wp:extent cx="106680" cy="96520"/>
                <wp:effectExtent l="9525" t="9525" r="17145" b="27305"/>
                <wp:wrapNone/>
                <wp:docPr id="99" name="矩形 99"/>
                <wp:cNvGraphicFramePr/>
                <a:graphic xmlns:a="http://schemas.openxmlformats.org/drawingml/2006/main">
                  <a:graphicData uri="http://schemas.microsoft.com/office/word/2010/wordprocessingShape">
                    <wps:wsp>
                      <wps:cNvSpPr/>
                      <wps:spPr>
                        <a:xfrm>
                          <a:off x="0" y="0"/>
                          <a:ext cx="106680" cy="96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0.85pt;margin-top:328.9pt;height:7.6pt;width:8.4pt;z-index:251683840;v-text-anchor:middle;mso-width-relative:page;mso-height-relative:page;" filled="f" stroked="t" coordsize="21600,21600" o:gfxdata="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du0HdkAAAANAQAADwAAAAAAAAABACAAAAAiAAAAZHJzL2Rvd25yZXYueG1sUEsBAhQAFAAAAAgA&#10;h07iQMQcXZNdAgAAtAQAAA4AAAAAAAAAAQAgAAAAKAEAAGRycy9lMm9Eb2MueG1sUEsFBgAAAAAG&#10;AAYAWQEAAPcFAAAAAA==&#10;">
                <v:fill on="f" focussize="0,0"/>
                <v:stroke weight="1.5pt" color="#FF0000 [3204]" joinstyle="round"/>
                <v:imagedata o:title=""/>
                <o:lock v:ext="edit" aspectratio="f"/>
              </v:rect>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6677660</wp:posOffset>
                </wp:positionH>
                <wp:positionV relativeFrom="paragraph">
                  <wp:posOffset>3867785</wp:posOffset>
                </wp:positionV>
                <wp:extent cx="1463675" cy="1313180"/>
                <wp:effectExtent l="4445" t="4445" r="17780" b="15875"/>
                <wp:wrapNone/>
                <wp:docPr id="7" name="文本框 7"/>
                <wp:cNvGraphicFramePr/>
                <a:graphic xmlns:a="http://schemas.openxmlformats.org/drawingml/2006/main">
                  <a:graphicData uri="http://schemas.microsoft.com/office/word/2010/wordprocessingShape">
                    <wps:wsp>
                      <wps:cNvSpPr txBox="1"/>
                      <wps:spPr>
                        <a:xfrm>
                          <a:off x="0" y="0"/>
                          <a:ext cx="1463675" cy="1313180"/>
                        </a:xfrm>
                        <a:prstGeom prst="rect">
                          <a:avLst/>
                        </a:prstGeom>
                        <a:solidFill>
                          <a:srgbClr val="FFFFFF"/>
                        </a:solidFill>
                        <a:ln w="9525" cap="flat" cmpd="sng">
                          <a:solidFill>
                            <a:srgbClr val="0070C0"/>
                          </a:solidFill>
                          <a:prstDash val="solid"/>
                          <a:miter/>
                          <a:headEnd type="none" w="med" len="med"/>
                          <a:tailEnd type="none" w="med" len="med"/>
                        </a:ln>
                      </wps:spPr>
                      <wps:txbx>
                        <w:txbxContent>
                          <w:p w14:paraId="72757AC1">
                            <w:pPr>
                              <w:jc w:val="center"/>
                              <w:rPr>
                                <w:rFonts w:hint="eastAsia"/>
                              </w:rPr>
                            </w:pPr>
                            <w:r>
                              <w:rPr>
                                <w:rFonts w:hint="eastAsia"/>
                              </w:rPr>
                              <w:t>图  例</w:t>
                            </w:r>
                          </w:p>
                          <w:p w14:paraId="43D19316">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39D6A0B2">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声环境保护范围</w:t>
                            </w:r>
                          </w:p>
                          <w:p w14:paraId="02F4FB6E">
                            <w:pPr>
                              <w:keepNext w:val="0"/>
                              <w:keepLines w:val="0"/>
                              <w:pageBreakBefore w:val="0"/>
                              <w:widowControl w:val="0"/>
                              <w:kinsoku/>
                              <w:wordWrap/>
                              <w:overflowPunct/>
                              <w:topLinePunct w:val="0"/>
                              <w:bidi w:val="0"/>
                              <w:adjustRightInd/>
                              <w:snapToGrid/>
                              <w:ind w:firstLine="210" w:firstLineChars="100"/>
                              <w:textAlignment w:val="auto"/>
                              <w:rPr>
                                <w:rFonts w:hint="default" w:eastAsia="宋体"/>
                                <w:lang w:val="en-US" w:eastAsia="zh-CN"/>
                              </w:rPr>
                            </w:pPr>
                            <w:r>
                              <w:rPr>
                                <w:rFonts w:hint="eastAsia"/>
                              </w:rPr>
                              <w:t>大气环境保护范围</w:t>
                            </w:r>
                          </w:p>
                          <w:p w14:paraId="251DE589">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声环境保护目标</w:t>
                            </w:r>
                          </w:p>
                          <w:p w14:paraId="54523B46">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大气环境保护目标</w:t>
                            </w:r>
                          </w:p>
                          <w:p w14:paraId="30DFB3CD">
                            <w:pPr>
                              <w:pStyle w:val="42"/>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525.8pt;margin-top:304.55pt;height:103.4pt;width:115.25pt;z-index:251667456;mso-width-relative:page;mso-height-relative:page;" fillcolor="#FFFFFF" filled="t" stroked="t" coordsize="21600,21600" o:gfxdata="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KvmUrbAAAADQEAAA8AAAAA&#10;AAAAAQAgAAAAIgAAAGRycy9kb3ducmV2LnhtbFBLAQIUABQAAAAIAIdO4kBW7cmcEQIAADcEAAAO&#10;AAAAAAAAAAEAIAAAACoBAABkcnMvZTJvRG9jLnhtbFBLBQYAAAAABgAGAFkBAACtBQAAAAA=&#10;">
                <v:fill on="t" focussize="0,0"/>
                <v:stroke color="#0070C0" joinstyle="miter"/>
                <v:imagedata o:title=""/>
                <o:lock v:ext="edit" aspectratio="f"/>
                <v:textbox>
                  <w:txbxContent>
                    <w:p w14:paraId="72757AC1">
                      <w:pPr>
                        <w:jc w:val="center"/>
                        <w:rPr>
                          <w:rFonts w:hint="eastAsia"/>
                        </w:rPr>
                      </w:pPr>
                      <w:r>
                        <w:rPr>
                          <w:rFonts w:hint="eastAsia"/>
                        </w:rPr>
                        <w:t>图  例</w:t>
                      </w:r>
                    </w:p>
                    <w:p w14:paraId="43D19316">
                      <w:pPr>
                        <w:keepNext w:val="0"/>
                        <w:keepLines w:val="0"/>
                        <w:pageBreakBefore w:val="0"/>
                        <w:widowControl w:val="0"/>
                        <w:kinsoku/>
                        <w:wordWrap/>
                        <w:overflowPunct/>
                        <w:topLinePunct w:val="0"/>
                        <w:bidi w:val="0"/>
                        <w:adjustRightInd/>
                        <w:snapToGrid/>
                        <w:ind w:firstLine="210" w:firstLineChars="100"/>
                        <w:textAlignment w:val="auto"/>
                        <w:rPr>
                          <w:rFonts w:hint="eastAsia"/>
                          <w:lang w:val="en-US" w:eastAsia="zh-CN"/>
                        </w:rPr>
                      </w:pPr>
                      <w:r>
                        <w:rPr>
                          <w:rFonts w:hint="eastAsia"/>
                          <w:lang w:val="en-US" w:eastAsia="zh-CN"/>
                        </w:rPr>
                        <w:t>项目位置</w:t>
                      </w:r>
                    </w:p>
                    <w:p w14:paraId="39D6A0B2">
                      <w:pPr>
                        <w:keepNext w:val="0"/>
                        <w:keepLines w:val="0"/>
                        <w:pageBreakBefore w:val="0"/>
                        <w:widowControl w:val="0"/>
                        <w:kinsoku/>
                        <w:wordWrap/>
                        <w:overflowPunct/>
                        <w:topLinePunct w:val="0"/>
                        <w:bidi w:val="0"/>
                        <w:adjustRightInd/>
                        <w:snapToGrid/>
                        <w:ind w:firstLine="210" w:firstLineChars="100"/>
                        <w:textAlignment w:val="auto"/>
                        <w:rPr>
                          <w:rFonts w:hint="default"/>
                          <w:lang w:val="en-US" w:eastAsia="zh-CN"/>
                        </w:rPr>
                      </w:pPr>
                      <w:r>
                        <w:rPr>
                          <w:rFonts w:hint="eastAsia"/>
                          <w:lang w:val="en-US" w:eastAsia="zh-CN"/>
                        </w:rPr>
                        <w:t>声环境保护范围</w:t>
                      </w:r>
                    </w:p>
                    <w:p w14:paraId="02F4FB6E">
                      <w:pPr>
                        <w:keepNext w:val="0"/>
                        <w:keepLines w:val="0"/>
                        <w:pageBreakBefore w:val="0"/>
                        <w:widowControl w:val="0"/>
                        <w:kinsoku/>
                        <w:wordWrap/>
                        <w:overflowPunct/>
                        <w:topLinePunct w:val="0"/>
                        <w:bidi w:val="0"/>
                        <w:adjustRightInd/>
                        <w:snapToGrid/>
                        <w:ind w:firstLine="210" w:firstLineChars="100"/>
                        <w:textAlignment w:val="auto"/>
                        <w:rPr>
                          <w:rFonts w:hint="default" w:eastAsia="宋体"/>
                          <w:lang w:val="en-US" w:eastAsia="zh-CN"/>
                        </w:rPr>
                      </w:pPr>
                      <w:r>
                        <w:rPr>
                          <w:rFonts w:hint="eastAsia"/>
                        </w:rPr>
                        <w:t>大气环境保护范围</w:t>
                      </w:r>
                    </w:p>
                    <w:p w14:paraId="251DE589">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声环境保护目标</w:t>
                      </w:r>
                    </w:p>
                    <w:p w14:paraId="54523B46">
                      <w:pPr>
                        <w:keepNext w:val="0"/>
                        <w:keepLines w:val="0"/>
                        <w:pageBreakBefore w:val="0"/>
                        <w:widowControl w:val="0"/>
                        <w:kinsoku/>
                        <w:wordWrap/>
                        <w:overflowPunct/>
                        <w:topLinePunct w:val="0"/>
                        <w:bidi w:val="0"/>
                        <w:adjustRightInd/>
                        <w:snapToGrid/>
                        <w:ind w:firstLine="210" w:firstLineChars="100"/>
                        <w:jc w:val="both"/>
                        <w:textAlignment w:val="auto"/>
                        <w:rPr>
                          <w:rFonts w:hint="eastAsia"/>
                          <w:lang w:val="en-US" w:eastAsia="zh-CN"/>
                        </w:rPr>
                      </w:pPr>
                      <w:r>
                        <w:rPr>
                          <w:rFonts w:hint="eastAsia"/>
                          <w:lang w:val="en-US" w:eastAsia="zh-CN"/>
                        </w:rPr>
                        <w:t>大气环境保护目标</w:t>
                      </w:r>
                    </w:p>
                    <w:p w14:paraId="30DFB3CD">
                      <w:pPr>
                        <w:pStyle w:val="42"/>
                        <w:rPr>
                          <w:rFonts w:hint="default"/>
                          <w:lang w:val="en-US" w:eastAsia="zh-CN"/>
                        </w:rPr>
                      </w:pPr>
                    </w:p>
                  </w:txbxContent>
                </v:textbox>
              </v:shape>
            </w:pict>
          </mc:Fallback>
        </mc:AlternateContent>
      </w:r>
      <w:r>
        <w:rPr>
          <w:rFonts w:hint="eastAsia" w:ascii="仿宋" w:hAnsi="仿宋" w:eastAsia="仿宋" w:cs="仿宋"/>
          <w:b/>
          <w:bCs/>
          <w:color w:val="000000" w:themeColor="text1"/>
          <w:sz w:val="24"/>
          <w:szCs w:val="24"/>
          <w:highlight w:val="none"/>
          <w14:textFill>
            <w14:solidFill>
              <w14:schemeClr w14:val="tx1"/>
            </w14:solidFill>
          </w14:textFill>
        </w:rPr>
        <w:drawing>
          <wp:anchor distT="0" distB="0" distL="114300" distR="114300" simplePos="0" relativeHeight="251675648" behindDoc="0" locked="0" layoutInCell="1" allowOverlap="1">
            <wp:simplePos x="0" y="0"/>
            <wp:positionH relativeFrom="column">
              <wp:posOffset>6744970</wp:posOffset>
            </wp:positionH>
            <wp:positionV relativeFrom="paragraph">
              <wp:posOffset>-8255</wp:posOffset>
            </wp:positionV>
            <wp:extent cx="904240" cy="838200"/>
            <wp:effectExtent l="0" t="0" r="10160" b="0"/>
            <wp:wrapNone/>
            <wp:docPr id="39"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鸡西风玫瑰"/>
                    <pic:cNvPicPr>
                      <a:picLocks noChangeAspect="1"/>
                    </pic:cNvPicPr>
                  </pic:nvPicPr>
                  <pic:blipFill>
                    <a:blip r:embed="rId11"/>
                    <a:stretch>
                      <a:fillRect/>
                    </a:stretch>
                  </pic:blipFill>
                  <pic:spPr>
                    <a:xfrm>
                      <a:off x="0" y="0"/>
                      <a:ext cx="904240" cy="838200"/>
                    </a:xfrm>
                    <a:prstGeom prst="rect">
                      <a:avLst/>
                    </a:prstGeom>
                    <a:noFill/>
                    <a:ln>
                      <a:noFill/>
                    </a:ln>
                  </pic:spPr>
                </pic:pic>
              </a:graphicData>
            </a:graphic>
          </wp:anchor>
        </w:drawing>
      </w:r>
      <w:bookmarkStart w:id="19" w:name="_Toc30150"/>
      <w:r>
        <w:rPr>
          <w:rFonts w:hint="eastAsia" w:ascii="Times New Roman" w:hAnsi="Times New Roman" w:eastAsia="黑体" w:cs="Times New Roman"/>
          <w:color w:val="000000" w:themeColor="text1"/>
          <w:sz w:val="21"/>
          <w:szCs w:val="21"/>
          <w:highlight w:val="none"/>
          <w:lang w:eastAsia="zh-CN"/>
          <w14:textFill>
            <w14:solidFill>
              <w14:schemeClr w14:val="tx1"/>
            </w14:solidFill>
          </w14:textFill>
        </w:rPr>
        <w:drawing>
          <wp:inline distT="0" distB="0" distL="114300" distR="114300">
            <wp:extent cx="6643370" cy="5066030"/>
            <wp:effectExtent l="0" t="0" r="5080" b="1270"/>
            <wp:docPr id="23" name="图片 23" descr="鸡东忠旺环境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鸡东忠旺环境保护区"/>
                    <pic:cNvPicPr>
                      <a:picLocks noChangeAspect="1"/>
                    </pic:cNvPicPr>
                  </pic:nvPicPr>
                  <pic:blipFill>
                    <a:blip r:embed="rId57"/>
                    <a:stretch>
                      <a:fillRect/>
                    </a:stretch>
                  </pic:blipFill>
                  <pic:spPr>
                    <a:xfrm>
                      <a:off x="0" y="0"/>
                      <a:ext cx="6643370" cy="5066030"/>
                    </a:xfrm>
                    <a:prstGeom prst="rect">
                      <a:avLst/>
                    </a:prstGeom>
                  </pic:spPr>
                </pic:pic>
              </a:graphicData>
            </a:graphic>
          </wp:inline>
        </w:drawing>
      </w:r>
    </w:p>
    <w:p w14:paraId="3536C210">
      <w:pPr>
        <w:pStyle w:val="5"/>
        <w:keepNext/>
        <w:keepLines w:val="0"/>
        <w:pageBreakBefore w:val="0"/>
        <w:widowControl w:val="0"/>
        <w:kinsoku/>
        <w:wordWrap/>
        <w:overflowPunct w:val="0"/>
        <w:topLinePunct w:val="0"/>
        <w:autoSpaceDE/>
        <w:autoSpaceDN/>
        <w:bidi w:val="0"/>
        <w:adjustRightInd/>
        <w:snapToGrid w:val="0"/>
        <w:spacing w:line="260" w:lineRule="auto"/>
        <w:ind w:left="0" w:firstLine="0"/>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附图</w:t>
      </w:r>
      <w:r>
        <w:rPr>
          <w:rFonts w:hint="eastAsia" w:eastAsia="宋体" w:cs="Times New Roman"/>
          <w:color w:val="000000" w:themeColor="text1"/>
          <w:sz w:val="21"/>
          <w:szCs w:val="21"/>
          <w:highlight w:val="none"/>
          <w:lang w:val="en-US" w:eastAsia="zh-CN"/>
          <w14:textFill>
            <w14:solidFill>
              <w14:schemeClr w14:val="tx1"/>
            </w14:solidFill>
          </w14:textFill>
        </w:rPr>
        <w:t xml:space="preserve">2 </w:t>
      </w:r>
      <w:r>
        <w:rPr>
          <w:rFonts w:hint="eastAsia" w:ascii="宋体" w:hAnsi="宋体" w:eastAsia="宋体" w:cs="宋体"/>
          <w:b/>
          <w:bCs/>
          <w:color w:val="000000" w:themeColor="text1"/>
          <w:sz w:val="21"/>
          <w:szCs w:val="21"/>
          <w:highlight w:val="none"/>
          <w14:textFill>
            <w14:solidFill>
              <w14:schemeClr w14:val="tx1"/>
            </w14:solidFill>
          </w14:textFill>
        </w:rPr>
        <w:t>周围环境保护目标分布图</w:t>
      </w:r>
    </w:p>
    <w:bookmarkEnd w:id="19"/>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6"/>
        <w:gridCol w:w="4536"/>
      </w:tblGrid>
      <w:tr w14:paraId="037F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jc w:val="center"/>
        </w:trPr>
        <w:tc>
          <w:tcPr>
            <w:tcW w:w="4530" w:type="dxa"/>
            <w:noWrap w:val="0"/>
            <w:vAlign w:val="center"/>
          </w:tcPr>
          <w:p w14:paraId="7C367064">
            <w:pPr>
              <w:keepNext w:val="0"/>
              <w:keepLines w:val="0"/>
              <w:suppressLineNumbers w:val="0"/>
              <w:spacing w:before="0" w:beforeAutospacing="0" w:after="0" w:afterAutospacing="0"/>
              <w:ind w:left="0" w:right="0"/>
              <w:jc w:val="cente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drawing>
                <wp:inline distT="0" distB="0" distL="114300" distR="114300">
                  <wp:extent cx="2728595" cy="2046605"/>
                  <wp:effectExtent l="0" t="0" r="14605" b="10795"/>
                  <wp:docPr id="33" name="图片 33" descr="微信图片_2024111314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41113141635"/>
                          <pic:cNvPicPr>
                            <a:picLocks noChangeAspect="1"/>
                          </pic:cNvPicPr>
                        </pic:nvPicPr>
                        <pic:blipFill>
                          <a:blip r:embed="rId58"/>
                          <a:stretch>
                            <a:fillRect/>
                          </a:stretch>
                        </pic:blipFill>
                        <pic:spPr>
                          <a:xfrm>
                            <a:off x="0" y="0"/>
                            <a:ext cx="2728595" cy="2046605"/>
                          </a:xfrm>
                          <a:prstGeom prst="rect">
                            <a:avLst/>
                          </a:prstGeom>
                        </pic:spPr>
                      </pic:pic>
                    </a:graphicData>
                  </a:graphic>
                </wp:inline>
              </w:drawing>
            </w:r>
          </w:p>
        </w:tc>
        <w:tc>
          <w:tcPr>
            <w:tcW w:w="4530" w:type="dxa"/>
            <w:noWrap w:val="0"/>
            <w:vAlign w:val="center"/>
          </w:tcPr>
          <w:p w14:paraId="7373F5E2">
            <w:pPr>
              <w:keepNext w:val="0"/>
              <w:keepLines w:val="0"/>
              <w:suppressLineNumbers w:val="0"/>
              <w:spacing w:before="0" w:beforeAutospacing="0" w:after="0" w:afterAutospacing="0"/>
              <w:ind w:left="0" w:right="0"/>
              <w:jc w:val="cente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drawing>
                <wp:inline distT="0" distB="0" distL="114300" distR="114300">
                  <wp:extent cx="2728595" cy="2046605"/>
                  <wp:effectExtent l="0" t="0" r="14605" b="10795"/>
                  <wp:docPr id="32" name="图片 32" descr="微信图片_202411131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41113141634"/>
                          <pic:cNvPicPr>
                            <a:picLocks noChangeAspect="1"/>
                          </pic:cNvPicPr>
                        </pic:nvPicPr>
                        <pic:blipFill>
                          <a:blip r:embed="rId59"/>
                          <a:stretch>
                            <a:fillRect/>
                          </a:stretch>
                        </pic:blipFill>
                        <pic:spPr>
                          <a:xfrm>
                            <a:off x="0" y="0"/>
                            <a:ext cx="2728595" cy="2046605"/>
                          </a:xfrm>
                          <a:prstGeom prst="rect">
                            <a:avLst/>
                          </a:prstGeom>
                        </pic:spPr>
                      </pic:pic>
                    </a:graphicData>
                  </a:graphic>
                </wp:inline>
              </w:drawing>
            </w:r>
          </w:p>
        </w:tc>
      </w:tr>
      <w:tr w14:paraId="4E0A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14:paraId="383E6F90">
            <w:pPr>
              <w:keepNext w:val="0"/>
              <w:keepLines w:val="0"/>
              <w:suppressLineNumbers w:val="0"/>
              <w:spacing w:before="0" w:beforeAutospacing="0" w:after="0" w:afterAutospacing="0"/>
              <w:ind w:left="0" w:right="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厂区东侧鸡东县殡仪馆</w:t>
            </w:r>
          </w:p>
        </w:tc>
        <w:tc>
          <w:tcPr>
            <w:tcW w:w="4530" w:type="dxa"/>
            <w:noWrap w:val="0"/>
            <w:vAlign w:val="center"/>
          </w:tcPr>
          <w:p w14:paraId="25F84BF7">
            <w:pPr>
              <w:keepNext w:val="0"/>
              <w:keepLines w:val="0"/>
              <w:suppressLineNumbers w:val="0"/>
              <w:spacing w:before="0" w:beforeAutospacing="0" w:after="0" w:afterAutospacing="0"/>
              <w:ind w:left="0" w:right="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厂区西侧空地</w:t>
            </w:r>
          </w:p>
        </w:tc>
      </w:tr>
      <w:tr w14:paraId="7682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2" w:hRule="atLeast"/>
          <w:jc w:val="center"/>
        </w:trPr>
        <w:tc>
          <w:tcPr>
            <w:tcW w:w="4530" w:type="dxa"/>
            <w:noWrap w:val="0"/>
            <w:vAlign w:val="center"/>
          </w:tcPr>
          <w:p w14:paraId="2D5A1EEB">
            <w:pPr>
              <w:keepNext w:val="0"/>
              <w:keepLines w:val="0"/>
              <w:suppressLineNumbers w:val="0"/>
              <w:spacing w:before="0" w:beforeAutospacing="0" w:after="0" w:afterAutospacing="0"/>
              <w:ind w:left="0" w:right="0"/>
              <w:jc w:val="cente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drawing>
                <wp:inline distT="0" distB="0" distL="114300" distR="114300">
                  <wp:extent cx="1966595" cy="2865755"/>
                  <wp:effectExtent l="0" t="0" r="10795" b="14605"/>
                  <wp:docPr id="68" name="图片 68" descr="d2ed21bdd0df37e4fcccdd02151c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2ed21bdd0df37e4fcccdd02151c56b"/>
                          <pic:cNvPicPr>
                            <a:picLocks noChangeAspect="1"/>
                          </pic:cNvPicPr>
                        </pic:nvPicPr>
                        <pic:blipFill>
                          <a:blip r:embed="rId60"/>
                          <a:stretch>
                            <a:fillRect/>
                          </a:stretch>
                        </pic:blipFill>
                        <pic:spPr>
                          <a:xfrm rot="16200000">
                            <a:off x="0" y="0"/>
                            <a:ext cx="1966595" cy="2865755"/>
                          </a:xfrm>
                          <a:prstGeom prst="rect">
                            <a:avLst/>
                          </a:prstGeom>
                        </pic:spPr>
                      </pic:pic>
                    </a:graphicData>
                  </a:graphic>
                </wp:inline>
              </w:drawing>
            </w:r>
          </w:p>
        </w:tc>
        <w:tc>
          <w:tcPr>
            <w:tcW w:w="4530" w:type="dxa"/>
            <w:noWrap w:val="0"/>
            <w:vAlign w:val="center"/>
          </w:tcPr>
          <w:p w14:paraId="5AF8E453">
            <w:pPr>
              <w:keepNext w:val="0"/>
              <w:keepLines w:val="0"/>
              <w:suppressLineNumbers w:val="0"/>
              <w:spacing w:before="0" w:beforeAutospacing="0" w:after="0" w:afterAutospacing="0"/>
              <w:ind w:left="0" w:right="0"/>
              <w:jc w:val="cente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drawing>
                <wp:inline distT="0" distB="0" distL="114300" distR="114300">
                  <wp:extent cx="2705100" cy="2028825"/>
                  <wp:effectExtent l="0" t="0" r="0" b="9525"/>
                  <wp:docPr id="36" name="图片 36" descr="微信图片_20241113142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11131424061"/>
                          <pic:cNvPicPr>
                            <a:picLocks noChangeAspect="1"/>
                          </pic:cNvPicPr>
                        </pic:nvPicPr>
                        <pic:blipFill>
                          <a:blip r:embed="rId61"/>
                          <a:stretch>
                            <a:fillRect/>
                          </a:stretch>
                        </pic:blipFill>
                        <pic:spPr>
                          <a:xfrm>
                            <a:off x="0" y="0"/>
                            <a:ext cx="2705100" cy="2028825"/>
                          </a:xfrm>
                          <a:prstGeom prst="rect">
                            <a:avLst/>
                          </a:prstGeom>
                        </pic:spPr>
                      </pic:pic>
                    </a:graphicData>
                  </a:graphic>
                </wp:inline>
              </w:drawing>
            </w:r>
          </w:p>
        </w:tc>
      </w:tr>
      <w:tr w14:paraId="5CA1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noWrap w:val="0"/>
            <w:vAlign w:val="center"/>
          </w:tcPr>
          <w:p w14:paraId="2472C06E">
            <w:pPr>
              <w:keepNext w:val="0"/>
              <w:keepLines w:val="0"/>
              <w:suppressLineNumbers w:val="0"/>
              <w:spacing w:before="0" w:beforeAutospacing="0" w:after="0" w:afterAutospacing="0"/>
              <w:ind w:left="0" w:right="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厂区南侧X114县道</w:t>
            </w:r>
          </w:p>
        </w:tc>
        <w:tc>
          <w:tcPr>
            <w:tcW w:w="4530" w:type="dxa"/>
            <w:noWrap w:val="0"/>
            <w:vAlign w:val="center"/>
          </w:tcPr>
          <w:p w14:paraId="75786CA2">
            <w:pPr>
              <w:keepNext w:val="0"/>
              <w:keepLines w:val="0"/>
              <w:suppressLineNumbers w:val="0"/>
              <w:spacing w:before="0" w:beforeAutospacing="0" w:after="0" w:afterAutospacing="0"/>
              <w:ind w:left="0" w:right="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厂区北侧敬老中心楼</w:t>
            </w:r>
          </w:p>
        </w:tc>
      </w:tr>
    </w:tbl>
    <w:p w14:paraId="2B911503">
      <w:pPr>
        <w:pStyle w:val="5"/>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sectPr>
          <w:footerReference r:id="rId6" w:type="default"/>
          <w:pgSz w:w="16781" w:h="11849" w:orient="landscape"/>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附图3 厂区四周图</w:t>
      </w:r>
    </w:p>
    <w:p w14:paraId="69AF4EBD">
      <w:pP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4577715</wp:posOffset>
            </wp:positionH>
            <wp:positionV relativeFrom="paragraph">
              <wp:posOffset>174625</wp:posOffset>
            </wp:positionV>
            <wp:extent cx="904240" cy="838200"/>
            <wp:effectExtent l="0" t="0" r="10160" b="0"/>
            <wp:wrapNone/>
            <wp:docPr id="76" name="图片 2" descr="鸡西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descr="鸡西风玫瑰"/>
                    <pic:cNvPicPr>
                      <a:picLocks noChangeAspect="1"/>
                    </pic:cNvPicPr>
                  </pic:nvPicPr>
                  <pic:blipFill>
                    <a:blip r:embed="rId11"/>
                    <a:stretch>
                      <a:fillRect/>
                    </a:stretch>
                  </pic:blipFill>
                  <pic:spPr>
                    <a:xfrm>
                      <a:off x="0" y="0"/>
                      <a:ext cx="904240" cy="838200"/>
                    </a:xfrm>
                    <a:prstGeom prst="rect">
                      <a:avLst/>
                    </a:prstGeom>
                    <a:noFill/>
                    <a:ln>
                      <a:noFill/>
                    </a:ln>
                  </pic:spPr>
                </pic:pic>
              </a:graphicData>
            </a:graphic>
          </wp:anchor>
        </w:drawing>
      </w:r>
    </w:p>
    <w:p w14:paraId="3210EE59">
      <w:pPr>
        <w:jc w:val="center"/>
        <w:rPr>
          <w:rFonts w:hint="eastAsia" w:eastAsia="仿宋" w:cs="Times New Roman"/>
          <w:color w:val="000000" w:themeColor="text1"/>
          <w:sz w:val="21"/>
          <w:szCs w:val="21"/>
          <w:highlight w:val="none"/>
          <w:lang w:val="en-US" w:eastAsia="zh-CN"/>
          <w14:textFill>
            <w14:solidFill>
              <w14:schemeClr w14:val="tx1"/>
            </w14:solidFill>
          </w14:textFill>
        </w:rPr>
      </w:pPr>
      <w:r>
        <w:rPr>
          <w:sz w:val="21"/>
          <w:highlight w:val="none"/>
        </w:rPr>
        <mc:AlternateContent>
          <mc:Choice Requires="wps">
            <w:drawing>
              <wp:anchor distT="0" distB="0" distL="114300" distR="114300" simplePos="0" relativeHeight="251677696" behindDoc="0" locked="0" layoutInCell="1" allowOverlap="1">
                <wp:simplePos x="0" y="0"/>
                <wp:positionH relativeFrom="column">
                  <wp:posOffset>4439920</wp:posOffset>
                </wp:positionH>
                <wp:positionV relativeFrom="paragraph">
                  <wp:posOffset>6985000</wp:posOffset>
                </wp:positionV>
                <wp:extent cx="95250" cy="95250"/>
                <wp:effectExtent l="6350" t="6350" r="12700" b="12700"/>
                <wp:wrapNone/>
                <wp:docPr id="78" name="椭圆 78"/>
                <wp:cNvGraphicFramePr/>
                <a:graphic xmlns:a="http://schemas.openxmlformats.org/drawingml/2006/main">
                  <a:graphicData uri="http://schemas.microsoft.com/office/word/2010/wordprocessingShape">
                    <wps:wsp>
                      <wps:cNvSpPr/>
                      <wps:spPr>
                        <a:xfrm>
                          <a:off x="5396230" y="7583170"/>
                          <a:ext cx="95250" cy="95250"/>
                        </a:xfrm>
                        <a:prstGeom prst="ellipse">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9.6pt;margin-top:550pt;height:7.5pt;width:7.5pt;z-index:251677696;v-text-anchor:middle;mso-width-relative:page;mso-height-relative:page;" filled="f" stroked="t" coordsize="21600,21600" o:gfxdata="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B7fbdoAAAANAQAADwAAAAAAAAABACAAAAAiAAAAZHJzL2Rvd25yZXYueG1s&#10;UEsBAhQAFAAAAAgAh07iQFf1N0toAgAAwgQAAA4AAAAAAAAAAQAgAAAAKQEAAGRycy9lMm9Eb2Mu&#10;eG1sUEsFBgAAAAAGAAYAWQEAAAMGAAAAAA==&#10;">
                <v:fill on="f" focussize="0,0"/>
                <v:stroke weight="1pt" color="#FF0000 [3204]" joinstyle="round"/>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4180840</wp:posOffset>
                </wp:positionH>
                <wp:positionV relativeFrom="paragraph">
                  <wp:posOffset>6664960</wp:posOffset>
                </wp:positionV>
                <wp:extent cx="1352550" cy="1058545"/>
                <wp:effectExtent l="4445" t="4445" r="14605" b="22860"/>
                <wp:wrapNone/>
                <wp:docPr id="49" name="文本框 49"/>
                <wp:cNvGraphicFramePr/>
                <a:graphic xmlns:a="http://schemas.openxmlformats.org/drawingml/2006/main">
                  <a:graphicData uri="http://schemas.microsoft.com/office/word/2010/wordprocessingShape">
                    <wps:wsp>
                      <wps:cNvSpPr txBox="1"/>
                      <wps:spPr>
                        <a:xfrm>
                          <a:off x="0" y="0"/>
                          <a:ext cx="1352550" cy="1058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7FA00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64853FAE">
                            <w:pPr>
                              <w:pStyle w:val="4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51DB4104">
                            <w:pPr>
                              <w:pStyle w:val="42"/>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B68E339">
                            <w:pPr>
                              <w:pStyle w:val="42"/>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00608E40">
                            <w:pPr>
                              <w:pStyle w:val="4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2pt;margin-top:524.8pt;height:83.35pt;width:106.5pt;z-index:251676672;mso-width-relative:page;mso-height-relative:page;" fillcolor="#FFFFFF [3201]" filled="t" stroked="t" coordsize="21600,21600" o:gfxdata="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UtHt&#10;2QAAAA0BAAAPAAAAAAAAAAEAIAAAACIAAABkcnMvZG93bnJldi54bWxQSwECFAAUAAAACACHTuJA&#10;MYSGJlkCAAC6BAAADgAAAAAAAAABACAAAAAoAQAAZHJzL2Uyb0RvYy54bWxQSwUGAAAAAAYABgBZ&#10;AQAA8wUAAAAA&#10;">
                <v:fill on="t" focussize="0,0"/>
                <v:stroke weight="0.5pt" color="#000000 [3204]" joinstyle="round"/>
                <v:imagedata o:title=""/>
                <o:lock v:ext="edit" aspectratio="f"/>
                <v:textbox>
                  <w:txbxContent>
                    <w:p w14:paraId="0B7FA00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图例</w:t>
                      </w:r>
                    </w:p>
                    <w:p w14:paraId="64853FAE">
                      <w:pPr>
                        <w:pStyle w:val="4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DA001</w:t>
                      </w:r>
                    </w:p>
                    <w:p w14:paraId="51DB4104">
                      <w:pPr>
                        <w:pStyle w:val="42"/>
                        <w:ind w:firstLine="630" w:firstLineChars="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除尘设施</w:t>
                      </w:r>
                    </w:p>
                    <w:p w14:paraId="2B68E339">
                      <w:pPr>
                        <w:pStyle w:val="42"/>
                        <w:ind w:firstLine="630" w:firstLineChars="300"/>
                        <w:rPr>
                          <w:rFonts w:hint="default" w:ascii="Times New Roman" w:hAnsi="Times New Roman" w:eastAsia="宋体" w:cs="Times New Roman"/>
                          <w:lang w:val="en-US" w:eastAsia="zh-CN"/>
                        </w:rPr>
                      </w:pPr>
                      <w:r>
                        <w:rPr>
                          <w:rFonts w:hint="eastAsia" w:ascii="Times New Roman" w:hAnsi="Times New Roman" w:cs="Times New Roman"/>
                          <w:lang w:val="en-US" w:eastAsia="zh-CN"/>
                        </w:rPr>
                        <w:t>新增占地</w:t>
                      </w:r>
                    </w:p>
                    <w:p w14:paraId="00608E40">
                      <w:pPr>
                        <w:pStyle w:val="42"/>
                        <w:rPr>
                          <w:rFonts w:hint="default"/>
                          <w:lang w:val="en-US" w:eastAsia="zh-CN"/>
                        </w:rPr>
                      </w:pPr>
                    </w:p>
                  </w:txbxContent>
                </v:textbox>
              </v:shape>
            </w:pict>
          </mc:Fallback>
        </mc:AlternateContent>
      </w:r>
      <w:r>
        <w:rPr>
          <w:rFonts w:hint="eastAsia" w:eastAsia="仿宋" w:cs="Times New Roman"/>
          <w:color w:val="000000" w:themeColor="text1"/>
          <w:sz w:val="21"/>
          <w:szCs w:val="21"/>
          <w:highlight w:val="none"/>
          <w:lang w:val="en-US" w:eastAsia="zh-CN"/>
          <w14:textFill>
            <w14:solidFill>
              <w14:schemeClr w14:val="tx1"/>
            </w14:solidFill>
          </w14:textFill>
        </w:rPr>
        <w:drawing>
          <wp:inline distT="0" distB="0" distL="114300" distR="114300">
            <wp:extent cx="5573395" cy="6975475"/>
            <wp:effectExtent l="0" t="0" r="8255" b="15875"/>
            <wp:docPr id="91" name="图片 91" descr="548802fa354b31035d5c22736e1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48802fa354b31035d5c22736e1e307"/>
                    <pic:cNvPicPr>
                      <a:picLocks noChangeAspect="1"/>
                    </pic:cNvPicPr>
                  </pic:nvPicPr>
                  <pic:blipFill>
                    <a:blip r:embed="rId62"/>
                    <a:stretch>
                      <a:fillRect/>
                    </a:stretch>
                  </pic:blipFill>
                  <pic:spPr>
                    <a:xfrm>
                      <a:off x="0" y="0"/>
                      <a:ext cx="5573395" cy="6975475"/>
                    </a:xfrm>
                    <a:prstGeom prst="rect">
                      <a:avLst/>
                    </a:prstGeom>
                  </pic:spPr>
                </pic:pic>
              </a:graphicData>
            </a:graphic>
          </wp:inline>
        </w:drawing>
      </w:r>
    </w:p>
    <w:p w14:paraId="12728CEA">
      <w:pPr>
        <w:pStyle w:val="5"/>
        <w:bidi w:val="0"/>
        <w:jc w:val="center"/>
        <w:rPr>
          <w:rFonts w:hint="default"/>
          <w:color w:val="000000" w:themeColor="text1"/>
          <w:highlight w:val="none"/>
          <w:lang w:val="en-US" w:eastAsia="zh-CN"/>
          <w14:textFill>
            <w14:solidFill>
              <w14:schemeClr w14:val="tx1"/>
            </w14:solidFill>
          </w14:textFill>
        </w:rPr>
      </w:pPr>
      <w:r>
        <w:rPr>
          <w:sz w:val="21"/>
          <w:highlight w:val="none"/>
        </w:rPr>
        <mc:AlternateContent>
          <mc:Choice Requires="wps">
            <w:drawing>
              <wp:anchor distT="0" distB="0" distL="114300" distR="114300" simplePos="0" relativeHeight="251678720" behindDoc="0" locked="0" layoutInCell="1" allowOverlap="1">
                <wp:simplePos x="0" y="0"/>
                <wp:positionH relativeFrom="column">
                  <wp:posOffset>4457700</wp:posOffset>
                </wp:positionH>
                <wp:positionV relativeFrom="paragraph">
                  <wp:posOffset>161290</wp:posOffset>
                </wp:positionV>
                <wp:extent cx="111125" cy="111125"/>
                <wp:effectExtent l="6350" t="6350" r="15875" b="15875"/>
                <wp:wrapNone/>
                <wp:docPr id="86" name="矩形 86"/>
                <wp:cNvGraphicFramePr/>
                <a:graphic xmlns:a="http://schemas.openxmlformats.org/drawingml/2006/main">
                  <a:graphicData uri="http://schemas.microsoft.com/office/word/2010/wordprocessingShape">
                    <wps:wsp>
                      <wps:cNvSpPr/>
                      <wps:spPr>
                        <a:xfrm>
                          <a:off x="5419725" y="7773670"/>
                          <a:ext cx="111125" cy="111125"/>
                        </a:xfrm>
                        <a:prstGeom prst="rect">
                          <a:avLst/>
                        </a:prstGeom>
                        <a:ln w="12700">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pt;margin-top:12.7pt;height:8.75pt;width:8.75pt;z-index:251678720;v-text-anchor:middle;mso-width-relative:page;mso-height-relative:page;" filled="f" stroked="t" coordsize="21600,21600" o:gfxdata="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08NGJ1wAAAAkBAAAPAAAAAAAAAAEAIAAAACIAAABkcnMvZG93bnJldi54bWxQSwEC&#10;FAAUAAAACACHTuJAjLSaZmcCAADBBAAADgAAAAAAAAABACAAAAAmAQAAZHJzL2Uyb0RvYy54bWxQ&#10;SwUGAAAAAAYABgBZAQAA/wUAAAAA&#10;">
                <v:fill on="f" focussize="0,0"/>
                <v:stroke weight="1pt" color="#FF0000 [3204]" joinstyle="round"/>
                <v:imagedata o:title=""/>
                <o:lock v:ext="edit" aspectratio="f"/>
              </v:rect>
            </w:pict>
          </mc:Fallback>
        </mc:AlternateContent>
      </w:r>
      <w:r>
        <w:rPr>
          <w:sz w:val="21"/>
          <w:highlight w:val="none"/>
        </w:rPr>
        <mc:AlternateContent>
          <mc:Choice Requires="wps">
            <w:drawing>
              <wp:anchor distT="0" distB="0" distL="114300" distR="114300" simplePos="0" relativeHeight="251679744" behindDoc="0" locked="0" layoutInCell="1" allowOverlap="1">
                <wp:simplePos x="0" y="0"/>
                <wp:positionH relativeFrom="column">
                  <wp:posOffset>4439285</wp:posOffset>
                </wp:positionH>
                <wp:positionV relativeFrom="paragraph">
                  <wp:posOffset>354330</wp:posOffset>
                </wp:positionV>
                <wp:extent cx="156845" cy="156210"/>
                <wp:effectExtent l="12700" t="12700" r="20955" b="21590"/>
                <wp:wrapNone/>
                <wp:docPr id="89" name="矩形 89"/>
                <wp:cNvGraphicFramePr/>
                <a:graphic xmlns:a="http://schemas.openxmlformats.org/drawingml/2006/main">
                  <a:graphicData uri="http://schemas.microsoft.com/office/word/2010/wordprocessingShape">
                    <wps:wsp>
                      <wps:cNvSpPr/>
                      <wps:spPr>
                        <a:xfrm>
                          <a:off x="5351145" y="8021320"/>
                          <a:ext cx="156845" cy="156210"/>
                        </a:xfrm>
                        <a:prstGeom prst="rect">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55pt;margin-top:27.9pt;height:12.3pt;width:12.35pt;z-index:251679744;v-text-anchor:middle;mso-width-relative:page;mso-height-relative:page;" filled="f" stroked="t" coordsize="21600,21600" o:gfxdata="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Ts8WLVAAAACQEAAA8AAAAAAAAAAQAgAAAAIgAAAGRycy9kb3ducmV2LnhtbFBL&#10;AQIUABQAAAAIAIdO4kCv6czpawIAAMEEAAAOAAAAAAAAAAEAIAAAACQBAABkcnMvZTJvRG9jLnht&#10;bFBLBQYAAAAABgAGAFkBAAABBgAAAAA=&#10;">
                <v:fill on="f" focussize="0,0"/>
                <v:stroke weight="2pt" color="#4F81BD [3204]" joinstyle="round"/>
                <v:imagedata o:title=""/>
                <o:lock v:ext="edit" aspectratio="f"/>
              </v:rect>
            </w:pict>
          </mc:Fallback>
        </mc:AlternateConten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附图4厂区平面布置</w:t>
      </w:r>
      <w:r>
        <w:rPr>
          <w:rFonts w:hint="eastAsia" w:eastAsia="宋体" w:cs="Times New Roman"/>
          <w:color w:val="000000" w:themeColor="text1"/>
          <w:sz w:val="21"/>
          <w:szCs w:val="21"/>
          <w:highlight w:val="none"/>
          <w:lang w:val="en-US" w:eastAsia="zh-CN"/>
          <w14:textFill>
            <w14:solidFill>
              <w14:schemeClr w14:val="tx1"/>
            </w14:solidFill>
          </w14:textFill>
        </w:rPr>
        <w:t>图</w:t>
      </w:r>
    </w:p>
    <w:sectPr>
      <w:pgSz w:w="11849" w:h="16781"/>
      <w:pgMar w:top="1701" w:right="1531" w:bottom="1701" w:left="1531" w:header="851" w:footer="1077" w:gutter="0"/>
      <w:pgBorders>
        <w:top w:val="none" w:sz="0" w:space="0"/>
        <w:left w:val="none" w:sz="0" w:space="0"/>
        <w:bottom w:val="none" w:sz="0" w:space="0"/>
        <w:right w:val="none" w:sz="0" w:space="0"/>
      </w:pgBorders>
      <w:pgNumType w:fmt="numberInDash"/>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new times roma">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7ABC5">
    <w:pPr>
      <w:pStyle w:val="19"/>
      <w:tabs>
        <w:tab w:val="center" w:pos="4121"/>
        <w:tab w:val="clear" w:pos="4153"/>
      </w:tabs>
      <w:ind w:right="360" w:firstLine="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DE869">
    <w:pPr>
      <w:pStyle w:val="19"/>
      <w:tabs>
        <w:tab w:val="center" w:pos="4121"/>
        <w:tab w:val="clear" w:pos="4153"/>
      </w:tabs>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8C34F">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0E8C34F">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1717F">
    <w:pPr>
      <w:pStyle w:val="19"/>
      <w:tabs>
        <w:tab w:val="center" w:pos="4121"/>
        <w:tab w:val="clear" w:pos="4153"/>
      </w:tabs>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884B3">
                          <w:pPr>
                            <w:pStyle w:val="1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CA884B3">
                    <w:pPr>
                      <w:pStyle w:val="19"/>
                    </w:pPr>
                    <w:r>
                      <w:fldChar w:fldCharType="begin"/>
                    </w:r>
                    <w:r>
                      <w:instrText xml:space="preserve"> PAGE  \* MERGEFORMAT </w:instrText>
                    </w:r>
                    <w:r>
                      <w:fldChar w:fldCharType="separate"/>
                    </w:r>
                    <w:r>
                      <w:t>28</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9E9D">
    <w:pPr>
      <w:pStyle w:val="19"/>
      <w:tabs>
        <w:tab w:val="center" w:pos="4121"/>
        <w:tab w:val="clear" w:pos="4153"/>
        <w:tab w:val="clear" w:pos="8306"/>
      </w:tabs>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A80B1">
                          <w:pPr>
                            <w:pStyle w:val="1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594A80B1">
                    <w:pPr>
                      <w:pStyle w:val="19"/>
                    </w:pPr>
                    <w:r>
                      <w:fldChar w:fldCharType="begin"/>
                    </w:r>
                    <w:r>
                      <w:instrText xml:space="preserve"> PAGE  \* MERGEFORMAT </w:instrText>
                    </w:r>
                    <w:r>
                      <w:fldChar w:fldCharType="separate"/>
                    </w:r>
                    <w:r>
                      <w:t>93</w:t>
                    </w:r>
                    <w:r>
                      <w:fldChar w:fldCharType="end"/>
                    </w:r>
                  </w:p>
                </w:txbxContent>
              </v:textbox>
            </v:shape>
          </w:pict>
        </mc:Fallback>
      </mc:AlternateContent>
    </w:r>
    <w:r>
      <w:rPr>
        <w:rFonts w:hint="eastAsia"/>
      </w:rPr>
      <w:tab/>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824DE"/>
    <w:multiLevelType w:val="singleLevel"/>
    <w:tmpl w:val="8EE824DE"/>
    <w:lvl w:ilvl="0" w:tentative="0">
      <w:start w:val="7"/>
      <w:numFmt w:val="decimal"/>
      <w:suff w:val="nothing"/>
      <w:lvlText w:val="%1）"/>
      <w:lvlJc w:val="left"/>
    </w:lvl>
  </w:abstractNum>
  <w:abstractNum w:abstractNumId="1">
    <w:nsid w:val="8FC3F996"/>
    <w:multiLevelType w:val="singleLevel"/>
    <w:tmpl w:val="8FC3F996"/>
    <w:lvl w:ilvl="0" w:tentative="0">
      <w:start w:val="1"/>
      <w:numFmt w:val="chineseCounting"/>
      <w:suff w:val="nothing"/>
      <w:lvlText w:val="%1、"/>
      <w:lvlJc w:val="left"/>
      <w:pPr>
        <w:ind w:left="0"/>
      </w:pPr>
      <w:rPr>
        <w:rFonts w:hint="eastAsia"/>
      </w:rPr>
    </w:lvl>
  </w:abstractNum>
  <w:abstractNum w:abstractNumId="2">
    <w:nsid w:val="A2F8ED4F"/>
    <w:multiLevelType w:val="singleLevel"/>
    <w:tmpl w:val="A2F8ED4F"/>
    <w:lvl w:ilvl="0" w:tentative="0">
      <w:start w:val="2"/>
      <w:numFmt w:val="decimal"/>
      <w:pStyle w:val="134"/>
      <w:suff w:val="nothing"/>
      <w:lvlText w:val="（%1）"/>
      <w:lvlJc w:val="left"/>
    </w:lvl>
  </w:abstractNum>
  <w:abstractNum w:abstractNumId="3">
    <w:nsid w:val="D53E88B3"/>
    <w:multiLevelType w:val="singleLevel"/>
    <w:tmpl w:val="D53E88B3"/>
    <w:lvl w:ilvl="0" w:tentative="0">
      <w:start w:val="1"/>
      <w:numFmt w:val="decimal"/>
      <w:suff w:val="nothing"/>
      <w:lvlText w:val="%1、"/>
      <w:lvlJc w:val="left"/>
    </w:lvl>
  </w:abstractNum>
  <w:abstractNum w:abstractNumId="4">
    <w:nsid w:val="14861248"/>
    <w:multiLevelType w:val="multilevel"/>
    <w:tmpl w:val="14861248"/>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7"/>
      <w:suff w:val="nothing"/>
      <w:lvlText w:val="%1.%2.%3"/>
      <w:lvlJc w:val="left"/>
      <w:pPr>
        <w:ind w:left="3261" w:hanging="851"/>
      </w:pPr>
    </w:lvl>
    <w:lvl w:ilvl="3" w:tentative="0">
      <w:start w:val="1"/>
      <w:numFmt w:val="decimal"/>
      <w:pStyle w:val="8"/>
      <w:suff w:val="nothing"/>
      <w:lvlText w:val="%1.%2.%3.%4"/>
      <w:lvlJc w:val="left"/>
      <w:pPr>
        <w:ind w:left="3415" w:hanging="864"/>
      </w:p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379C28FF"/>
    <w:multiLevelType w:val="singleLevel"/>
    <w:tmpl w:val="379C28FF"/>
    <w:lvl w:ilvl="0" w:tentative="0">
      <w:start w:val="5"/>
      <w:numFmt w:val="decimal"/>
      <w:suff w:val="nothing"/>
      <w:lvlText w:val="%1、"/>
      <w:lvlJc w:val="left"/>
    </w:lvl>
  </w:abstractNum>
  <w:abstractNum w:abstractNumId="6">
    <w:nsid w:val="47C032C3"/>
    <w:multiLevelType w:val="singleLevel"/>
    <w:tmpl w:val="47C032C3"/>
    <w:lvl w:ilvl="0" w:tentative="0">
      <w:start w:val="1"/>
      <w:numFmt w:val="decimal"/>
      <w:suff w:val="nothing"/>
      <w:lvlText w:val="%1、"/>
      <w:lvlJc w:val="left"/>
    </w:lvl>
  </w:abstractNum>
  <w:abstractNum w:abstractNumId="7">
    <w:nsid w:val="4FFD0C1F"/>
    <w:multiLevelType w:val="singleLevel"/>
    <w:tmpl w:val="4FFD0C1F"/>
    <w:lvl w:ilvl="0" w:tentative="0">
      <w:start w:val="1"/>
      <w:numFmt w:val="chineseCounting"/>
      <w:suff w:val="nothing"/>
      <w:lvlText w:val="%1、"/>
      <w:lvlJc w:val="left"/>
      <w:rPr>
        <w:rFonts w:hint="eastAsia"/>
      </w:rPr>
    </w:lvl>
  </w:abstractNum>
  <w:abstractNum w:abstractNumId="8">
    <w:nsid w:val="507F3531"/>
    <w:multiLevelType w:val="singleLevel"/>
    <w:tmpl w:val="507F3531"/>
    <w:lvl w:ilvl="0" w:tentative="0">
      <w:start w:val="8"/>
      <w:numFmt w:val="decimal"/>
      <w:suff w:val="nothing"/>
      <w:lvlText w:val="%1、"/>
      <w:lvlJc w:val="left"/>
    </w:lvl>
  </w:abstractNum>
  <w:num w:numId="1">
    <w:abstractNumId w:val="4"/>
  </w:num>
  <w:num w:numId="2">
    <w:abstractNumId w:val="2"/>
  </w:num>
  <w:num w:numId="3">
    <w:abstractNumId w:val="8"/>
  </w:num>
  <w:num w:numId="4">
    <w:abstractNumId w:val="1"/>
  </w:num>
  <w:num w:numId="5">
    <w:abstractNumId w:val="3"/>
  </w:num>
  <w:num w:numId="6">
    <w:abstractNumId w:val="6"/>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8"/>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mMzQ1MTAwZDg4M2M3ZGE5ODhkNTE5MjAwOTUxYTkifQ=="/>
  </w:docVars>
  <w:rsids>
    <w:rsidRoot w:val="00172A27"/>
    <w:rsid w:val="00001CED"/>
    <w:rsid w:val="00001E67"/>
    <w:rsid w:val="00003CD8"/>
    <w:rsid w:val="00014965"/>
    <w:rsid w:val="0001523A"/>
    <w:rsid w:val="00016ECB"/>
    <w:rsid w:val="000269F6"/>
    <w:rsid w:val="00031939"/>
    <w:rsid w:val="00032D25"/>
    <w:rsid w:val="0005219D"/>
    <w:rsid w:val="0005568F"/>
    <w:rsid w:val="00060C6A"/>
    <w:rsid w:val="0006153D"/>
    <w:rsid w:val="00061B1F"/>
    <w:rsid w:val="000664DB"/>
    <w:rsid w:val="00066EBC"/>
    <w:rsid w:val="000701C4"/>
    <w:rsid w:val="0007127D"/>
    <w:rsid w:val="00071AE5"/>
    <w:rsid w:val="00074783"/>
    <w:rsid w:val="000763E4"/>
    <w:rsid w:val="00076D34"/>
    <w:rsid w:val="000801E0"/>
    <w:rsid w:val="00082A29"/>
    <w:rsid w:val="0008331D"/>
    <w:rsid w:val="00083C18"/>
    <w:rsid w:val="00092899"/>
    <w:rsid w:val="00097F13"/>
    <w:rsid w:val="000A002F"/>
    <w:rsid w:val="000A178E"/>
    <w:rsid w:val="000A557E"/>
    <w:rsid w:val="000B058F"/>
    <w:rsid w:val="000B44D3"/>
    <w:rsid w:val="000B693F"/>
    <w:rsid w:val="000C09AC"/>
    <w:rsid w:val="000C0A63"/>
    <w:rsid w:val="000C437E"/>
    <w:rsid w:val="000E5F16"/>
    <w:rsid w:val="000F4452"/>
    <w:rsid w:val="000F6DA1"/>
    <w:rsid w:val="000F6F68"/>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2E78"/>
    <w:rsid w:val="0017504D"/>
    <w:rsid w:val="00177422"/>
    <w:rsid w:val="00184F10"/>
    <w:rsid w:val="00185546"/>
    <w:rsid w:val="00186BF0"/>
    <w:rsid w:val="0019146B"/>
    <w:rsid w:val="00193414"/>
    <w:rsid w:val="00194398"/>
    <w:rsid w:val="001A64C4"/>
    <w:rsid w:val="001A7D2A"/>
    <w:rsid w:val="001B574C"/>
    <w:rsid w:val="001C0AF9"/>
    <w:rsid w:val="001C155A"/>
    <w:rsid w:val="001C48C0"/>
    <w:rsid w:val="001C66E0"/>
    <w:rsid w:val="001D1BE5"/>
    <w:rsid w:val="001D6726"/>
    <w:rsid w:val="001E600B"/>
    <w:rsid w:val="001F3347"/>
    <w:rsid w:val="001F4440"/>
    <w:rsid w:val="001F69E4"/>
    <w:rsid w:val="00206A65"/>
    <w:rsid w:val="00210D6B"/>
    <w:rsid w:val="00212D31"/>
    <w:rsid w:val="002130C7"/>
    <w:rsid w:val="00217428"/>
    <w:rsid w:val="002218A8"/>
    <w:rsid w:val="0022306D"/>
    <w:rsid w:val="00226574"/>
    <w:rsid w:val="002278EC"/>
    <w:rsid w:val="002357C7"/>
    <w:rsid w:val="002367C4"/>
    <w:rsid w:val="0025679E"/>
    <w:rsid w:val="00260C68"/>
    <w:rsid w:val="002648B0"/>
    <w:rsid w:val="00275271"/>
    <w:rsid w:val="0027535E"/>
    <w:rsid w:val="0027562F"/>
    <w:rsid w:val="00275AA6"/>
    <w:rsid w:val="002807D5"/>
    <w:rsid w:val="00282CCD"/>
    <w:rsid w:val="002A168C"/>
    <w:rsid w:val="002A2C48"/>
    <w:rsid w:val="002A3EED"/>
    <w:rsid w:val="002A4A39"/>
    <w:rsid w:val="002A5A17"/>
    <w:rsid w:val="002A6425"/>
    <w:rsid w:val="002B49E2"/>
    <w:rsid w:val="002B6923"/>
    <w:rsid w:val="002B7B00"/>
    <w:rsid w:val="002B7C44"/>
    <w:rsid w:val="002C1388"/>
    <w:rsid w:val="002C3C6A"/>
    <w:rsid w:val="002D42DB"/>
    <w:rsid w:val="002E1F3A"/>
    <w:rsid w:val="002E28C7"/>
    <w:rsid w:val="002E298A"/>
    <w:rsid w:val="002F02A4"/>
    <w:rsid w:val="002F272B"/>
    <w:rsid w:val="002F7C6D"/>
    <w:rsid w:val="003027E4"/>
    <w:rsid w:val="0030332C"/>
    <w:rsid w:val="00303F39"/>
    <w:rsid w:val="00312296"/>
    <w:rsid w:val="0031340E"/>
    <w:rsid w:val="00316464"/>
    <w:rsid w:val="0032073A"/>
    <w:rsid w:val="00321D8E"/>
    <w:rsid w:val="00334996"/>
    <w:rsid w:val="00335D51"/>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D6656"/>
    <w:rsid w:val="003E665D"/>
    <w:rsid w:val="003E7681"/>
    <w:rsid w:val="003F0809"/>
    <w:rsid w:val="003F611C"/>
    <w:rsid w:val="003F6A92"/>
    <w:rsid w:val="003F755C"/>
    <w:rsid w:val="00406F01"/>
    <w:rsid w:val="00411B36"/>
    <w:rsid w:val="00411CA3"/>
    <w:rsid w:val="004121D7"/>
    <w:rsid w:val="00416D50"/>
    <w:rsid w:val="00417772"/>
    <w:rsid w:val="00420E6A"/>
    <w:rsid w:val="00430200"/>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C60C9"/>
    <w:rsid w:val="004D6899"/>
    <w:rsid w:val="004E43BF"/>
    <w:rsid w:val="004E5B30"/>
    <w:rsid w:val="004E7D88"/>
    <w:rsid w:val="004F0779"/>
    <w:rsid w:val="004F1230"/>
    <w:rsid w:val="004F173F"/>
    <w:rsid w:val="004F177C"/>
    <w:rsid w:val="004F2DCE"/>
    <w:rsid w:val="005039CB"/>
    <w:rsid w:val="0050558F"/>
    <w:rsid w:val="005057E0"/>
    <w:rsid w:val="00506286"/>
    <w:rsid w:val="00510813"/>
    <w:rsid w:val="00511DE0"/>
    <w:rsid w:val="00515C5E"/>
    <w:rsid w:val="00517F02"/>
    <w:rsid w:val="005221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C088A"/>
    <w:rsid w:val="005D0369"/>
    <w:rsid w:val="005D4603"/>
    <w:rsid w:val="005D53FE"/>
    <w:rsid w:val="005D7A0F"/>
    <w:rsid w:val="005E0438"/>
    <w:rsid w:val="005E1791"/>
    <w:rsid w:val="005E24E7"/>
    <w:rsid w:val="005E2CE6"/>
    <w:rsid w:val="005E6324"/>
    <w:rsid w:val="005F228B"/>
    <w:rsid w:val="005F29CD"/>
    <w:rsid w:val="005F4DFB"/>
    <w:rsid w:val="005F6CC0"/>
    <w:rsid w:val="00603E5B"/>
    <w:rsid w:val="00604BC8"/>
    <w:rsid w:val="00615B4C"/>
    <w:rsid w:val="00615B5D"/>
    <w:rsid w:val="0062146F"/>
    <w:rsid w:val="00627E6B"/>
    <w:rsid w:val="006343AF"/>
    <w:rsid w:val="0063634A"/>
    <w:rsid w:val="0064250D"/>
    <w:rsid w:val="006535EB"/>
    <w:rsid w:val="00663016"/>
    <w:rsid w:val="00674605"/>
    <w:rsid w:val="006748B8"/>
    <w:rsid w:val="0068535B"/>
    <w:rsid w:val="0068736E"/>
    <w:rsid w:val="0069290A"/>
    <w:rsid w:val="00694990"/>
    <w:rsid w:val="00697032"/>
    <w:rsid w:val="006975AC"/>
    <w:rsid w:val="006A15FB"/>
    <w:rsid w:val="006A72BF"/>
    <w:rsid w:val="006B332A"/>
    <w:rsid w:val="006B33BD"/>
    <w:rsid w:val="006B6D1F"/>
    <w:rsid w:val="006C3F75"/>
    <w:rsid w:val="006D170E"/>
    <w:rsid w:val="006E06AF"/>
    <w:rsid w:val="006F1789"/>
    <w:rsid w:val="00706C5D"/>
    <w:rsid w:val="007118E6"/>
    <w:rsid w:val="007225C9"/>
    <w:rsid w:val="00733E26"/>
    <w:rsid w:val="00735CD7"/>
    <w:rsid w:val="00754034"/>
    <w:rsid w:val="00754BF1"/>
    <w:rsid w:val="00755A30"/>
    <w:rsid w:val="00755DF0"/>
    <w:rsid w:val="00755E1C"/>
    <w:rsid w:val="00756556"/>
    <w:rsid w:val="0076132B"/>
    <w:rsid w:val="007623AE"/>
    <w:rsid w:val="00770B19"/>
    <w:rsid w:val="00774FA0"/>
    <w:rsid w:val="00776620"/>
    <w:rsid w:val="00777B6D"/>
    <w:rsid w:val="0078143C"/>
    <w:rsid w:val="00784855"/>
    <w:rsid w:val="00784F39"/>
    <w:rsid w:val="0078545C"/>
    <w:rsid w:val="0078768E"/>
    <w:rsid w:val="007906C4"/>
    <w:rsid w:val="007940EA"/>
    <w:rsid w:val="007967E8"/>
    <w:rsid w:val="007A165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795"/>
    <w:rsid w:val="00814FFB"/>
    <w:rsid w:val="00820568"/>
    <w:rsid w:val="00831A80"/>
    <w:rsid w:val="008332C8"/>
    <w:rsid w:val="00833743"/>
    <w:rsid w:val="008340A4"/>
    <w:rsid w:val="00836799"/>
    <w:rsid w:val="00837028"/>
    <w:rsid w:val="00837131"/>
    <w:rsid w:val="00843E1B"/>
    <w:rsid w:val="00845F57"/>
    <w:rsid w:val="008521E0"/>
    <w:rsid w:val="008525B0"/>
    <w:rsid w:val="00852A28"/>
    <w:rsid w:val="00867CBC"/>
    <w:rsid w:val="00876C30"/>
    <w:rsid w:val="00877017"/>
    <w:rsid w:val="008773C0"/>
    <w:rsid w:val="00880364"/>
    <w:rsid w:val="00886C4C"/>
    <w:rsid w:val="0088711C"/>
    <w:rsid w:val="0089189B"/>
    <w:rsid w:val="00892ECF"/>
    <w:rsid w:val="00892F06"/>
    <w:rsid w:val="00894285"/>
    <w:rsid w:val="008A40AE"/>
    <w:rsid w:val="008A4E19"/>
    <w:rsid w:val="008A67C5"/>
    <w:rsid w:val="008B1170"/>
    <w:rsid w:val="008B22E1"/>
    <w:rsid w:val="008B3C78"/>
    <w:rsid w:val="008B4AE9"/>
    <w:rsid w:val="008C30AD"/>
    <w:rsid w:val="008C6C96"/>
    <w:rsid w:val="008D068E"/>
    <w:rsid w:val="008D0F7A"/>
    <w:rsid w:val="008D313A"/>
    <w:rsid w:val="008D63BE"/>
    <w:rsid w:val="008E0CFF"/>
    <w:rsid w:val="008E5D6B"/>
    <w:rsid w:val="008E689B"/>
    <w:rsid w:val="008E76F0"/>
    <w:rsid w:val="008F15FE"/>
    <w:rsid w:val="008F2A94"/>
    <w:rsid w:val="008F5187"/>
    <w:rsid w:val="008F6EB2"/>
    <w:rsid w:val="008F709C"/>
    <w:rsid w:val="00900FC3"/>
    <w:rsid w:val="0090312B"/>
    <w:rsid w:val="00904961"/>
    <w:rsid w:val="0091736D"/>
    <w:rsid w:val="009269A2"/>
    <w:rsid w:val="00931001"/>
    <w:rsid w:val="00931863"/>
    <w:rsid w:val="00933524"/>
    <w:rsid w:val="00936276"/>
    <w:rsid w:val="0094278D"/>
    <w:rsid w:val="00951FEE"/>
    <w:rsid w:val="0095308A"/>
    <w:rsid w:val="00953D9C"/>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0FA4"/>
    <w:rsid w:val="009A72C7"/>
    <w:rsid w:val="009B0897"/>
    <w:rsid w:val="009D0852"/>
    <w:rsid w:val="009D1FBF"/>
    <w:rsid w:val="009D3880"/>
    <w:rsid w:val="009E399C"/>
    <w:rsid w:val="009E43C1"/>
    <w:rsid w:val="009E7E95"/>
    <w:rsid w:val="009F116F"/>
    <w:rsid w:val="009F329E"/>
    <w:rsid w:val="009F5089"/>
    <w:rsid w:val="009F7ED3"/>
    <w:rsid w:val="00A010BF"/>
    <w:rsid w:val="00A03607"/>
    <w:rsid w:val="00A047FF"/>
    <w:rsid w:val="00A04FEF"/>
    <w:rsid w:val="00A122CD"/>
    <w:rsid w:val="00A12A32"/>
    <w:rsid w:val="00A14248"/>
    <w:rsid w:val="00A14947"/>
    <w:rsid w:val="00A1745D"/>
    <w:rsid w:val="00A23DC5"/>
    <w:rsid w:val="00A34028"/>
    <w:rsid w:val="00A35568"/>
    <w:rsid w:val="00A37056"/>
    <w:rsid w:val="00A40483"/>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97848"/>
    <w:rsid w:val="00AA2C17"/>
    <w:rsid w:val="00AA3CEC"/>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1118"/>
    <w:rsid w:val="00B24F30"/>
    <w:rsid w:val="00B31ABF"/>
    <w:rsid w:val="00B32474"/>
    <w:rsid w:val="00B335AE"/>
    <w:rsid w:val="00B37CE1"/>
    <w:rsid w:val="00B40ACF"/>
    <w:rsid w:val="00B46918"/>
    <w:rsid w:val="00B46BAA"/>
    <w:rsid w:val="00B503C6"/>
    <w:rsid w:val="00B50B5F"/>
    <w:rsid w:val="00B54128"/>
    <w:rsid w:val="00B55826"/>
    <w:rsid w:val="00B60426"/>
    <w:rsid w:val="00B622DD"/>
    <w:rsid w:val="00B63522"/>
    <w:rsid w:val="00B76F1D"/>
    <w:rsid w:val="00B92A19"/>
    <w:rsid w:val="00B93F2F"/>
    <w:rsid w:val="00B9544C"/>
    <w:rsid w:val="00B95CDD"/>
    <w:rsid w:val="00BA29E9"/>
    <w:rsid w:val="00BB3618"/>
    <w:rsid w:val="00BC0C9E"/>
    <w:rsid w:val="00BC32DC"/>
    <w:rsid w:val="00BC57CD"/>
    <w:rsid w:val="00BD1B51"/>
    <w:rsid w:val="00BD47F6"/>
    <w:rsid w:val="00BE312D"/>
    <w:rsid w:val="00BE3FCA"/>
    <w:rsid w:val="00BF720C"/>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D79DA"/>
    <w:rsid w:val="00CE02CD"/>
    <w:rsid w:val="00CE10E9"/>
    <w:rsid w:val="00CF3752"/>
    <w:rsid w:val="00CF535D"/>
    <w:rsid w:val="00D0072E"/>
    <w:rsid w:val="00D12B9C"/>
    <w:rsid w:val="00D15727"/>
    <w:rsid w:val="00D16332"/>
    <w:rsid w:val="00D24972"/>
    <w:rsid w:val="00D2515E"/>
    <w:rsid w:val="00D308ED"/>
    <w:rsid w:val="00D40D69"/>
    <w:rsid w:val="00D51461"/>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E0A62"/>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A6F52"/>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4F67"/>
    <w:rsid w:val="00F465A7"/>
    <w:rsid w:val="00F50B7C"/>
    <w:rsid w:val="00F5202D"/>
    <w:rsid w:val="00F52A8D"/>
    <w:rsid w:val="00F52CF6"/>
    <w:rsid w:val="00F54496"/>
    <w:rsid w:val="00F61097"/>
    <w:rsid w:val="00F74345"/>
    <w:rsid w:val="00F74441"/>
    <w:rsid w:val="00F77F30"/>
    <w:rsid w:val="00F82589"/>
    <w:rsid w:val="00F82B19"/>
    <w:rsid w:val="00F90AA7"/>
    <w:rsid w:val="00F9212D"/>
    <w:rsid w:val="00FA301A"/>
    <w:rsid w:val="00FA406A"/>
    <w:rsid w:val="00FA5CB6"/>
    <w:rsid w:val="00FC3E1B"/>
    <w:rsid w:val="00FC66AC"/>
    <w:rsid w:val="00FD18F4"/>
    <w:rsid w:val="00FD74B4"/>
    <w:rsid w:val="00FF6FCE"/>
    <w:rsid w:val="00FF7518"/>
    <w:rsid w:val="00FF7FD8"/>
    <w:rsid w:val="01010593"/>
    <w:rsid w:val="01017684"/>
    <w:rsid w:val="01020556"/>
    <w:rsid w:val="010351AA"/>
    <w:rsid w:val="010A6538"/>
    <w:rsid w:val="01134188"/>
    <w:rsid w:val="01161381"/>
    <w:rsid w:val="01192C1F"/>
    <w:rsid w:val="011A24F4"/>
    <w:rsid w:val="011B6997"/>
    <w:rsid w:val="011C62C9"/>
    <w:rsid w:val="01211AD4"/>
    <w:rsid w:val="012D0479"/>
    <w:rsid w:val="012F41F1"/>
    <w:rsid w:val="01323CE1"/>
    <w:rsid w:val="01415CD2"/>
    <w:rsid w:val="014468F6"/>
    <w:rsid w:val="01483505"/>
    <w:rsid w:val="014852B3"/>
    <w:rsid w:val="01487061"/>
    <w:rsid w:val="014F219D"/>
    <w:rsid w:val="014F4893"/>
    <w:rsid w:val="01505F15"/>
    <w:rsid w:val="0151367A"/>
    <w:rsid w:val="01527EDF"/>
    <w:rsid w:val="015E6884"/>
    <w:rsid w:val="01610122"/>
    <w:rsid w:val="016539DF"/>
    <w:rsid w:val="01697764"/>
    <w:rsid w:val="016D6AC7"/>
    <w:rsid w:val="0176597C"/>
    <w:rsid w:val="017C6910"/>
    <w:rsid w:val="017D31AE"/>
    <w:rsid w:val="01804A4C"/>
    <w:rsid w:val="018362EB"/>
    <w:rsid w:val="018B32D0"/>
    <w:rsid w:val="01910A08"/>
    <w:rsid w:val="019422A6"/>
    <w:rsid w:val="0194674A"/>
    <w:rsid w:val="0196601E"/>
    <w:rsid w:val="019B3634"/>
    <w:rsid w:val="019C0823"/>
    <w:rsid w:val="019F1F35"/>
    <w:rsid w:val="01A3073B"/>
    <w:rsid w:val="01A56261"/>
    <w:rsid w:val="01A717A9"/>
    <w:rsid w:val="01AD5116"/>
    <w:rsid w:val="01B110AA"/>
    <w:rsid w:val="01B30A50"/>
    <w:rsid w:val="01B34E22"/>
    <w:rsid w:val="01B464A4"/>
    <w:rsid w:val="01B666C0"/>
    <w:rsid w:val="01BA61B0"/>
    <w:rsid w:val="01C2082B"/>
    <w:rsid w:val="01C44B91"/>
    <w:rsid w:val="01C7267B"/>
    <w:rsid w:val="01C901A1"/>
    <w:rsid w:val="01CE57B8"/>
    <w:rsid w:val="01D30B9A"/>
    <w:rsid w:val="01D31020"/>
    <w:rsid w:val="01D35E86"/>
    <w:rsid w:val="01D37272"/>
    <w:rsid w:val="01D46B46"/>
    <w:rsid w:val="01D6466C"/>
    <w:rsid w:val="01D803E5"/>
    <w:rsid w:val="01E07299"/>
    <w:rsid w:val="01E62463"/>
    <w:rsid w:val="01E764AF"/>
    <w:rsid w:val="01E9759B"/>
    <w:rsid w:val="01EA0118"/>
    <w:rsid w:val="01EC0334"/>
    <w:rsid w:val="01ED7C29"/>
    <w:rsid w:val="01EF3980"/>
    <w:rsid w:val="01F42D45"/>
    <w:rsid w:val="01FB40D3"/>
    <w:rsid w:val="020411DA"/>
    <w:rsid w:val="02070CCA"/>
    <w:rsid w:val="02077A8A"/>
    <w:rsid w:val="020D4CA4"/>
    <w:rsid w:val="020F7B7E"/>
    <w:rsid w:val="02117D9A"/>
    <w:rsid w:val="0213766F"/>
    <w:rsid w:val="02145195"/>
    <w:rsid w:val="02145238"/>
    <w:rsid w:val="021740F7"/>
    <w:rsid w:val="021A6C4F"/>
    <w:rsid w:val="021E7DCE"/>
    <w:rsid w:val="02217FDE"/>
    <w:rsid w:val="022655F4"/>
    <w:rsid w:val="02290C40"/>
    <w:rsid w:val="02291B07"/>
    <w:rsid w:val="022C24DE"/>
    <w:rsid w:val="022E26FA"/>
    <w:rsid w:val="023B0973"/>
    <w:rsid w:val="023B1CD9"/>
    <w:rsid w:val="02441F1E"/>
    <w:rsid w:val="02447828"/>
    <w:rsid w:val="024B6E08"/>
    <w:rsid w:val="025657AD"/>
    <w:rsid w:val="025739FF"/>
    <w:rsid w:val="02581525"/>
    <w:rsid w:val="02595DB9"/>
    <w:rsid w:val="025A704C"/>
    <w:rsid w:val="02693733"/>
    <w:rsid w:val="026976F5"/>
    <w:rsid w:val="026C4FD1"/>
    <w:rsid w:val="026E0D49"/>
    <w:rsid w:val="026E2029"/>
    <w:rsid w:val="027125E7"/>
    <w:rsid w:val="02756840"/>
    <w:rsid w:val="02783976"/>
    <w:rsid w:val="027A76EE"/>
    <w:rsid w:val="027C5214"/>
    <w:rsid w:val="027E18B7"/>
    <w:rsid w:val="02816E42"/>
    <w:rsid w:val="02832A46"/>
    <w:rsid w:val="028440C8"/>
    <w:rsid w:val="02936A01"/>
    <w:rsid w:val="0295277A"/>
    <w:rsid w:val="029C3B08"/>
    <w:rsid w:val="029E562B"/>
    <w:rsid w:val="02A14633"/>
    <w:rsid w:val="02A40196"/>
    <w:rsid w:val="02A76009"/>
    <w:rsid w:val="02A97FD3"/>
    <w:rsid w:val="02AB3D4B"/>
    <w:rsid w:val="02B50726"/>
    <w:rsid w:val="02B56978"/>
    <w:rsid w:val="02B6369A"/>
    <w:rsid w:val="02C40969"/>
    <w:rsid w:val="02C60B85"/>
    <w:rsid w:val="02C941D1"/>
    <w:rsid w:val="02CE4CF7"/>
    <w:rsid w:val="02D54924"/>
    <w:rsid w:val="02D908B8"/>
    <w:rsid w:val="02E2723F"/>
    <w:rsid w:val="02E42DB9"/>
    <w:rsid w:val="02E74049"/>
    <w:rsid w:val="02E80AFB"/>
    <w:rsid w:val="02EC0712"/>
    <w:rsid w:val="02EF1E8A"/>
    <w:rsid w:val="02F54FC6"/>
    <w:rsid w:val="02F76F90"/>
    <w:rsid w:val="02FD4D40"/>
    <w:rsid w:val="02FE031F"/>
    <w:rsid w:val="0301396B"/>
    <w:rsid w:val="03031491"/>
    <w:rsid w:val="030D0562"/>
    <w:rsid w:val="03165668"/>
    <w:rsid w:val="0317318F"/>
    <w:rsid w:val="031C2553"/>
    <w:rsid w:val="03206072"/>
    <w:rsid w:val="03217B69"/>
    <w:rsid w:val="03253AFD"/>
    <w:rsid w:val="032558AB"/>
    <w:rsid w:val="03265180"/>
    <w:rsid w:val="032A1114"/>
    <w:rsid w:val="032C4E8C"/>
    <w:rsid w:val="032D4760"/>
    <w:rsid w:val="032F5C6D"/>
    <w:rsid w:val="03367AB9"/>
    <w:rsid w:val="033710B6"/>
    <w:rsid w:val="03391357"/>
    <w:rsid w:val="03393105"/>
    <w:rsid w:val="033A0C2B"/>
    <w:rsid w:val="033A62E9"/>
    <w:rsid w:val="033C40A2"/>
    <w:rsid w:val="033E071B"/>
    <w:rsid w:val="033E4BBF"/>
    <w:rsid w:val="034321D6"/>
    <w:rsid w:val="03455F4E"/>
    <w:rsid w:val="034A70C0"/>
    <w:rsid w:val="034E72B8"/>
    <w:rsid w:val="035148F2"/>
    <w:rsid w:val="03546191"/>
    <w:rsid w:val="03547F3F"/>
    <w:rsid w:val="035717DD"/>
    <w:rsid w:val="036B7087"/>
    <w:rsid w:val="037212ED"/>
    <w:rsid w:val="03726617"/>
    <w:rsid w:val="0374413D"/>
    <w:rsid w:val="0385634A"/>
    <w:rsid w:val="038A3960"/>
    <w:rsid w:val="038C592B"/>
    <w:rsid w:val="038D3451"/>
    <w:rsid w:val="038D4A2D"/>
    <w:rsid w:val="03927D69"/>
    <w:rsid w:val="039B3DC0"/>
    <w:rsid w:val="039B791C"/>
    <w:rsid w:val="039C407F"/>
    <w:rsid w:val="039C5442"/>
    <w:rsid w:val="03A013D6"/>
    <w:rsid w:val="03A2514E"/>
    <w:rsid w:val="03A72764"/>
    <w:rsid w:val="03B31109"/>
    <w:rsid w:val="03B804CE"/>
    <w:rsid w:val="03B978B9"/>
    <w:rsid w:val="03BB7FBE"/>
    <w:rsid w:val="03C245F7"/>
    <w:rsid w:val="03C42CC6"/>
    <w:rsid w:val="03C9309C"/>
    <w:rsid w:val="03CA6453"/>
    <w:rsid w:val="03CC265C"/>
    <w:rsid w:val="03CD1261"/>
    <w:rsid w:val="03CD1A9F"/>
    <w:rsid w:val="03D41080"/>
    <w:rsid w:val="03D472D2"/>
    <w:rsid w:val="03DF1EFE"/>
    <w:rsid w:val="03DF6A02"/>
    <w:rsid w:val="03E017D2"/>
    <w:rsid w:val="03E54254"/>
    <w:rsid w:val="03E56DE9"/>
    <w:rsid w:val="03E80687"/>
    <w:rsid w:val="03E97CDC"/>
    <w:rsid w:val="03EA43FF"/>
    <w:rsid w:val="03EE0393"/>
    <w:rsid w:val="03EF4CA9"/>
    <w:rsid w:val="03EF5EB9"/>
    <w:rsid w:val="03F56037"/>
    <w:rsid w:val="03F62DA4"/>
    <w:rsid w:val="03FD4132"/>
    <w:rsid w:val="03FE341B"/>
    <w:rsid w:val="03FE4B5C"/>
    <w:rsid w:val="04001FDF"/>
    <w:rsid w:val="040556DD"/>
    <w:rsid w:val="040A4AA1"/>
    <w:rsid w:val="040D5F94"/>
    <w:rsid w:val="040E27E3"/>
    <w:rsid w:val="040E4592"/>
    <w:rsid w:val="04133956"/>
    <w:rsid w:val="041651F4"/>
    <w:rsid w:val="041E22FB"/>
    <w:rsid w:val="04253689"/>
    <w:rsid w:val="042C4A18"/>
    <w:rsid w:val="042E24FA"/>
    <w:rsid w:val="042E253E"/>
    <w:rsid w:val="043A5387"/>
    <w:rsid w:val="043B2EAD"/>
    <w:rsid w:val="043B510F"/>
    <w:rsid w:val="043D09D3"/>
    <w:rsid w:val="043D29C9"/>
    <w:rsid w:val="04553F6E"/>
    <w:rsid w:val="0455536E"/>
    <w:rsid w:val="045B70AB"/>
    <w:rsid w:val="045F2DCA"/>
    <w:rsid w:val="045F6B9B"/>
    <w:rsid w:val="046441B2"/>
    <w:rsid w:val="04673CA2"/>
    <w:rsid w:val="046828E1"/>
    <w:rsid w:val="046B3BE8"/>
    <w:rsid w:val="046C0D5B"/>
    <w:rsid w:val="047343F5"/>
    <w:rsid w:val="04762137"/>
    <w:rsid w:val="04777A0C"/>
    <w:rsid w:val="047C599F"/>
    <w:rsid w:val="04812FB5"/>
    <w:rsid w:val="048B5BE2"/>
    <w:rsid w:val="048D3235"/>
    <w:rsid w:val="048E56D2"/>
    <w:rsid w:val="04912D27"/>
    <w:rsid w:val="0495080F"/>
    <w:rsid w:val="04966335"/>
    <w:rsid w:val="04974587"/>
    <w:rsid w:val="049802FF"/>
    <w:rsid w:val="04984EBD"/>
    <w:rsid w:val="049C1B9D"/>
    <w:rsid w:val="04A3117E"/>
    <w:rsid w:val="04A57341"/>
    <w:rsid w:val="04AC5B58"/>
    <w:rsid w:val="04AE18D1"/>
    <w:rsid w:val="04B30C95"/>
    <w:rsid w:val="04B36EE7"/>
    <w:rsid w:val="04B54A0D"/>
    <w:rsid w:val="04B70785"/>
    <w:rsid w:val="04B80AA3"/>
    <w:rsid w:val="04BF1806"/>
    <w:rsid w:val="04BF763A"/>
    <w:rsid w:val="04C2712A"/>
    <w:rsid w:val="04D255BF"/>
    <w:rsid w:val="04D330E5"/>
    <w:rsid w:val="04DB409D"/>
    <w:rsid w:val="04DC643E"/>
    <w:rsid w:val="04DF250D"/>
    <w:rsid w:val="04E31402"/>
    <w:rsid w:val="04E35A1E"/>
    <w:rsid w:val="04EB042F"/>
    <w:rsid w:val="04ED41A7"/>
    <w:rsid w:val="04F01EE9"/>
    <w:rsid w:val="04F75026"/>
    <w:rsid w:val="04FA6B11"/>
    <w:rsid w:val="04FE4606"/>
    <w:rsid w:val="04FF074D"/>
    <w:rsid w:val="04FF3EDA"/>
    <w:rsid w:val="05015EA4"/>
    <w:rsid w:val="05017C52"/>
    <w:rsid w:val="05045994"/>
    <w:rsid w:val="05047743"/>
    <w:rsid w:val="050B287F"/>
    <w:rsid w:val="050E015C"/>
    <w:rsid w:val="05107E95"/>
    <w:rsid w:val="051A0D14"/>
    <w:rsid w:val="051C4A8C"/>
    <w:rsid w:val="051C683A"/>
    <w:rsid w:val="051E6A56"/>
    <w:rsid w:val="051E7732"/>
    <w:rsid w:val="052027CE"/>
    <w:rsid w:val="05235E1B"/>
    <w:rsid w:val="052954F7"/>
    <w:rsid w:val="052B4CCF"/>
    <w:rsid w:val="052D0A47"/>
    <w:rsid w:val="052D1694"/>
    <w:rsid w:val="052D4EEB"/>
    <w:rsid w:val="05322502"/>
    <w:rsid w:val="0532605E"/>
    <w:rsid w:val="053718C6"/>
    <w:rsid w:val="053C0C8A"/>
    <w:rsid w:val="05404C1F"/>
    <w:rsid w:val="05412745"/>
    <w:rsid w:val="05412FEB"/>
    <w:rsid w:val="05453FE3"/>
    <w:rsid w:val="05464CD5"/>
    <w:rsid w:val="0547556E"/>
    <w:rsid w:val="0548762F"/>
    <w:rsid w:val="054F58B7"/>
    <w:rsid w:val="05557F9E"/>
    <w:rsid w:val="05561E22"/>
    <w:rsid w:val="05575AC4"/>
    <w:rsid w:val="055C18F5"/>
    <w:rsid w:val="055D7941"/>
    <w:rsid w:val="055E7FA4"/>
    <w:rsid w:val="05614B95"/>
    <w:rsid w:val="056401E1"/>
    <w:rsid w:val="05685F23"/>
    <w:rsid w:val="056B77C2"/>
    <w:rsid w:val="056D3E42"/>
    <w:rsid w:val="056F72DE"/>
    <w:rsid w:val="05742AC8"/>
    <w:rsid w:val="05793C8D"/>
    <w:rsid w:val="057C377D"/>
    <w:rsid w:val="05852BDA"/>
    <w:rsid w:val="058663AA"/>
    <w:rsid w:val="058873D6"/>
    <w:rsid w:val="058979DF"/>
    <w:rsid w:val="058B29E1"/>
    <w:rsid w:val="058B4EAD"/>
    <w:rsid w:val="0591547A"/>
    <w:rsid w:val="05917228"/>
    <w:rsid w:val="05940AC6"/>
    <w:rsid w:val="05942874"/>
    <w:rsid w:val="059576B4"/>
    <w:rsid w:val="0596483F"/>
    <w:rsid w:val="059E36F3"/>
    <w:rsid w:val="05A50F26"/>
    <w:rsid w:val="05AB5C72"/>
    <w:rsid w:val="05AC4062"/>
    <w:rsid w:val="05B13426"/>
    <w:rsid w:val="05BB6053"/>
    <w:rsid w:val="05C55124"/>
    <w:rsid w:val="05C57BB2"/>
    <w:rsid w:val="05C84C14"/>
    <w:rsid w:val="05CA0CA4"/>
    <w:rsid w:val="05CF7D50"/>
    <w:rsid w:val="05D15877"/>
    <w:rsid w:val="05D2339D"/>
    <w:rsid w:val="05D90BCF"/>
    <w:rsid w:val="05D9472B"/>
    <w:rsid w:val="05ED01D7"/>
    <w:rsid w:val="05EE2510"/>
    <w:rsid w:val="05EE467B"/>
    <w:rsid w:val="05F52F17"/>
    <w:rsid w:val="05F862B3"/>
    <w:rsid w:val="05F902FF"/>
    <w:rsid w:val="05F9301F"/>
    <w:rsid w:val="05FD48BE"/>
    <w:rsid w:val="06057FE3"/>
    <w:rsid w:val="06127C3D"/>
    <w:rsid w:val="06155DE8"/>
    <w:rsid w:val="0616597F"/>
    <w:rsid w:val="0616772D"/>
    <w:rsid w:val="06174FC9"/>
    <w:rsid w:val="061834A6"/>
    <w:rsid w:val="061A40F4"/>
    <w:rsid w:val="06233BF8"/>
    <w:rsid w:val="062956B3"/>
    <w:rsid w:val="062C51A3"/>
    <w:rsid w:val="062E0F1B"/>
    <w:rsid w:val="062E2CC9"/>
    <w:rsid w:val="062F6A41"/>
    <w:rsid w:val="06305B70"/>
    <w:rsid w:val="063400E4"/>
    <w:rsid w:val="06352F05"/>
    <w:rsid w:val="0637015B"/>
    <w:rsid w:val="063858F6"/>
    <w:rsid w:val="063B53E6"/>
    <w:rsid w:val="063D115E"/>
    <w:rsid w:val="063E7D85"/>
    <w:rsid w:val="064047AA"/>
    <w:rsid w:val="064222D0"/>
    <w:rsid w:val="06471FDD"/>
    <w:rsid w:val="06472967"/>
    <w:rsid w:val="06475E2A"/>
    <w:rsid w:val="064C13A1"/>
    <w:rsid w:val="06514C09"/>
    <w:rsid w:val="06523C1B"/>
    <w:rsid w:val="06530982"/>
    <w:rsid w:val="06563FCE"/>
    <w:rsid w:val="06587D46"/>
    <w:rsid w:val="0659586C"/>
    <w:rsid w:val="065B7836"/>
    <w:rsid w:val="06604169"/>
    <w:rsid w:val="066606B5"/>
    <w:rsid w:val="06693D01"/>
    <w:rsid w:val="066C559F"/>
    <w:rsid w:val="067B57E2"/>
    <w:rsid w:val="067D77AC"/>
    <w:rsid w:val="0680104B"/>
    <w:rsid w:val="06823015"/>
    <w:rsid w:val="06826B71"/>
    <w:rsid w:val="068B1EC9"/>
    <w:rsid w:val="068D62C8"/>
    <w:rsid w:val="068E3768"/>
    <w:rsid w:val="06954AF6"/>
    <w:rsid w:val="069D1BFD"/>
    <w:rsid w:val="069D39AB"/>
    <w:rsid w:val="069D7E4F"/>
    <w:rsid w:val="069E1EDD"/>
    <w:rsid w:val="069F5975"/>
    <w:rsid w:val="06A27213"/>
    <w:rsid w:val="06A42F8B"/>
    <w:rsid w:val="06A44D39"/>
    <w:rsid w:val="06A66D03"/>
    <w:rsid w:val="06BB0913"/>
    <w:rsid w:val="06BB2083"/>
    <w:rsid w:val="06BC02D5"/>
    <w:rsid w:val="06C07699"/>
    <w:rsid w:val="06C12665"/>
    <w:rsid w:val="06C158EB"/>
    <w:rsid w:val="06C62F02"/>
    <w:rsid w:val="06C6670B"/>
    <w:rsid w:val="06C76C7A"/>
    <w:rsid w:val="06C9323D"/>
    <w:rsid w:val="06CB64FF"/>
    <w:rsid w:val="06CC4290"/>
    <w:rsid w:val="06CD24E2"/>
    <w:rsid w:val="06D179D1"/>
    <w:rsid w:val="06D53145"/>
    <w:rsid w:val="06DE46EF"/>
    <w:rsid w:val="06E15F8D"/>
    <w:rsid w:val="06E415DA"/>
    <w:rsid w:val="06F04422"/>
    <w:rsid w:val="06F21D26"/>
    <w:rsid w:val="06F23CF7"/>
    <w:rsid w:val="06F37A6F"/>
    <w:rsid w:val="06F7755F"/>
    <w:rsid w:val="06F832D7"/>
    <w:rsid w:val="06FC6923"/>
    <w:rsid w:val="070677A2"/>
    <w:rsid w:val="0708176C"/>
    <w:rsid w:val="070875E0"/>
    <w:rsid w:val="070F2026"/>
    <w:rsid w:val="07100621"/>
    <w:rsid w:val="071023CF"/>
    <w:rsid w:val="07110BA2"/>
    <w:rsid w:val="071A324D"/>
    <w:rsid w:val="071E2D3E"/>
    <w:rsid w:val="07293586"/>
    <w:rsid w:val="07295285"/>
    <w:rsid w:val="072D2F81"/>
    <w:rsid w:val="072D508B"/>
    <w:rsid w:val="072F22BE"/>
    <w:rsid w:val="07306DA6"/>
    <w:rsid w:val="07322345"/>
    <w:rsid w:val="073360BD"/>
    <w:rsid w:val="073443D1"/>
    <w:rsid w:val="073562D9"/>
    <w:rsid w:val="0737795B"/>
    <w:rsid w:val="073A569E"/>
    <w:rsid w:val="073B6467"/>
    <w:rsid w:val="073E518E"/>
    <w:rsid w:val="074107DA"/>
    <w:rsid w:val="07462294"/>
    <w:rsid w:val="07464042"/>
    <w:rsid w:val="07481B68"/>
    <w:rsid w:val="07483BF5"/>
    <w:rsid w:val="074C0E53"/>
    <w:rsid w:val="074E2EF7"/>
    <w:rsid w:val="07500A1D"/>
    <w:rsid w:val="07515272"/>
    <w:rsid w:val="07524795"/>
    <w:rsid w:val="07526D7F"/>
    <w:rsid w:val="075A189C"/>
    <w:rsid w:val="075A7AEE"/>
    <w:rsid w:val="075C7F8E"/>
    <w:rsid w:val="0765096C"/>
    <w:rsid w:val="076B2ECD"/>
    <w:rsid w:val="076D5A73"/>
    <w:rsid w:val="076F6FBB"/>
    <w:rsid w:val="077639A5"/>
    <w:rsid w:val="07770C56"/>
    <w:rsid w:val="07797F74"/>
    <w:rsid w:val="077C1812"/>
    <w:rsid w:val="07812C00"/>
    <w:rsid w:val="07844B53"/>
    <w:rsid w:val="07866B35"/>
    <w:rsid w:val="07893F2F"/>
    <w:rsid w:val="078B5EF9"/>
    <w:rsid w:val="0791022E"/>
    <w:rsid w:val="07943F08"/>
    <w:rsid w:val="0794648D"/>
    <w:rsid w:val="07960AD9"/>
    <w:rsid w:val="07A23A55"/>
    <w:rsid w:val="07A56FBB"/>
    <w:rsid w:val="07A64AE1"/>
    <w:rsid w:val="07A66D5A"/>
    <w:rsid w:val="07A73637"/>
    <w:rsid w:val="07A84FDE"/>
    <w:rsid w:val="07AA0EFE"/>
    <w:rsid w:val="07AB20F7"/>
    <w:rsid w:val="07AC5A1F"/>
    <w:rsid w:val="07AF4ECA"/>
    <w:rsid w:val="07B0158F"/>
    <w:rsid w:val="07B01DD8"/>
    <w:rsid w:val="07B12231"/>
    <w:rsid w:val="07B13BB2"/>
    <w:rsid w:val="07B216D8"/>
    <w:rsid w:val="07B23486"/>
    <w:rsid w:val="07B90CB8"/>
    <w:rsid w:val="07B92A66"/>
    <w:rsid w:val="07B96BED"/>
    <w:rsid w:val="07C136C9"/>
    <w:rsid w:val="07C80EFB"/>
    <w:rsid w:val="07CB629E"/>
    <w:rsid w:val="07CC09EB"/>
    <w:rsid w:val="07CD4764"/>
    <w:rsid w:val="07D26499"/>
    <w:rsid w:val="07D7113E"/>
    <w:rsid w:val="07D931AC"/>
    <w:rsid w:val="07D94EB6"/>
    <w:rsid w:val="07D96C64"/>
    <w:rsid w:val="07DD10FF"/>
    <w:rsid w:val="07DD49A7"/>
    <w:rsid w:val="07DE071F"/>
    <w:rsid w:val="07DF4305"/>
    <w:rsid w:val="07E76222"/>
    <w:rsid w:val="07E8334B"/>
    <w:rsid w:val="07E86EA8"/>
    <w:rsid w:val="07ED2710"/>
    <w:rsid w:val="07F13FAE"/>
    <w:rsid w:val="07F27D26"/>
    <w:rsid w:val="07F43A9E"/>
    <w:rsid w:val="07F92E63"/>
    <w:rsid w:val="0802003B"/>
    <w:rsid w:val="08031F33"/>
    <w:rsid w:val="08033CE1"/>
    <w:rsid w:val="080811D8"/>
    <w:rsid w:val="080C528C"/>
    <w:rsid w:val="080F2686"/>
    <w:rsid w:val="08111A6D"/>
    <w:rsid w:val="08114650"/>
    <w:rsid w:val="08123F24"/>
    <w:rsid w:val="081C4DA3"/>
    <w:rsid w:val="081D4626"/>
    <w:rsid w:val="08226344"/>
    <w:rsid w:val="08255A35"/>
    <w:rsid w:val="08262F95"/>
    <w:rsid w:val="08273E74"/>
    <w:rsid w:val="082A5712"/>
    <w:rsid w:val="08316AA1"/>
    <w:rsid w:val="083818D9"/>
    <w:rsid w:val="08387E2F"/>
    <w:rsid w:val="083E2F6B"/>
    <w:rsid w:val="083E4D1A"/>
    <w:rsid w:val="08426486"/>
    <w:rsid w:val="084661C6"/>
    <w:rsid w:val="08470072"/>
    <w:rsid w:val="084A5DB4"/>
    <w:rsid w:val="084F0A5C"/>
    <w:rsid w:val="084F4E8A"/>
    <w:rsid w:val="085409E1"/>
    <w:rsid w:val="0854453D"/>
    <w:rsid w:val="085D4452"/>
    <w:rsid w:val="086230FE"/>
    <w:rsid w:val="08697415"/>
    <w:rsid w:val="086A3D60"/>
    <w:rsid w:val="086B7B56"/>
    <w:rsid w:val="086D316B"/>
    <w:rsid w:val="086F380C"/>
    <w:rsid w:val="087109F5"/>
    <w:rsid w:val="087A4C54"/>
    <w:rsid w:val="088210AA"/>
    <w:rsid w:val="08835D49"/>
    <w:rsid w:val="08850A8D"/>
    <w:rsid w:val="08862D93"/>
    <w:rsid w:val="08872B64"/>
    <w:rsid w:val="08874912"/>
    <w:rsid w:val="08894C98"/>
    <w:rsid w:val="088968DD"/>
    <w:rsid w:val="08923091"/>
    <w:rsid w:val="0898267C"/>
    <w:rsid w:val="08997879"/>
    <w:rsid w:val="08A2174C"/>
    <w:rsid w:val="08A54D99"/>
    <w:rsid w:val="08A92ADB"/>
    <w:rsid w:val="08AC299F"/>
    <w:rsid w:val="08B03E69"/>
    <w:rsid w:val="08B111EB"/>
    <w:rsid w:val="08B576D2"/>
    <w:rsid w:val="08B651F8"/>
    <w:rsid w:val="08BD0334"/>
    <w:rsid w:val="08C05347"/>
    <w:rsid w:val="08C6543B"/>
    <w:rsid w:val="08C91AB8"/>
    <w:rsid w:val="08CA34D3"/>
    <w:rsid w:val="08CE2541"/>
    <w:rsid w:val="08CE42EF"/>
    <w:rsid w:val="08CF1E16"/>
    <w:rsid w:val="08D14FA8"/>
    <w:rsid w:val="08D538D0"/>
    <w:rsid w:val="08D63276"/>
    <w:rsid w:val="08D72F06"/>
    <w:rsid w:val="08DB6A0C"/>
    <w:rsid w:val="08DF474E"/>
    <w:rsid w:val="08E104C7"/>
    <w:rsid w:val="08E92932"/>
    <w:rsid w:val="08F301FA"/>
    <w:rsid w:val="08F53CDB"/>
    <w:rsid w:val="08FF094D"/>
    <w:rsid w:val="090158E3"/>
    <w:rsid w:val="090221EB"/>
    <w:rsid w:val="09023F99"/>
    <w:rsid w:val="090C4E18"/>
    <w:rsid w:val="0913264A"/>
    <w:rsid w:val="09153C1F"/>
    <w:rsid w:val="091567F4"/>
    <w:rsid w:val="09197523"/>
    <w:rsid w:val="091C06C1"/>
    <w:rsid w:val="091F4145"/>
    <w:rsid w:val="092217DD"/>
    <w:rsid w:val="09240154"/>
    <w:rsid w:val="09265BCD"/>
    <w:rsid w:val="092B7C9F"/>
    <w:rsid w:val="09300B06"/>
    <w:rsid w:val="09300E18"/>
    <w:rsid w:val="09307AB0"/>
    <w:rsid w:val="093525C0"/>
    <w:rsid w:val="09363922"/>
    <w:rsid w:val="09371E95"/>
    <w:rsid w:val="093A7294"/>
    <w:rsid w:val="093F343F"/>
    <w:rsid w:val="09401129"/>
    <w:rsid w:val="09414AC1"/>
    <w:rsid w:val="09442803"/>
    <w:rsid w:val="094648A7"/>
    <w:rsid w:val="094B5940"/>
    <w:rsid w:val="094D5D1D"/>
    <w:rsid w:val="094E5AAB"/>
    <w:rsid w:val="095011A8"/>
    <w:rsid w:val="09510A7C"/>
    <w:rsid w:val="095742E5"/>
    <w:rsid w:val="095C7B4D"/>
    <w:rsid w:val="095E38C5"/>
    <w:rsid w:val="09615163"/>
    <w:rsid w:val="09652EA6"/>
    <w:rsid w:val="0969226A"/>
    <w:rsid w:val="09694018"/>
    <w:rsid w:val="096D3B08"/>
    <w:rsid w:val="09714C67"/>
    <w:rsid w:val="097A7FD3"/>
    <w:rsid w:val="098350DA"/>
    <w:rsid w:val="0984611E"/>
    <w:rsid w:val="098470A4"/>
    <w:rsid w:val="09886B94"/>
    <w:rsid w:val="098B0432"/>
    <w:rsid w:val="098B21E0"/>
    <w:rsid w:val="098C5B93"/>
    <w:rsid w:val="098E3A7F"/>
    <w:rsid w:val="098F7F23"/>
    <w:rsid w:val="099168C1"/>
    <w:rsid w:val="099217C1"/>
    <w:rsid w:val="09926E4D"/>
    <w:rsid w:val="099346C1"/>
    <w:rsid w:val="099948FD"/>
    <w:rsid w:val="099A2423"/>
    <w:rsid w:val="099A310A"/>
    <w:rsid w:val="099E0166"/>
    <w:rsid w:val="099F7A3A"/>
    <w:rsid w:val="09A137B2"/>
    <w:rsid w:val="09A17C56"/>
    <w:rsid w:val="09A35B15"/>
    <w:rsid w:val="09AA1703"/>
    <w:rsid w:val="09AE7545"/>
    <w:rsid w:val="09B41737"/>
    <w:rsid w:val="09BB6819"/>
    <w:rsid w:val="09BE1A52"/>
    <w:rsid w:val="09BE4364"/>
    <w:rsid w:val="09C0187F"/>
    <w:rsid w:val="09C120A6"/>
    <w:rsid w:val="09C53944"/>
    <w:rsid w:val="09C6146A"/>
    <w:rsid w:val="09C65D3C"/>
    <w:rsid w:val="09C851E3"/>
    <w:rsid w:val="09C94AB7"/>
    <w:rsid w:val="09D121EF"/>
    <w:rsid w:val="09D122E9"/>
    <w:rsid w:val="09D65B51"/>
    <w:rsid w:val="09DA6CC4"/>
    <w:rsid w:val="09DB3C13"/>
    <w:rsid w:val="09DE2882"/>
    <w:rsid w:val="09DF68E3"/>
    <w:rsid w:val="09E0077E"/>
    <w:rsid w:val="09E35B78"/>
    <w:rsid w:val="09E518F1"/>
    <w:rsid w:val="09E60BF4"/>
    <w:rsid w:val="09E75B73"/>
    <w:rsid w:val="09EA33AB"/>
    <w:rsid w:val="09EB0ED1"/>
    <w:rsid w:val="09EB65C7"/>
    <w:rsid w:val="09F77876"/>
    <w:rsid w:val="09FC4E8C"/>
    <w:rsid w:val="09FF584F"/>
    <w:rsid w:val="0A026946"/>
    <w:rsid w:val="0A083831"/>
    <w:rsid w:val="0A0A75A9"/>
    <w:rsid w:val="0A0B50CF"/>
    <w:rsid w:val="0A173A74"/>
    <w:rsid w:val="0A1755E4"/>
    <w:rsid w:val="0A1B7FBE"/>
    <w:rsid w:val="0A1C108A"/>
    <w:rsid w:val="0A1E3055"/>
    <w:rsid w:val="0A287A2F"/>
    <w:rsid w:val="0A2C39C3"/>
    <w:rsid w:val="0A392EC5"/>
    <w:rsid w:val="0A3D5178"/>
    <w:rsid w:val="0A40121D"/>
    <w:rsid w:val="0A430D0D"/>
    <w:rsid w:val="0A4707FD"/>
    <w:rsid w:val="0A4D1921"/>
    <w:rsid w:val="0A560A40"/>
    <w:rsid w:val="0A56459C"/>
    <w:rsid w:val="0A5847B8"/>
    <w:rsid w:val="0A595E3B"/>
    <w:rsid w:val="0A621193"/>
    <w:rsid w:val="0A634F0B"/>
    <w:rsid w:val="0A650C83"/>
    <w:rsid w:val="0A682522"/>
    <w:rsid w:val="0A6B77AC"/>
    <w:rsid w:val="0A6C2012"/>
    <w:rsid w:val="0A6D18E6"/>
    <w:rsid w:val="0A6D7B38"/>
    <w:rsid w:val="0A742C74"/>
    <w:rsid w:val="0A762E91"/>
    <w:rsid w:val="0A7964DD"/>
    <w:rsid w:val="0A7C2668"/>
    <w:rsid w:val="0A801619"/>
    <w:rsid w:val="0A80786B"/>
    <w:rsid w:val="0A8530D4"/>
    <w:rsid w:val="0A8A2498"/>
    <w:rsid w:val="0A8E01DA"/>
    <w:rsid w:val="0A8F3F52"/>
    <w:rsid w:val="0A8F5D00"/>
    <w:rsid w:val="0A960E3D"/>
    <w:rsid w:val="0A981059"/>
    <w:rsid w:val="0A9B6453"/>
    <w:rsid w:val="0AA03A6A"/>
    <w:rsid w:val="0AA413E9"/>
    <w:rsid w:val="0AA51080"/>
    <w:rsid w:val="0AA6225D"/>
    <w:rsid w:val="0AAB0D8C"/>
    <w:rsid w:val="0ABB4D47"/>
    <w:rsid w:val="0ABD286D"/>
    <w:rsid w:val="0AC05DC1"/>
    <w:rsid w:val="0AC71502"/>
    <w:rsid w:val="0AC86757"/>
    <w:rsid w:val="0ACB4F8A"/>
    <w:rsid w:val="0ACB6BE6"/>
    <w:rsid w:val="0ACD14A9"/>
    <w:rsid w:val="0ACE05D7"/>
    <w:rsid w:val="0AD028F9"/>
    <w:rsid w:val="0AD33E3F"/>
    <w:rsid w:val="0AD630BE"/>
    <w:rsid w:val="0AD96F7B"/>
    <w:rsid w:val="0ADB0F46"/>
    <w:rsid w:val="0ADD081A"/>
    <w:rsid w:val="0ADE5D3C"/>
    <w:rsid w:val="0AE41BA8"/>
    <w:rsid w:val="0AE53B72"/>
    <w:rsid w:val="0AE71698"/>
    <w:rsid w:val="0AEB5587"/>
    <w:rsid w:val="0AEC6CAF"/>
    <w:rsid w:val="0AF02C43"/>
    <w:rsid w:val="0AF049F1"/>
    <w:rsid w:val="0AF40E28"/>
    <w:rsid w:val="0AFA13CC"/>
    <w:rsid w:val="0AFA761E"/>
    <w:rsid w:val="0B01749D"/>
    <w:rsid w:val="0B024724"/>
    <w:rsid w:val="0B04049C"/>
    <w:rsid w:val="0B04224A"/>
    <w:rsid w:val="0B043FF8"/>
    <w:rsid w:val="0B0C7351"/>
    <w:rsid w:val="0B111D2A"/>
    <w:rsid w:val="0B116715"/>
    <w:rsid w:val="0B1306DF"/>
    <w:rsid w:val="0B136931"/>
    <w:rsid w:val="0B187AA4"/>
    <w:rsid w:val="0B1D330C"/>
    <w:rsid w:val="0B2430EF"/>
    <w:rsid w:val="0B24469B"/>
    <w:rsid w:val="0B2510BA"/>
    <w:rsid w:val="0B2621C1"/>
    <w:rsid w:val="0B27418B"/>
    <w:rsid w:val="0B2C354F"/>
    <w:rsid w:val="0B316DB7"/>
    <w:rsid w:val="0B424B21"/>
    <w:rsid w:val="0B464611"/>
    <w:rsid w:val="0B494101"/>
    <w:rsid w:val="0B584344"/>
    <w:rsid w:val="0B5A3A72"/>
    <w:rsid w:val="0B5D195B"/>
    <w:rsid w:val="0B5F1B77"/>
    <w:rsid w:val="0B5F56D3"/>
    <w:rsid w:val="0B626F71"/>
    <w:rsid w:val="0B646908"/>
    <w:rsid w:val="0B696551"/>
    <w:rsid w:val="0B6E3B68"/>
    <w:rsid w:val="0B723658"/>
    <w:rsid w:val="0B73117E"/>
    <w:rsid w:val="0B745622"/>
    <w:rsid w:val="0B7A4555"/>
    <w:rsid w:val="0B84338B"/>
    <w:rsid w:val="0B84410E"/>
    <w:rsid w:val="0B870F82"/>
    <w:rsid w:val="0B974E6D"/>
    <w:rsid w:val="0B9A495D"/>
    <w:rsid w:val="0B9F6417"/>
    <w:rsid w:val="0BA43585"/>
    <w:rsid w:val="0BA47589"/>
    <w:rsid w:val="0BA74B97"/>
    <w:rsid w:val="0BAD4690"/>
    <w:rsid w:val="0BB21CA6"/>
    <w:rsid w:val="0BB94E6C"/>
    <w:rsid w:val="0BBF6171"/>
    <w:rsid w:val="0BC1013B"/>
    <w:rsid w:val="0BC55E7E"/>
    <w:rsid w:val="0BC8311D"/>
    <w:rsid w:val="0BD27BF6"/>
    <w:rsid w:val="0BD3667B"/>
    <w:rsid w:val="0BD460C1"/>
    <w:rsid w:val="0BD7795F"/>
    <w:rsid w:val="0BD845F9"/>
    <w:rsid w:val="0BD94AAC"/>
    <w:rsid w:val="0BD95485"/>
    <w:rsid w:val="0BDA11FD"/>
    <w:rsid w:val="0BDC31C7"/>
    <w:rsid w:val="0BE1258C"/>
    <w:rsid w:val="0BE67BA2"/>
    <w:rsid w:val="0BE856C8"/>
    <w:rsid w:val="0BF422BF"/>
    <w:rsid w:val="0BF978D5"/>
    <w:rsid w:val="0BFA364D"/>
    <w:rsid w:val="0C085D6A"/>
    <w:rsid w:val="0C0B7609"/>
    <w:rsid w:val="0C107BA8"/>
    <w:rsid w:val="0C1110C3"/>
    <w:rsid w:val="0C14470F"/>
    <w:rsid w:val="0C1464BD"/>
    <w:rsid w:val="0C186B5B"/>
    <w:rsid w:val="0C193AD3"/>
    <w:rsid w:val="0C1A784C"/>
    <w:rsid w:val="0C1B3CF0"/>
    <w:rsid w:val="0C1E0947"/>
    <w:rsid w:val="0C1E558E"/>
    <w:rsid w:val="0C216E2C"/>
    <w:rsid w:val="0C2529C5"/>
    <w:rsid w:val="0C260CA9"/>
    <w:rsid w:val="0C261DCE"/>
    <w:rsid w:val="0C2661F0"/>
    <w:rsid w:val="0C280B07"/>
    <w:rsid w:val="0C2A5CE1"/>
    <w:rsid w:val="0C300E1D"/>
    <w:rsid w:val="0C324046"/>
    <w:rsid w:val="0C344DB1"/>
    <w:rsid w:val="0C357A56"/>
    <w:rsid w:val="0C3628D7"/>
    <w:rsid w:val="0C364685"/>
    <w:rsid w:val="0C3B0317"/>
    <w:rsid w:val="0C4274CE"/>
    <w:rsid w:val="0C4D19CF"/>
    <w:rsid w:val="0C4F3999"/>
    <w:rsid w:val="0C517711"/>
    <w:rsid w:val="0C523489"/>
    <w:rsid w:val="0C55370B"/>
    <w:rsid w:val="0C57776C"/>
    <w:rsid w:val="0C5B40EC"/>
    <w:rsid w:val="0C62191E"/>
    <w:rsid w:val="0C645AF4"/>
    <w:rsid w:val="0C662A91"/>
    <w:rsid w:val="0C6A07D3"/>
    <w:rsid w:val="0C6A432F"/>
    <w:rsid w:val="0C6D3E1F"/>
    <w:rsid w:val="0C6F1945"/>
    <w:rsid w:val="0C716BA6"/>
    <w:rsid w:val="0C721436"/>
    <w:rsid w:val="0C735804"/>
    <w:rsid w:val="0C7B02EA"/>
    <w:rsid w:val="0C7B653C"/>
    <w:rsid w:val="0C7D22B4"/>
    <w:rsid w:val="0C7E65A6"/>
    <w:rsid w:val="0C825DB1"/>
    <w:rsid w:val="0C886EAB"/>
    <w:rsid w:val="0C8A2C23"/>
    <w:rsid w:val="0C8A49D1"/>
    <w:rsid w:val="0C8C63AB"/>
    <w:rsid w:val="0C8D626F"/>
    <w:rsid w:val="0C9615C8"/>
    <w:rsid w:val="0C965124"/>
    <w:rsid w:val="0C9910B8"/>
    <w:rsid w:val="0C9E00D7"/>
    <w:rsid w:val="0C9E02D7"/>
    <w:rsid w:val="0C9E047D"/>
    <w:rsid w:val="0CA35A93"/>
    <w:rsid w:val="0CA43CE5"/>
    <w:rsid w:val="0CA44632"/>
    <w:rsid w:val="0CAB4505"/>
    <w:rsid w:val="0CAD06C0"/>
    <w:rsid w:val="0CAF4438"/>
    <w:rsid w:val="0CB101B0"/>
    <w:rsid w:val="0CB11F59"/>
    <w:rsid w:val="0CB437FC"/>
    <w:rsid w:val="0CB67574"/>
    <w:rsid w:val="0CBB102F"/>
    <w:rsid w:val="0CBB4B8B"/>
    <w:rsid w:val="0CBD4DA7"/>
    <w:rsid w:val="0CC223BD"/>
    <w:rsid w:val="0CC779D3"/>
    <w:rsid w:val="0CCA3020"/>
    <w:rsid w:val="0CCE2B10"/>
    <w:rsid w:val="0CD914B5"/>
    <w:rsid w:val="0CDA2FAD"/>
    <w:rsid w:val="0CDD2D53"/>
    <w:rsid w:val="0CDD48B1"/>
    <w:rsid w:val="0CE40585"/>
    <w:rsid w:val="0CE42333"/>
    <w:rsid w:val="0CE642FD"/>
    <w:rsid w:val="0CE73BD2"/>
    <w:rsid w:val="0CE75980"/>
    <w:rsid w:val="0CEB1914"/>
    <w:rsid w:val="0CEC743A"/>
    <w:rsid w:val="0CEE6D0E"/>
    <w:rsid w:val="0CF06F2A"/>
    <w:rsid w:val="0CFB142B"/>
    <w:rsid w:val="0CFD3DAC"/>
    <w:rsid w:val="0CFF716D"/>
    <w:rsid w:val="0D020A0B"/>
    <w:rsid w:val="0D026C5D"/>
    <w:rsid w:val="0D054058"/>
    <w:rsid w:val="0D081CA7"/>
    <w:rsid w:val="0D0A78C0"/>
    <w:rsid w:val="0D0C2411"/>
    <w:rsid w:val="0D0C3638"/>
    <w:rsid w:val="0D0D0C68"/>
    <w:rsid w:val="0D0E73B0"/>
    <w:rsid w:val="0D0F4ED6"/>
    <w:rsid w:val="0D136775"/>
    <w:rsid w:val="0D15073F"/>
    <w:rsid w:val="0D197576"/>
    <w:rsid w:val="0D1A101C"/>
    <w:rsid w:val="0D1A3FA7"/>
    <w:rsid w:val="0D1B19F6"/>
    <w:rsid w:val="0D1C7D1F"/>
    <w:rsid w:val="0D1F336B"/>
    <w:rsid w:val="0D26294C"/>
    <w:rsid w:val="0D2941EA"/>
    <w:rsid w:val="0D2A3ABE"/>
    <w:rsid w:val="0D2A599A"/>
    <w:rsid w:val="0D2C5A88"/>
    <w:rsid w:val="0D2E35AF"/>
    <w:rsid w:val="0D336E17"/>
    <w:rsid w:val="0D34161D"/>
    <w:rsid w:val="0D352B8F"/>
    <w:rsid w:val="0D35493D"/>
    <w:rsid w:val="0D3859A2"/>
    <w:rsid w:val="0D3D123F"/>
    <w:rsid w:val="0D3D37F2"/>
    <w:rsid w:val="0D3F3A0E"/>
    <w:rsid w:val="0D3F57BC"/>
    <w:rsid w:val="0D4032E2"/>
    <w:rsid w:val="0D411050"/>
    <w:rsid w:val="0D4903E8"/>
    <w:rsid w:val="0D4A1E5A"/>
    <w:rsid w:val="0D4D75F3"/>
    <w:rsid w:val="0D554FDF"/>
    <w:rsid w:val="0D55637F"/>
    <w:rsid w:val="0D6214AA"/>
    <w:rsid w:val="0D63594E"/>
    <w:rsid w:val="0D646FD0"/>
    <w:rsid w:val="0D660F9A"/>
    <w:rsid w:val="0D6B4803"/>
    <w:rsid w:val="0D6D6BDD"/>
    <w:rsid w:val="0D701E19"/>
    <w:rsid w:val="0D71793F"/>
    <w:rsid w:val="0D73168E"/>
    <w:rsid w:val="0D731909"/>
    <w:rsid w:val="0D735465"/>
    <w:rsid w:val="0D7511DD"/>
    <w:rsid w:val="0D7A67F4"/>
    <w:rsid w:val="0D7C3B01"/>
    <w:rsid w:val="0D892919"/>
    <w:rsid w:val="0D892EDB"/>
    <w:rsid w:val="0D894C75"/>
    <w:rsid w:val="0D8E7657"/>
    <w:rsid w:val="0D904269"/>
    <w:rsid w:val="0D93340D"/>
    <w:rsid w:val="0D9773A6"/>
    <w:rsid w:val="0D9B708A"/>
    <w:rsid w:val="0D9C49BC"/>
    <w:rsid w:val="0DA05C1B"/>
    <w:rsid w:val="0DA10224"/>
    <w:rsid w:val="0DAC2BE0"/>
    <w:rsid w:val="0DAD6BC9"/>
    <w:rsid w:val="0DB00467"/>
    <w:rsid w:val="0DB42355"/>
    <w:rsid w:val="0DB51118"/>
    <w:rsid w:val="0DBA3094"/>
    <w:rsid w:val="0DBA7538"/>
    <w:rsid w:val="0DBD2424"/>
    <w:rsid w:val="0DC03503"/>
    <w:rsid w:val="0DC108C7"/>
    <w:rsid w:val="0DC3421D"/>
    <w:rsid w:val="0DC45CC1"/>
    <w:rsid w:val="0DC53105"/>
    <w:rsid w:val="0DC932D7"/>
    <w:rsid w:val="0DC9777B"/>
    <w:rsid w:val="0DCB34F3"/>
    <w:rsid w:val="0DCD445C"/>
    <w:rsid w:val="0DD028B8"/>
    <w:rsid w:val="0DD26630"/>
    <w:rsid w:val="0DD34156"/>
    <w:rsid w:val="0DD423A8"/>
    <w:rsid w:val="0DD56120"/>
    <w:rsid w:val="0DD73C46"/>
    <w:rsid w:val="0DD8176C"/>
    <w:rsid w:val="0DDC057E"/>
    <w:rsid w:val="0DE72AC0"/>
    <w:rsid w:val="0DEE2D3E"/>
    <w:rsid w:val="0DF06AB6"/>
    <w:rsid w:val="0DF447F8"/>
    <w:rsid w:val="0DF465A6"/>
    <w:rsid w:val="0DFC36AD"/>
    <w:rsid w:val="0DFC545B"/>
    <w:rsid w:val="0DFD5C6B"/>
    <w:rsid w:val="0E0662D9"/>
    <w:rsid w:val="0E0B5706"/>
    <w:rsid w:val="0E0D7668"/>
    <w:rsid w:val="0E100F06"/>
    <w:rsid w:val="0E110D06"/>
    <w:rsid w:val="0E1C78AB"/>
    <w:rsid w:val="0E214EC1"/>
    <w:rsid w:val="0E2873B4"/>
    <w:rsid w:val="0E2D7D0A"/>
    <w:rsid w:val="0E301273"/>
    <w:rsid w:val="0E303356"/>
    <w:rsid w:val="0E3177FA"/>
    <w:rsid w:val="0E320723"/>
    <w:rsid w:val="0E364E11"/>
    <w:rsid w:val="0E3746E5"/>
    <w:rsid w:val="0E3A0F99"/>
    <w:rsid w:val="0E3A5F83"/>
    <w:rsid w:val="0E3C04AA"/>
    <w:rsid w:val="0E4376A8"/>
    <w:rsid w:val="0E460DCC"/>
    <w:rsid w:val="0E48359D"/>
    <w:rsid w:val="0E4D215A"/>
    <w:rsid w:val="0E4E52E2"/>
    <w:rsid w:val="0E4F1A2E"/>
    <w:rsid w:val="0E552DBD"/>
    <w:rsid w:val="0E574D87"/>
    <w:rsid w:val="0E6179B4"/>
    <w:rsid w:val="0E715E49"/>
    <w:rsid w:val="0E72510F"/>
    <w:rsid w:val="0E76520D"/>
    <w:rsid w:val="0E790B75"/>
    <w:rsid w:val="0E7B2823"/>
    <w:rsid w:val="0E7B6CC7"/>
    <w:rsid w:val="0E7C47EE"/>
    <w:rsid w:val="0E8042DE"/>
    <w:rsid w:val="0E811E04"/>
    <w:rsid w:val="0E8518F4"/>
    <w:rsid w:val="0E8A515C"/>
    <w:rsid w:val="0E8F4521"/>
    <w:rsid w:val="0E903DF5"/>
    <w:rsid w:val="0E905A81"/>
    <w:rsid w:val="0E912047"/>
    <w:rsid w:val="0E927B6D"/>
    <w:rsid w:val="0E9733D5"/>
    <w:rsid w:val="0E9D17C6"/>
    <w:rsid w:val="0E9E29B6"/>
    <w:rsid w:val="0E9E6512"/>
    <w:rsid w:val="0EA004DC"/>
    <w:rsid w:val="0EA2342F"/>
    <w:rsid w:val="0EA37FCC"/>
    <w:rsid w:val="0EAB6D9A"/>
    <w:rsid w:val="0EC56195"/>
    <w:rsid w:val="0EC71F0D"/>
    <w:rsid w:val="0EC85224"/>
    <w:rsid w:val="0ECA07E3"/>
    <w:rsid w:val="0ECB1C73"/>
    <w:rsid w:val="0ECC12D1"/>
    <w:rsid w:val="0ECD1453"/>
    <w:rsid w:val="0ECF0DC1"/>
    <w:rsid w:val="0ED168E7"/>
    <w:rsid w:val="0EDB59B8"/>
    <w:rsid w:val="0EDF1579"/>
    <w:rsid w:val="0EE52393"/>
    <w:rsid w:val="0EE526EA"/>
    <w:rsid w:val="0EE7120F"/>
    <w:rsid w:val="0EE859DF"/>
    <w:rsid w:val="0EE91E83"/>
    <w:rsid w:val="0EEE56EB"/>
    <w:rsid w:val="0EF10D38"/>
    <w:rsid w:val="0EF600FC"/>
    <w:rsid w:val="0EF80E8F"/>
    <w:rsid w:val="0EFC21E2"/>
    <w:rsid w:val="0F022F45"/>
    <w:rsid w:val="0F046CBD"/>
    <w:rsid w:val="0F0F67BD"/>
    <w:rsid w:val="0F111837"/>
    <w:rsid w:val="0F113188"/>
    <w:rsid w:val="0F13775A"/>
    <w:rsid w:val="0F1A028E"/>
    <w:rsid w:val="0F205C7F"/>
    <w:rsid w:val="0F215791"/>
    <w:rsid w:val="0F28662E"/>
    <w:rsid w:val="0F2B249C"/>
    <w:rsid w:val="0F2E09A0"/>
    <w:rsid w:val="0F317386"/>
    <w:rsid w:val="0F3375A2"/>
    <w:rsid w:val="0F346E76"/>
    <w:rsid w:val="0F390A43"/>
    <w:rsid w:val="0F3C025F"/>
    <w:rsid w:val="0F3D21CF"/>
    <w:rsid w:val="0F3E6EA4"/>
    <w:rsid w:val="0F3F5FF6"/>
    <w:rsid w:val="0F3F7CF5"/>
    <w:rsid w:val="0F452E31"/>
    <w:rsid w:val="0F4672D5"/>
    <w:rsid w:val="0F580DB7"/>
    <w:rsid w:val="0F620288"/>
    <w:rsid w:val="0F6634D4"/>
    <w:rsid w:val="0F670FFA"/>
    <w:rsid w:val="0F676B13"/>
    <w:rsid w:val="0F713C26"/>
    <w:rsid w:val="0F7200CA"/>
    <w:rsid w:val="0F732BD1"/>
    <w:rsid w:val="0F7C2CF7"/>
    <w:rsid w:val="0F7D25CB"/>
    <w:rsid w:val="0F7F6343"/>
    <w:rsid w:val="0F8676D2"/>
    <w:rsid w:val="0F87169C"/>
    <w:rsid w:val="0F8B4CE8"/>
    <w:rsid w:val="0F932BA2"/>
    <w:rsid w:val="0F9928EF"/>
    <w:rsid w:val="0F9A050E"/>
    <w:rsid w:val="0F9A112B"/>
    <w:rsid w:val="0FA07BF0"/>
    <w:rsid w:val="0FA1275E"/>
    <w:rsid w:val="0FAB0EE6"/>
    <w:rsid w:val="0FAD1102"/>
    <w:rsid w:val="0FAE692A"/>
    <w:rsid w:val="0FAF2E3E"/>
    <w:rsid w:val="0FAF4135"/>
    <w:rsid w:val="0FB01208"/>
    <w:rsid w:val="0FB51D65"/>
    <w:rsid w:val="0FB56209"/>
    <w:rsid w:val="0FB57FB7"/>
    <w:rsid w:val="0FBC1346"/>
    <w:rsid w:val="0FBD6E6C"/>
    <w:rsid w:val="0FC54AD9"/>
    <w:rsid w:val="0FD04DF1"/>
    <w:rsid w:val="0FD22917"/>
    <w:rsid w:val="0FDF3286"/>
    <w:rsid w:val="0FE8038D"/>
    <w:rsid w:val="0FED59A3"/>
    <w:rsid w:val="0FED7687"/>
    <w:rsid w:val="0FF02D9D"/>
    <w:rsid w:val="0FF1044E"/>
    <w:rsid w:val="0FF7237E"/>
    <w:rsid w:val="0FFA00C0"/>
    <w:rsid w:val="10022AD1"/>
    <w:rsid w:val="10044A9B"/>
    <w:rsid w:val="10086339"/>
    <w:rsid w:val="100910F7"/>
    <w:rsid w:val="100920B1"/>
    <w:rsid w:val="10093E5F"/>
    <w:rsid w:val="100D1BA1"/>
    <w:rsid w:val="100F5919"/>
    <w:rsid w:val="101051ED"/>
    <w:rsid w:val="10153D18"/>
    <w:rsid w:val="10172A20"/>
    <w:rsid w:val="10202516"/>
    <w:rsid w:val="10251AC8"/>
    <w:rsid w:val="10294501"/>
    <w:rsid w:val="103274FC"/>
    <w:rsid w:val="103435D2"/>
    <w:rsid w:val="103449ED"/>
    <w:rsid w:val="1034712E"/>
    <w:rsid w:val="10352EA6"/>
    <w:rsid w:val="10360127"/>
    <w:rsid w:val="1037079D"/>
    <w:rsid w:val="103A58B2"/>
    <w:rsid w:val="104355C3"/>
    <w:rsid w:val="104A4BA3"/>
    <w:rsid w:val="104A6951"/>
    <w:rsid w:val="10507CE0"/>
    <w:rsid w:val="10525131"/>
    <w:rsid w:val="10532F3B"/>
    <w:rsid w:val="105968CE"/>
    <w:rsid w:val="105A46BB"/>
    <w:rsid w:val="1066305F"/>
    <w:rsid w:val="106B4B1A"/>
    <w:rsid w:val="106D2F64"/>
    <w:rsid w:val="106F0166"/>
    <w:rsid w:val="10720430"/>
    <w:rsid w:val="107734BE"/>
    <w:rsid w:val="10790FE5"/>
    <w:rsid w:val="10795489"/>
    <w:rsid w:val="107D1AA2"/>
    <w:rsid w:val="107E2A9F"/>
    <w:rsid w:val="107E65FB"/>
    <w:rsid w:val="10853E2D"/>
    <w:rsid w:val="10856F1B"/>
    <w:rsid w:val="108B0D18"/>
    <w:rsid w:val="108F6861"/>
    <w:rsid w:val="109113A8"/>
    <w:rsid w:val="10933A8A"/>
    <w:rsid w:val="10944070"/>
    <w:rsid w:val="10945E1E"/>
    <w:rsid w:val="10991559"/>
    <w:rsid w:val="109C5456"/>
    <w:rsid w:val="109E16F7"/>
    <w:rsid w:val="10A5002C"/>
    <w:rsid w:val="10A832F4"/>
    <w:rsid w:val="10A83678"/>
    <w:rsid w:val="10AA3894"/>
    <w:rsid w:val="10AD0C8E"/>
    <w:rsid w:val="10AD6EE0"/>
    <w:rsid w:val="10AF1D60"/>
    <w:rsid w:val="10B05EDD"/>
    <w:rsid w:val="10B4201D"/>
    <w:rsid w:val="10B63710"/>
    <w:rsid w:val="10BA1AAE"/>
    <w:rsid w:val="10BB33AB"/>
    <w:rsid w:val="10BC7123"/>
    <w:rsid w:val="10C1473A"/>
    <w:rsid w:val="10C77FA2"/>
    <w:rsid w:val="10CA5CE4"/>
    <w:rsid w:val="10CD30DE"/>
    <w:rsid w:val="10CF355A"/>
    <w:rsid w:val="10D10E21"/>
    <w:rsid w:val="10D752FB"/>
    <w:rsid w:val="10D821AF"/>
    <w:rsid w:val="10D8227B"/>
    <w:rsid w:val="10D95F27"/>
    <w:rsid w:val="10DB1C9F"/>
    <w:rsid w:val="10E072B6"/>
    <w:rsid w:val="10E16B8A"/>
    <w:rsid w:val="10E21745"/>
    <w:rsid w:val="10E675D1"/>
    <w:rsid w:val="10E70644"/>
    <w:rsid w:val="10EA5A3E"/>
    <w:rsid w:val="10ED3781"/>
    <w:rsid w:val="10EE1F98"/>
    <w:rsid w:val="10EF574B"/>
    <w:rsid w:val="10F5444F"/>
    <w:rsid w:val="10F863AD"/>
    <w:rsid w:val="10FB33EF"/>
    <w:rsid w:val="10FC5772"/>
    <w:rsid w:val="10FE14EA"/>
    <w:rsid w:val="10FF6CE8"/>
    <w:rsid w:val="11005262"/>
    <w:rsid w:val="11056D1C"/>
    <w:rsid w:val="110C3C07"/>
    <w:rsid w:val="11143B39"/>
    <w:rsid w:val="111451B1"/>
    <w:rsid w:val="111C2F7A"/>
    <w:rsid w:val="111D4066"/>
    <w:rsid w:val="1126606F"/>
    <w:rsid w:val="112C24FB"/>
    <w:rsid w:val="112C6057"/>
    <w:rsid w:val="112E1DCF"/>
    <w:rsid w:val="113008C4"/>
    <w:rsid w:val="113013DE"/>
    <w:rsid w:val="11447845"/>
    <w:rsid w:val="114E421F"/>
    <w:rsid w:val="115770D7"/>
    <w:rsid w:val="115929AD"/>
    <w:rsid w:val="115D4462"/>
    <w:rsid w:val="115F2023"/>
    <w:rsid w:val="115F6467"/>
    <w:rsid w:val="11660972"/>
    <w:rsid w:val="11673533"/>
    <w:rsid w:val="116A6B7F"/>
    <w:rsid w:val="116E6670"/>
    <w:rsid w:val="11717F0E"/>
    <w:rsid w:val="117618C6"/>
    <w:rsid w:val="1178129C"/>
    <w:rsid w:val="117A5014"/>
    <w:rsid w:val="117D68B3"/>
    <w:rsid w:val="117E185E"/>
    <w:rsid w:val="117F6ACF"/>
    <w:rsid w:val="11811732"/>
    <w:rsid w:val="118A6CA0"/>
    <w:rsid w:val="118E0AC0"/>
    <w:rsid w:val="119C5AA8"/>
    <w:rsid w:val="11A05CA3"/>
    <w:rsid w:val="11A16A45"/>
    <w:rsid w:val="11A2456B"/>
    <w:rsid w:val="11A32AB7"/>
    <w:rsid w:val="11AA2F63"/>
    <w:rsid w:val="11B04EDA"/>
    <w:rsid w:val="11B232FE"/>
    <w:rsid w:val="11C049F1"/>
    <w:rsid w:val="11C269BB"/>
    <w:rsid w:val="11C450E6"/>
    <w:rsid w:val="11C54C7E"/>
    <w:rsid w:val="11C73FD2"/>
    <w:rsid w:val="11C75D80"/>
    <w:rsid w:val="11CC15E8"/>
    <w:rsid w:val="11CE710E"/>
    <w:rsid w:val="11CE752D"/>
    <w:rsid w:val="11D010D8"/>
    <w:rsid w:val="11D02E86"/>
    <w:rsid w:val="11D230A2"/>
    <w:rsid w:val="11D373CE"/>
    <w:rsid w:val="11D62156"/>
    <w:rsid w:val="11D72467"/>
    <w:rsid w:val="11D84431"/>
    <w:rsid w:val="11DD37F5"/>
    <w:rsid w:val="11DF30C9"/>
    <w:rsid w:val="11E44B84"/>
    <w:rsid w:val="11E46AD9"/>
    <w:rsid w:val="11E9219A"/>
    <w:rsid w:val="11EB0C04"/>
    <w:rsid w:val="11EE77B0"/>
    <w:rsid w:val="11F0177A"/>
    <w:rsid w:val="11F47FFB"/>
    <w:rsid w:val="11F72B09"/>
    <w:rsid w:val="11F76665"/>
    <w:rsid w:val="11FA6155"/>
    <w:rsid w:val="11FC1ECD"/>
    <w:rsid w:val="11FC3E71"/>
    <w:rsid w:val="11FE3312"/>
    <w:rsid w:val="12042B30"/>
    <w:rsid w:val="12072620"/>
    <w:rsid w:val="120D40DA"/>
    <w:rsid w:val="12152F8F"/>
    <w:rsid w:val="121865DB"/>
    <w:rsid w:val="121A67F7"/>
    <w:rsid w:val="121C431D"/>
    <w:rsid w:val="121E5D7B"/>
    <w:rsid w:val="121E62E8"/>
    <w:rsid w:val="121F796A"/>
    <w:rsid w:val="12266F4A"/>
    <w:rsid w:val="122B06C2"/>
    <w:rsid w:val="122D7F4C"/>
    <w:rsid w:val="122E5DFF"/>
    <w:rsid w:val="12327017"/>
    <w:rsid w:val="1232769D"/>
    <w:rsid w:val="12331667"/>
    <w:rsid w:val="12373093"/>
    <w:rsid w:val="123738A9"/>
    <w:rsid w:val="12380A2C"/>
    <w:rsid w:val="12394ECF"/>
    <w:rsid w:val="1240313D"/>
    <w:rsid w:val="12445622"/>
    <w:rsid w:val="12463148"/>
    <w:rsid w:val="124B4C03"/>
    <w:rsid w:val="124D2729"/>
    <w:rsid w:val="12502B21"/>
    <w:rsid w:val="12575478"/>
    <w:rsid w:val="125A6BF4"/>
    <w:rsid w:val="125A7AA6"/>
    <w:rsid w:val="125D0492"/>
    <w:rsid w:val="12635AA8"/>
    <w:rsid w:val="126A321F"/>
    <w:rsid w:val="126D2DCB"/>
    <w:rsid w:val="126D6927"/>
    <w:rsid w:val="127001C5"/>
    <w:rsid w:val="127140EA"/>
    <w:rsid w:val="12744159"/>
    <w:rsid w:val="127759F8"/>
    <w:rsid w:val="12791770"/>
    <w:rsid w:val="127A1044"/>
    <w:rsid w:val="127B49BD"/>
    <w:rsid w:val="127C6B6A"/>
    <w:rsid w:val="127E6D86"/>
    <w:rsid w:val="127F48AC"/>
    <w:rsid w:val="12810624"/>
    <w:rsid w:val="12844F29"/>
    <w:rsid w:val="12863E8D"/>
    <w:rsid w:val="128679E9"/>
    <w:rsid w:val="1289734F"/>
    <w:rsid w:val="128B3251"/>
    <w:rsid w:val="12994E87"/>
    <w:rsid w:val="129E4D32"/>
    <w:rsid w:val="129F0AAB"/>
    <w:rsid w:val="129F5B09"/>
    <w:rsid w:val="12A143E4"/>
    <w:rsid w:val="12A40CC7"/>
    <w:rsid w:val="12A604AE"/>
    <w:rsid w:val="12AB56A1"/>
    <w:rsid w:val="12AD1419"/>
    <w:rsid w:val="12AE3240"/>
    <w:rsid w:val="12B04A66"/>
    <w:rsid w:val="12B5308E"/>
    <w:rsid w:val="12B91B6C"/>
    <w:rsid w:val="12BA4BDF"/>
    <w:rsid w:val="12C05E31"/>
    <w:rsid w:val="12C30D5F"/>
    <w:rsid w:val="12C50511"/>
    <w:rsid w:val="12C81DAF"/>
    <w:rsid w:val="12D138EB"/>
    <w:rsid w:val="12D44BF8"/>
    <w:rsid w:val="12DB7D35"/>
    <w:rsid w:val="12DC179C"/>
    <w:rsid w:val="12DD1CFF"/>
    <w:rsid w:val="12E267A6"/>
    <w:rsid w:val="12E3308D"/>
    <w:rsid w:val="12E34E3B"/>
    <w:rsid w:val="12E7492B"/>
    <w:rsid w:val="12EA61CA"/>
    <w:rsid w:val="12EB3CF0"/>
    <w:rsid w:val="12ED7A68"/>
    <w:rsid w:val="12F2507E"/>
    <w:rsid w:val="12F36DB2"/>
    <w:rsid w:val="12F40DF6"/>
    <w:rsid w:val="12F6691D"/>
    <w:rsid w:val="12F708E7"/>
    <w:rsid w:val="130152C1"/>
    <w:rsid w:val="130354DD"/>
    <w:rsid w:val="13071CE4"/>
    <w:rsid w:val="13076D7C"/>
    <w:rsid w:val="13097217"/>
    <w:rsid w:val="130A23C8"/>
    <w:rsid w:val="130C25E4"/>
    <w:rsid w:val="130C4392"/>
    <w:rsid w:val="130C5FE0"/>
    <w:rsid w:val="130F79DE"/>
    <w:rsid w:val="131119A8"/>
    <w:rsid w:val="13117BFA"/>
    <w:rsid w:val="13141499"/>
    <w:rsid w:val="13171F28"/>
    <w:rsid w:val="13182D37"/>
    <w:rsid w:val="131836D1"/>
    <w:rsid w:val="1319260B"/>
    <w:rsid w:val="13196AAF"/>
    <w:rsid w:val="131C5101"/>
    <w:rsid w:val="13201BEB"/>
    <w:rsid w:val="13223BB5"/>
    <w:rsid w:val="13225964"/>
    <w:rsid w:val="132536A6"/>
    <w:rsid w:val="13272F7A"/>
    <w:rsid w:val="13294F44"/>
    <w:rsid w:val="132C233E"/>
    <w:rsid w:val="13370CE3"/>
    <w:rsid w:val="133D279D"/>
    <w:rsid w:val="133D3E1D"/>
    <w:rsid w:val="133E6515"/>
    <w:rsid w:val="13460082"/>
    <w:rsid w:val="13495C7E"/>
    <w:rsid w:val="134A310C"/>
    <w:rsid w:val="134E49AB"/>
    <w:rsid w:val="134F427F"/>
    <w:rsid w:val="13535D11"/>
    <w:rsid w:val="135D4BEE"/>
    <w:rsid w:val="13620456"/>
    <w:rsid w:val="13637D2A"/>
    <w:rsid w:val="136917E4"/>
    <w:rsid w:val="13702B73"/>
    <w:rsid w:val="13722A67"/>
    <w:rsid w:val="137361BF"/>
    <w:rsid w:val="13743CE5"/>
    <w:rsid w:val="1377358E"/>
    <w:rsid w:val="13781A27"/>
    <w:rsid w:val="137B0136"/>
    <w:rsid w:val="137B5074"/>
    <w:rsid w:val="137D34C8"/>
    <w:rsid w:val="13857CA0"/>
    <w:rsid w:val="13871C6A"/>
    <w:rsid w:val="13893C35"/>
    <w:rsid w:val="138C102F"/>
    <w:rsid w:val="138C54D3"/>
    <w:rsid w:val="13914897"/>
    <w:rsid w:val="139254CE"/>
    <w:rsid w:val="13951726"/>
    <w:rsid w:val="139D188B"/>
    <w:rsid w:val="13A66F92"/>
    <w:rsid w:val="13A7230D"/>
    <w:rsid w:val="13AE369B"/>
    <w:rsid w:val="13B14F39"/>
    <w:rsid w:val="13B32A60"/>
    <w:rsid w:val="13B660AC"/>
    <w:rsid w:val="13BD38DE"/>
    <w:rsid w:val="13C133CE"/>
    <w:rsid w:val="13C1400A"/>
    <w:rsid w:val="13C277AD"/>
    <w:rsid w:val="13C30AFC"/>
    <w:rsid w:val="13CC58CF"/>
    <w:rsid w:val="13CE4568"/>
    <w:rsid w:val="13CE7DBD"/>
    <w:rsid w:val="13E16F11"/>
    <w:rsid w:val="13E250F3"/>
    <w:rsid w:val="13E64BE3"/>
    <w:rsid w:val="13EB137C"/>
    <w:rsid w:val="13F05A62"/>
    <w:rsid w:val="13FA243C"/>
    <w:rsid w:val="13FA68E0"/>
    <w:rsid w:val="13FB6FA3"/>
    <w:rsid w:val="13FF7A53"/>
    <w:rsid w:val="14076907"/>
    <w:rsid w:val="140908D1"/>
    <w:rsid w:val="14103A0E"/>
    <w:rsid w:val="14186D67"/>
    <w:rsid w:val="14197487"/>
    <w:rsid w:val="141C6857"/>
    <w:rsid w:val="141E70C5"/>
    <w:rsid w:val="14213FC1"/>
    <w:rsid w:val="14215C1B"/>
    <w:rsid w:val="14221EEF"/>
    <w:rsid w:val="14261483"/>
    <w:rsid w:val="14270D58"/>
    <w:rsid w:val="14295324"/>
    <w:rsid w:val="142D2812"/>
    <w:rsid w:val="142E5135"/>
    <w:rsid w:val="142E658A"/>
    <w:rsid w:val="14305E5E"/>
    <w:rsid w:val="1432607A"/>
    <w:rsid w:val="143771ED"/>
    <w:rsid w:val="14396509"/>
    <w:rsid w:val="143E4A1F"/>
    <w:rsid w:val="143F3336"/>
    <w:rsid w:val="143F60A1"/>
    <w:rsid w:val="1441006B"/>
    <w:rsid w:val="1447165C"/>
    <w:rsid w:val="1448144A"/>
    <w:rsid w:val="144B0EEA"/>
    <w:rsid w:val="144B713C"/>
    <w:rsid w:val="145002AE"/>
    <w:rsid w:val="14515DD5"/>
    <w:rsid w:val="14575AE1"/>
    <w:rsid w:val="14592FC7"/>
    <w:rsid w:val="145A737F"/>
    <w:rsid w:val="145C4EA5"/>
    <w:rsid w:val="145E6E6F"/>
    <w:rsid w:val="14611454"/>
    <w:rsid w:val="14612B95"/>
    <w:rsid w:val="14643D5A"/>
    <w:rsid w:val="14691370"/>
    <w:rsid w:val="146C1B76"/>
    <w:rsid w:val="146D0E60"/>
    <w:rsid w:val="146E4BD8"/>
    <w:rsid w:val="146E5199"/>
    <w:rsid w:val="147026FF"/>
    <w:rsid w:val="14733F9D"/>
    <w:rsid w:val="14756348"/>
    <w:rsid w:val="147815B3"/>
    <w:rsid w:val="14795A57"/>
    <w:rsid w:val="147E16A4"/>
    <w:rsid w:val="14860174"/>
    <w:rsid w:val="14885C9A"/>
    <w:rsid w:val="148A7C64"/>
    <w:rsid w:val="148C7CBF"/>
    <w:rsid w:val="148F0807"/>
    <w:rsid w:val="14902DA1"/>
    <w:rsid w:val="149503B7"/>
    <w:rsid w:val="14952165"/>
    <w:rsid w:val="149C7305"/>
    <w:rsid w:val="14A16D5C"/>
    <w:rsid w:val="14A207E8"/>
    <w:rsid w:val="14A25CD1"/>
    <w:rsid w:val="14A300D8"/>
    <w:rsid w:val="14A40884"/>
    <w:rsid w:val="14A960ED"/>
    <w:rsid w:val="14AD5701"/>
    <w:rsid w:val="14B06F9F"/>
    <w:rsid w:val="14B24AC5"/>
    <w:rsid w:val="14B44D5D"/>
    <w:rsid w:val="14B91001"/>
    <w:rsid w:val="14BA1BCC"/>
    <w:rsid w:val="14C1721D"/>
    <w:rsid w:val="14C60571"/>
    <w:rsid w:val="14C667C2"/>
    <w:rsid w:val="14C842E9"/>
    <w:rsid w:val="14C91E0F"/>
    <w:rsid w:val="14D05CA0"/>
    <w:rsid w:val="14D47131"/>
    <w:rsid w:val="14D709D0"/>
    <w:rsid w:val="14D94748"/>
    <w:rsid w:val="14DC7D94"/>
    <w:rsid w:val="14E05AD6"/>
    <w:rsid w:val="14E1184E"/>
    <w:rsid w:val="14E12169"/>
    <w:rsid w:val="14E31122"/>
    <w:rsid w:val="14E8498B"/>
    <w:rsid w:val="14E9477F"/>
    <w:rsid w:val="14ED1FA1"/>
    <w:rsid w:val="14EF1875"/>
    <w:rsid w:val="14EF7AC7"/>
    <w:rsid w:val="14F1476F"/>
    <w:rsid w:val="14F47D6F"/>
    <w:rsid w:val="14F65E5A"/>
    <w:rsid w:val="14F9337C"/>
    <w:rsid w:val="14FE4367"/>
    <w:rsid w:val="15007F26"/>
    <w:rsid w:val="15054F9B"/>
    <w:rsid w:val="1505553D"/>
    <w:rsid w:val="150712B5"/>
    <w:rsid w:val="15080B89"/>
    <w:rsid w:val="150D619F"/>
    <w:rsid w:val="150F1F18"/>
    <w:rsid w:val="150F3CC6"/>
    <w:rsid w:val="151B539B"/>
    <w:rsid w:val="151C63E2"/>
    <w:rsid w:val="151E215B"/>
    <w:rsid w:val="15202377"/>
    <w:rsid w:val="15205ED3"/>
    <w:rsid w:val="15233B2D"/>
    <w:rsid w:val="1526228F"/>
    <w:rsid w:val="152E2759"/>
    <w:rsid w:val="1537146E"/>
    <w:rsid w:val="153B2D0D"/>
    <w:rsid w:val="15451DDD"/>
    <w:rsid w:val="154871D8"/>
    <w:rsid w:val="154A11A2"/>
    <w:rsid w:val="154A73F4"/>
    <w:rsid w:val="154C6CC8"/>
    <w:rsid w:val="154D0C92"/>
    <w:rsid w:val="154D2A40"/>
    <w:rsid w:val="154E022A"/>
    <w:rsid w:val="15521101"/>
    <w:rsid w:val="15542020"/>
    <w:rsid w:val="15570834"/>
    <w:rsid w:val="15581B10"/>
    <w:rsid w:val="15595889"/>
    <w:rsid w:val="155C4C28"/>
    <w:rsid w:val="15624F26"/>
    <w:rsid w:val="15634011"/>
    <w:rsid w:val="15695ACC"/>
    <w:rsid w:val="156D5C71"/>
    <w:rsid w:val="15744B16"/>
    <w:rsid w:val="15791A87"/>
    <w:rsid w:val="157D4738"/>
    <w:rsid w:val="15804BC3"/>
    <w:rsid w:val="158741A4"/>
    <w:rsid w:val="15877D00"/>
    <w:rsid w:val="15883A78"/>
    <w:rsid w:val="15897F1C"/>
    <w:rsid w:val="158C17BA"/>
    <w:rsid w:val="158C2634"/>
    <w:rsid w:val="159468C1"/>
    <w:rsid w:val="15A40BEE"/>
    <w:rsid w:val="15A5287C"/>
    <w:rsid w:val="15A779A4"/>
    <w:rsid w:val="15A85EC8"/>
    <w:rsid w:val="15A9236C"/>
    <w:rsid w:val="15AC59B8"/>
    <w:rsid w:val="15AE34DE"/>
    <w:rsid w:val="15BB209F"/>
    <w:rsid w:val="15BD5E17"/>
    <w:rsid w:val="15C72C7C"/>
    <w:rsid w:val="15C90318"/>
    <w:rsid w:val="15CA4090"/>
    <w:rsid w:val="15CB06E2"/>
    <w:rsid w:val="15D33DF0"/>
    <w:rsid w:val="15D76017"/>
    <w:rsid w:val="15DD0268"/>
    <w:rsid w:val="15E05662"/>
    <w:rsid w:val="15E46F00"/>
    <w:rsid w:val="15E769F0"/>
    <w:rsid w:val="15EE7D7F"/>
    <w:rsid w:val="15F66C34"/>
    <w:rsid w:val="15FA2BC8"/>
    <w:rsid w:val="15FA6724"/>
    <w:rsid w:val="15FF1F8C"/>
    <w:rsid w:val="15FF3D3A"/>
    <w:rsid w:val="16027CCE"/>
    <w:rsid w:val="160457F4"/>
    <w:rsid w:val="16077A7C"/>
    <w:rsid w:val="1609105D"/>
    <w:rsid w:val="160A26DF"/>
    <w:rsid w:val="160B0931"/>
    <w:rsid w:val="160B1CC9"/>
    <w:rsid w:val="160E0421"/>
    <w:rsid w:val="160E696E"/>
    <w:rsid w:val="16126189"/>
    <w:rsid w:val="16131283"/>
    <w:rsid w:val="16135A37"/>
    <w:rsid w:val="1615355E"/>
    <w:rsid w:val="16175528"/>
    <w:rsid w:val="161C0D90"/>
    <w:rsid w:val="161C2B3E"/>
    <w:rsid w:val="161F262E"/>
    <w:rsid w:val="162419F3"/>
    <w:rsid w:val="162C6AF9"/>
    <w:rsid w:val="162E2871"/>
    <w:rsid w:val="162F5EEB"/>
    <w:rsid w:val="163757C5"/>
    <w:rsid w:val="16380A5A"/>
    <w:rsid w:val="16386068"/>
    <w:rsid w:val="163F4A7E"/>
    <w:rsid w:val="16411730"/>
    <w:rsid w:val="16456719"/>
    <w:rsid w:val="164707FC"/>
    <w:rsid w:val="1649352F"/>
    <w:rsid w:val="16504596"/>
    <w:rsid w:val="165266F1"/>
    <w:rsid w:val="16531DCD"/>
    <w:rsid w:val="1658169C"/>
    <w:rsid w:val="165B2F3A"/>
    <w:rsid w:val="165B64DD"/>
    <w:rsid w:val="165C73DE"/>
    <w:rsid w:val="16617428"/>
    <w:rsid w:val="16640041"/>
    <w:rsid w:val="166B7621"/>
    <w:rsid w:val="166D55CB"/>
    <w:rsid w:val="166E0EC0"/>
    <w:rsid w:val="167209B0"/>
    <w:rsid w:val="167364D6"/>
    <w:rsid w:val="16777D74"/>
    <w:rsid w:val="167B7C4B"/>
    <w:rsid w:val="167C44F8"/>
    <w:rsid w:val="16826719"/>
    <w:rsid w:val="168626AD"/>
    <w:rsid w:val="16872A35"/>
    <w:rsid w:val="168B7CC4"/>
    <w:rsid w:val="168D57EA"/>
    <w:rsid w:val="16900E36"/>
    <w:rsid w:val="1694148D"/>
    <w:rsid w:val="1695469E"/>
    <w:rsid w:val="1699418F"/>
    <w:rsid w:val="169C5A2D"/>
    <w:rsid w:val="169D3553"/>
    <w:rsid w:val="169E79F7"/>
    <w:rsid w:val="169F551D"/>
    <w:rsid w:val="169F72CB"/>
    <w:rsid w:val="16A13043"/>
    <w:rsid w:val="16A36DBB"/>
    <w:rsid w:val="16A81790"/>
    <w:rsid w:val="16AB2114"/>
    <w:rsid w:val="16AB658F"/>
    <w:rsid w:val="16AD19E8"/>
    <w:rsid w:val="16B014D8"/>
    <w:rsid w:val="16B207CA"/>
    <w:rsid w:val="16B9038D"/>
    <w:rsid w:val="16BB3C28"/>
    <w:rsid w:val="16BC5986"/>
    <w:rsid w:val="16C44AD8"/>
    <w:rsid w:val="16C4566D"/>
    <w:rsid w:val="16D276A1"/>
    <w:rsid w:val="16D650DD"/>
    <w:rsid w:val="16DA6555"/>
    <w:rsid w:val="16DF3B6C"/>
    <w:rsid w:val="16E82A20"/>
    <w:rsid w:val="16F45869"/>
    <w:rsid w:val="16F615E1"/>
    <w:rsid w:val="16F92E7F"/>
    <w:rsid w:val="16FB4332"/>
    <w:rsid w:val="17066928"/>
    <w:rsid w:val="17084E91"/>
    <w:rsid w:val="171364CE"/>
    <w:rsid w:val="17171557"/>
    <w:rsid w:val="171A6059"/>
    <w:rsid w:val="171F2C3F"/>
    <w:rsid w:val="172120C7"/>
    <w:rsid w:val="17215F32"/>
    <w:rsid w:val="17221F62"/>
    <w:rsid w:val="172805BA"/>
    <w:rsid w:val="17281893"/>
    <w:rsid w:val="17285513"/>
    <w:rsid w:val="173043C7"/>
    <w:rsid w:val="17312619"/>
    <w:rsid w:val="17312D11"/>
    <w:rsid w:val="17342109"/>
    <w:rsid w:val="1735378C"/>
    <w:rsid w:val="173C34E8"/>
    <w:rsid w:val="1740285C"/>
    <w:rsid w:val="174165D4"/>
    <w:rsid w:val="17465999"/>
    <w:rsid w:val="17471E3D"/>
    <w:rsid w:val="174C7453"/>
    <w:rsid w:val="17525B6D"/>
    <w:rsid w:val="17563E2E"/>
    <w:rsid w:val="175653EE"/>
    <w:rsid w:val="17577BA6"/>
    <w:rsid w:val="175C6F6A"/>
    <w:rsid w:val="17666845"/>
    <w:rsid w:val="176A1687"/>
    <w:rsid w:val="176A78D9"/>
    <w:rsid w:val="176C4AB8"/>
    <w:rsid w:val="176C7FAF"/>
    <w:rsid w:val="176D1177"/>
    <w:rsid w:val="1770386E"/>
    <w:rsid w:val="17714935"/>
    <w:rsid w:val="177235B3"/>
    <w:rsid w:val="17735226"/>
    <w:rsid w:val="177B1AE6"/>
    <w:rsid w:val="177D49C9"/>
    <w:rsid w:val="177D585E"/>
    <w:rsid w:val="17832749"/>
    <w:rsid w:val="17842AD0"/>
    <w:rsid w:val="178564C1"/>
    <w:rsid w:val="1787048B"/>
    <w:rsid w:val="178B7795"/>
    <w:rsid w:val="178D1819"/>
    <w:rsid w:val="178E7A6B"/>
    <w:rsid w:val="178F7340"/>
    <w:rsid w:val="179606CE"/>
    <w:rsid w:val="17994519"/>
    <w:rsid w:val="17994B59"/>
    <w:rsid w:val="179C49C1"/>
    <w:rsid w:val="179E7583"/>
    <w:rsid w:val="17A06CE7"/>
    <w:rsid w:val="17A56B63"/>
    <w:rsid w:val="17A728DB"/>
    <w:rsid w:val="17A75F91"/>
    <w:rsid w:val="17A80401"/>
    <w:rsid w:val="17AA4179"/>
    <w:rsid w:val="17AC1CA0"/>
    <w:rsid w:val="17B15508"/>
    <w:rsid w:val="17B41E54"/>
    <w:rsid w:val="17B631A7"/>
    <w:rsid w:val="17B80644"/>
    <w:rsid w:val="17B91FA2"/>
    <w:rsid w:val="17B9260F"/>
    <w:rsid w:val="17BB3400"/>
    <w:rsid w:val="17C074F9"/>
    <w:rsid w:val="17C52D61"/>
    <w:rsid w:val="17C76AD9"/>
    <w:rsid w:val="17D43BE0"/>
    <w:rsid w:val="17DA4A5F"/>
    <w:rsid w:val="17DE55A1"/>
    <w:rsid w:val="17E21B65"/>
    <w:rsid w:val="17E72CD8"/>
    <w:rsid w:val="17E94CA2"/>
    <w:rsid w:val="17EC6540"/>
    <w:rsid w:val="17EF6030"/>
    <w:rsid w:val="17EF7DDE"/>
    <w:rsid w:val="17F12BE8"/>
    <w:rsid w:val="17F324AA"/>
    <w:rsid w:val="18055854"/>
    <w:rsid w:val="18057602"/>
    <w:rsid w:val="18094A7F"/>
    <w:rsid w:val="18095344"/>
    <w:rsid w:val="180A2E6A"/>
    <w:rsid w:val="180D7C95"/>
    <w:rsid w:val="18100480"/>
    <w:rsid w:val="18117D55"/>
    <w:rsid w:val="18134CAA"/>
    <w:rsid w:val="18147845"/>
    <w:rsid w:val="18165F03"/>
    <w:rsid w:val="182061EA"/>
    <w:rsid w:val="182201B4"/>
    <w:rsid w:val="18226406"/>
    <w:rsid w:val="18295F5F"/>
    <w:rsid w:val="18297794"/>
    <w:rsid w:val="182B6DD0"/>
    <w:rsid w:val="182C4B8E"/>
    <w:rsid w:val="182E0907"/>
    <w:rsid w:val="1833416F"/>
    <w:rsid w:val="18351C95"/>
    <w:rsid w:val="18363C5F"/>
    <w:rsid w:val="183879D7"/>
    <w:rsid w:val="183A60CC"/>
    <w:rsid w:val="183D6D9C"/>
    <w:rsid w:val="183E57A4"/>
    <w:rsid w:val="183F2B14"/>
    <w:rsid w:val="1840063A"/>
    <w:rsid w:val="184243B2"/>
    <w:rsid w:val="18477C1A"/>
    <w:rsid w:val="185540E5"/>
    <w:rsid w:val="18581E27"/>
    <w:rsid w:val="18583BD5"/>
    <w:rsid w:val="1869193F"/>
    <w:rsid w:val="186B56B7"/>
    <w:rsid w:val="186F23AF"/>
    <w:rsid w:val="18714C97"/>
    <w:rsid w:val="187529D9"/>
    <w:rsid w:val="187A1D9E"/>
    <w:rsid w:val="187F1162"/>
    <w:rsid w:val="18826EA4"/>
    <w:rsid w:val="18833979"/>
    <w:rsid w:val="188744BB"/>
    <w:rsid w:val="1888635B"/>
    <w:rsid w:val="18893D8F"/>
    <w:rsid w:val="188B5D59"/>
    <w:rsid w:val="18954E2A"/>
    <w:rsid w:val="18956899"/>
    <w:rsid w:val="18982224"/>
    <w:rsid w:val="18985DE5"/>
    <w:rsid w:val="18A46E1B"/>
    <w:rsid w:val="18AA6B24"/>
    <w:rsid w:val="18AE0D2F"/>
    <w:rsid w:val="18AF5EEB"/>
    <w:rsid w:val="18B0756E"/>
    <w:rsid w:val="18B21538"/>
    <w:rsid w:val="18B90B18"/>
    <w:rsid w:val="18BC23B6"/>
    <w:rsid w:val="18BF12FA"/>
    <w:rsid w:val="18C13529"/>
    <w:rsid w:val="18C179CD"/>
    <w:rsid w:val="18C63235"/>
    <w:rsid w:val="18C64FE3"/>
    <w:rsid w:val="18C87522"/>
    <w:rsid w:val="18C94AD3"/>
    <w:rsid w:val="18C96881"/>
    <w:rsid w:val="18CD45C3"/>
    <w:rsid w:val="18CE20EA"/>
    <w:rsid w:val="18D07C10"/>
    <w:rsid w:val="18D47700"/>
    <w:rsid w:val="18D72D4C"/>
    <w:rsid w:val="18DD40DB"/>
    <w:rsid w:val="18E35B95"/>
    <w:rsid w:val="18E37943"/>
    <w:rsid w:val="18E86D07"/>
    <w:rsid w:val="18EB67F8"/>
    <w:rsid w:val="18ED08AB"/>
    <w:rsid w:val="18F179C4"/>
    <w:rsid w:val="18FA6A3B"/>
    <w:rsid w:val="18FC6C57"/>
    <w:rsid w:val="18FE29CF"/>
    <w:rsid w:val="190470B1"/>
    <w:rsid w:val="190873AA"/>
    <w:rsid w:val="19094547"/>
    <w:rsid w:val="190B6E9A"/>
    <w:rsid w:val="19103908"/>
    <w:rsid w:val="1910625E"/>
    <w:rsid w:val="19130CA3"/>
    <w:rsid w:val="19185113"/>
    <w:rsid w:val="191A0E8B"/>
    <w:rsid w:val="191A70DD"/>
    <w:rsid w:val="191C2E55"/>
    <w:rsid w:val="191C59B6"/>
    <w:rsid w:val="192341E3"/>
    <w:rsid w:val="192A37C4"/>
    <w:rsid w:val="192D79FD"/>
    <w:rsid w:val="192F4936"/>
    <w:rsid w:val="193208CA"/>
    <w:rsid w:val="19371A3D"/>
    <w:rsid w:val="193F08F1"/>
    <w:rsid w:val="19404D95"/>
    <w:rsid w:val="1941466A"/>
    <w:rsid w:val="19436634"/>
    <w:rsid w:val="194D74B2"/>
    <w:rsid w:val="194F7E45"/>
    <w:rsid w:val="19520625"/>
    <w:rsid w:val="19550115"/>
    <w:rsid w:val="195645B9"/>
    <w:rsid w:val="19570331"/>
    <w:rsid w:val="19572D68"/>
    <w:rsid w:val="195C1FE7"/>
    <w:rsid w:val="195D6EAA"/>
    <w:rsid w:val="19650358"/>
    <w:rsid w:val="196565AA"/>
    <w:rsid w:val="196842EC"/>
    <w:rsid w:val="1968518A"/>
    <w:rsid w:val="1968609A"/>
    <w:rsid w:val="196A0064"/>
    <w:rsid w:val="196F11D7"/>
    <w:rsid w:val="19713BDF"/>
    <w:rsid w:val="1973708C"/>
    <w:rsid w:val="197762DD"/>
    <w:rsid w:val="19793E03"/>
    <w:rsid w:val="197C1B46"/>
    <w:rsid w:val="197C38F4"/>
    <w:rsid w:val="198253AE"/>
    <w:rsid w:val="19847484"/>
    <w:rsid w:val="198B3B37"/>
    <w:rsid w:val="1990114D"/>
    <w:rsid w:val="199109E2"/>
    <w:rsid w:val="19940C3D"/>
    <w:rsid w:val="19962FCC"/>
    <w:rsid w:val="199E50E5"/>
    <w:rsid w:val="19A05834"/>
    <w:rsid w:val="19A31463"/>
    <w:rsid w:val="19A52E4A"/>
    <w:rsid w:val="19A74E14"/>
    <w:rsid w:val="19AA66B3"/>
    <w:rsid w:val="19AC41D9"/>
    <w:rsid w:val="19AC5F87"/>
    <w:rsid w:val="19AF7825"/>
    <w:rsid w:val="19B22744"/>
    <w:rsid w:val="19B337B9"/>
    <w:rsid w:val="19B65058"/>
    <w:rsid w:val="19BB441C"/>
    <w:rsid w:val="19BD63E6"/>
    <w:rsid w:val="19BD7605"/>
    <w:rsid w:val="19BE5CBA"/>
    <w:rsid w:val="19C01A32"/>
    <w:rsid w:val="19C07C84"/>
    <w:rsid w:val="19C86B39"/>
    <w:rsid w:val="19CC487B"/>
    <w:rsid w:val="19CF1C75"/>
    <w:rsid w:val="19D35C0A"/>
    <w:rsid w:val="19D63004"/>
    <w:rsid w:val="19D90D46"/>
    <w:rsid w:val="19DC4BBB"/>
    <w:rsid w:val="19E03E83"/>
    <w:rsid w:val="19E41BC5"/>
    <w:rsid w:val="19E96351"/>
    <w:rsid w:val="19F25F57"/>
    <w:rsid w:val="19F30585"/>
    <w:rsid w:val="19F31E08"/>
    <w:rsid w:val="19F33BB6"/>
    <w:rsid w:val="19F45B80"/>
    <w:rsid w:val="19FF69FF"/>
    <w:rsid w:val="1A027F67"/>
    <w:rsid w:val="1A0538E9"/>
    <w:rsid w:val="1A057D8D"/>
    <w:rsid w:val="1A085187"/>
    <w:rsid w:val="1A09138C"/>
    <w:rsid w:val="1A0C2EC9"/>
    <w:rsid w:val="1A18361C"/>
    <w:rsid w:val="1A1C66C0"/>
    <w:rsid w:val="1A1F0E4F"/>
    <w:rsid w:val="1A240213"/>
    <w:rsid w:val="1A27385F"/>
    <w:rsid w:val="1A2B77F4"/>
    <w:rsid w:val="1A2D1611"/>
    <w:rsid w:val="1A2E2E40"/>
    <w:rsid w:val="1A2E4BEE"/>
    <w:rsid w:val="1A3270F1"/>
    <w:rsid w:val="1A367F46"/>
    <w:rsid w:val="1A3A7A37"/>
    <w:rsid w:val="1A3F5F9B"/>
    <w:rsid w:val="1A404921"/>
    <w:rsid w:val="1A42393B"/>
    <w:rsid w:val="1A4268EB"/>
    <w:rsid w:val="1A435F0A"/>
    <w:rsid w:val="1A441CBC"/>
    <w:rsid w:val="1A4A57A0"/>
    <w:rsid w:val="1A4B1C44"/>
    <w:rsid w:val="1A4E34E2"/>
    <w:rsid w:val="1A4E4600"/>
    <w:rsid w:val="1A516B2E"/>
    <w:rsid w:val="1A526911"/>
    <w:rsid w:val="1A58610F"/>
    <w:rsid w:val="1A5A4033"/>
    <w:rsid w:val="1A5E6E65"/>
    <w:rsid w:val="1A6745A4"/>
    <w:rsid w:val="1A6751A7"/>
    <w:rsid w:val="1A693E78"/>
    <w:rsid w:val="1A6C1BBA"/>
    <w:rsid w:val="1A6C5716"/>
    <w:rsid w:val="1A7016AA"/>
    <w:rsid w:val="1A7036F0"/>
    <w:rsid w:val="1A75606A"/>
    <w:rsid w:val="1A766595"/>
    <w:rsid w:val="1A780499"/>
    <w:rsid w:val="1A7A42D7"/>
    <w:rsid w:val="1A7A5E19"/>
    <w:rsid w:val="1A7A7E33"/>
    <w:rsid w:val="1A7D2C10"/>
    <w:rsid w:val="1A7D5B75"/>
    <w:rsid w:val="1A7D7923"/>
    <w:rsid w:val="1A7E53C6"/>
    <w:rsid w:val="1A824F3A"/>
    <w:rsid w:val="1A8A7F67"/>
    <w:rsid w:val="1A8E38DF"/>
    <w:rsid w:val="1A907657"/>
    <w:rsid w:val="1A924679"/>
    <w:rsid w:val="1A9475CB"/>
    <w:rsid w:val="1A9A74A1"/>
    <w:rsid w:val="1A9D2550"/>
    <w:rsid w:val="1A9D4337"/>
    <w:rsid w:val="1A9D6217"/>
    <w:rsid w:val="1A9F5AEC"/>
    <w:rsid w:val="1AA66E7A"/>
    <w:rsid w:val="1AA90718"/>
    <w:rsid w:val="1AAE5D2F"/>
    <w:rsid w:val="1AB05F4B"/>
    <w:rsid w:val="1AB33345"/>
    <w:rsid w:val="1AB610DA"/>
    <w:rsid w:val="1AB833B2"/>
    <w:rsid w:val="1AB86E8B"/>
    <w:rsid w:val="1AB94A4F"/>
    <w:rsid w:val="1ABF08C1"/>
    <w:rsid w:val="1AC60017"/>
    <w:rsid w:val="1AC840ED"/>
    <w:rsid w:val="1AC94917"/>
    <w:rsid w:val="1ACD2659"/>
    <w:rsid w:val="1ACE4623"/>
    <w:rsid w:val="1ADB5522"/>
    <w:rsid w:val="1AE027CB"/>
    <w:rsid w:val="1AE41750"/>
    <w:rsid w:val="1AE6196C"/>
    <w:rsid w:val="1AE856E5"/>
    <w:rsid w:val="1AE94FB9"/>
    <w:rsid w:val="1AEB35C0"/>
    <w:rsid w:val="1AEE7796"/>
    <w:rsid w:val="1AF220BF"/>
    <w:rsid w:val="1AF5395E"/>
    <w:rsid w:val="1AF776D6"/>
    <w:rsid w:val="1AF851FC"/>
    <w:rsid w:val="1AFB27F7"/>
    <w:rsid w:val="1AFF47DC"/>
    <w:rsid w:val="1B010952"/>
    <w:rsid w:val="1B040045"/>
    <w:rsid w:val="1B046F80"/>
    <w:rsid w:val="1B063DBD"/>
    <w:rsid w:val="1B122762"/>
    <w:rsid w:val="1B1C0EEA"/>
    <w:rsid w:val="1B1C713C"/>
    <w:rsid w:val="1B1D7B9C"/>
    <w:rsid w:val="1B1F6C2C"/>
    <w:rsid w:val="1B222279"/>
    <w:rsid w:val="1B2E0C1E"/>
    <w:rsid w:val="1B2F50C2"/>
    <w:rsid w:val="1B324BB2"/>
    <w:rsid w:val="1B3267B5"/>
    <w:rsid w:val="1B3501FE"/>
    <w:rsid w:val="1B3705F1"/>
    <w:rsid w:val="1B395C34"/>
    <w:rsid w:val="1B3E3557"/>
    <w:rsid w:val="1B410951"/>
    <w:rsid w:val="1B4346C9"/>
    <w:rsid w:val="1B461B95"/>
    <w:rsid w:val="1B466DA8"/>
    <w:rsid w:val="1B4A1EFB"/>
    <w:rsid w:val="1B4B1205"/>
    <w:rsid w:val="1B4F12C0"/>
    <w:rsid w:val="1B551BB4"/>
    <w:rsid w:val="1B55264E"/>
    <w:rsid w:val="1B5728FE"/>
    <w:rsid w:val="1B5763C6"/>
    <w:rsid w:val="1B5A1A13"/>
    <w:rsid w:val="1B5E59A7"/>
    <w:rsid w:val="1B610FF3"/>
    <w:rsid w:val="1B617DDC"/>
    <w:rsid w:val="1B642891"/>
    <w:rsid w:val="1B650AE3"/>
    <w:rsid w:val="1B684130"/>
    <w:rsid w:val="1B6B62AA"/>
    <w:rsid w:val="1B6E246A"/>
    <w:rsid w:val="1B776A68"/>
    <w:rsid w:val="1B7A20B5"/>
    <w:rsid w:val="1B8371BB"/>
    <w:rsid w:val="1B8917F2"/>
    <w:rsid w:val="1B8D1DE8"/>
    <w:rsid w:val="1B8E559D"/>
    <w:rsid w:val="1B8F5B60"/>
    <w:rsid w:val="1B917546"/>
    <w:rsid w:val="1B917B2A"/>
    <w:rsid w:val="1B974A15"/>
    <w:rsid w:val="1B9B4505"/>
    <w:rsid w:val="1BA809D0"/>
    <w:rsid w:val="1BAA0CF5"/>
    <w:rsid w:val="1BB2184F"/>
    <w:rsid w:val="1BB249FC"/>
    <w:rsid w:val="1BBB4BA7"/>
    <w:rsid w:val="1BBE1FA1"/>
    <w:rsid w:val="1BC25DC8"/>
    <w:rsid w:val="1BC66BE3"/>
    <w:rsid w:val="1BC752FA"/>
    <w:rsid w:val="1BCA3093"/>
    <w:rsid w:val="1BCD6688"/>
    <w:rsid w:val="1BCF3EC0"/>
    <w:rsid w:val="1BD05CC3"/>
    <w:rsid w:val="1BD25A4D"/>
    <w:rsid w:val="1BDD4B1E"/>
    <w:rsid w:val="1BDF119A"/>
    <w:rsid w:val="1BE13EE2"/>
    <w:rsid w:val="1BE67209"/>
    <w:rsid w:val="1BEA548C"/>
    <w:rsid w:val="1BF12377"/>
    <w:rsid w:val="1BF9122C"/>
    <w:rsid w:val="1BF9747E"/>
    <w:rsid w:val="1BFE4A94"/>
    <w:rsid w:val="1C032DB0"/>
    <w:rsid w:val="1C177904"/>
    <w:rsid w:val="1C187CE4"/>
    <w:rsid w:val="1C1918CE"/>
    <w:rsid w:val="1C1F5136"/>
    <w:rsid w:val="1C1F6AB3"/>
    <w:rsid w:val="1C204A0A"/>
    <w:rsid w:val="1C2942AF"/>
    <w:rsid w:val="1C297D63"/>
    <w:rsid w:val="1C2C1601"/>
    <w:rsid w:val="1C2E35CB"/>
    <w:rsid w:val="1C2F2E9F"/>
    <w:rsid w:val="1C2F4C4D"/>
    <w:rsid w:val="1C316C17"/>
    <w:rsid w:val="1C3B5CE8"/>
    <w:rsid w:val="1C3D380E"/>
    <w:rsid w:val="1C3D43D1"/>
    <w:rsid w:val="1C3D55BC"/>
    <w:rsid w:val="1C495A9D"/>
    <w:rsid w:val="1C4C57FF"/>
    <w:rsid w:val="1C4E0B38"/>
    <w:rsid w:val="1C4E1577"/>
    <w:rsid w:val="1C4E77C9"/>
    <w:rsid w:val="1C5341C9"/>
    <w:rsid w:val="1C5D5C5E"/>
    <w:rsid w:val="1C5D7A0C"/>
    <w:rsid w:val="1C5E7925"/>
    <w:rsid w:val="1C5F71C6"/>
    <w:rsid w:val="1C646FED"/>
    <w:rsid w:val="1C6777DD"/>
    <w:rsid w:val="1C69015F"/>
    <w:rsid w:val="1C6A3ED7"/>
    <w:rsid w:val="1C6E1C1A"/>
    <w:rsid w:val="1C7020CB"/>
    <w:rsid w:val="1C704EFA"/>
    <w:rsid w:val="1C712CA5"/>
    <w:rsid w:val="1C735482"/>
    <w:rsid w:val="1C780121"/>
    <w:rsid w:val="1C784846"/>
    <w:rsid w:val="1C821221"/>
    <w:rsid w:val="1C827473"/>
    <w:rsid w:val="1C850DE3"/>
    <w:rsid w:val="1C8615F4"/>
    <w:rsid w:val="1C887FC8"/>
    <w:rsid w:val="1C8E7BC6"/>
    <w:rsid w:val="1C9553F8"/>
    <w:rsid w:val="1C97240B"/>
    <w:rsid w:val="1C9A2A0F"/>
    <w:rsid w:val="1C9B0535"/>
    <w:rsid w:val="1CA13D9D"/>
    <w:rsid w:val="1CA636C0"/>
    <w:rsid w:val="1CA76006"/>
    <w:rsid w:val="1CA94A00"/>
    <w:rsid w:val="1CAC44F0"/>
    <w:rsid w:val="1CB02232"/>
    <w:rsid w:val="1CBA4E5F"/>
    <w:rsid w:val="1CBA6C0D"/>
    <w:rsid w:val="1CBD66FD"/>
    <w:rsid w:val="1CBF06C7"/>
    <w:rsid w:val="1CC17F9B"/>
    <w:rsid w:val="1CC614DF"/>
    <w:rsid w:val="1CC63804"/>
    <w:rsid w:val="1CC932F4"/>
    <w:rsid w:val="1CCE090A"/>
    <w:rsid w:val="1CCE7662"/>
    <w:rsid w:val="1CD06827"/>
    <w:rsid w:val="1CD11779"/>
    <w:rsid w:val="1CD777BF"/>
    <w:rsid w:val="1CD83537"/>
    <w:rsid w:val="1CDD0B4D"/>
    <w:rsid w:val="1CE27F12"/>
    <w:rsid w:val="1CE56751"/>
    <w:rsid w:val="1CE66C3A"/>
    <w:rsid w:val="1CEE4B08"/>
    <w:rsid w:val="1CF163A7"/>
    <w:rsid w:val="1CF7783C"/>
    <w:rsid w:val="1CFC0FD3"/>
    <w:rsid w:val="1CFC5477"/>
    <w:rsid w:val="1D0221D5"/>
    <w:rsid w:val="1D037E77"/>
    <w:rsid w:val="1D0B5412"/>
    <w:rsid w:val="1D0D1432"/>
    <w:rsid w:val="1D0E51AB"/>
    <w:rsid w:val="1D13631D"/>
    <w:rsid w:val="1D1502E7"/>
    <w:rsid w:val="1D1638A0"/>
    <w:rsid w:val="1D1B1F70"/>
    <w:rsid w:val="1D1E53EE"/>
    <w:rsid w:val="1D1E587E"/>
    <w:rsid w:val="1D230C56"/>
    <w:rsid w:val="1D2422D8"/>
    <w:rsid w:val="1D27172A"/>
    <w:rsid w:val="1D28776C"/>
    <w:rsid w:val="1D2B5F1E"/>
    <w:rsid w:val="1D305121"/>
    <w:rsid w:val="1D320E99"/>
    <w:rsid w:val="1D3369BF"/>
    <w:rsid w:val="1D343C6E"/>
    <w:rsid w:val="1D3764AF"/>
    <w:rsid w:val="1D3C5874"/>
    <w:rsid w:val="1D3F5364"/>
    <w:rsid w:val="1D4110DC"/>
    <w:rsid w:val="1D436C02"/>
    <w:rsid w:val="1D454590"/>
    <w:rsid w:val="1D4604A0"/>
    <w:rsid w:val="1D494FEE"/>
    <w:rsid w:val="1D496BFF"/>
    <w:rsid w:val="1D4B5AB7"/>
    <w:rsid w:val="1D4F1A4B"/>
    <w:rsid w:val="1D50131F"/>
    <w:rsid w:val="1D5030CD"/>
    <w:rsid w:val="1D57445C"/>
    <w:rsid w:val="1D5C4168"/>
    <w:rsid w:val="1D5D57EA"/>
    <w:rsid w:val="1D5F6196"/>
    <w:rsid w:val="1D6132A5"/>
    <w:rsid w:val="1D631052"/>
    <w:rsid w:val="1D686669"/>
    <w:rsid w:val="1D69418F"/>
    <w:rsid w:val="1D701DA4"/>
    <w:rsid w:val="1D757536"/>
    <w:rsid w:val="1D813BCE"/>
    <w:rsid w:val="1D85652A"/>
    <w:rsid w:val="1D8611E5"/>
    <w:rsid w:val="1D866BC1"/>
    <w:rsid w:val="1D8E4E63"/>
    <w:rsid w:val="1D8E56D5"/>
    <w:rsid w:val="1D903E12"/>
    <w:rsid w:val="1D943902"/>
    <w:rsid w:val="1D9C7B10"/>
    <w:rsid w:val="1D9E208B"/>
    <w:rsid w:val="1D9E279F"/>
    <w:rsid w:val="1DA376A1"/>
    <w:rsid w:val="1DB2192C"/>
    <w:rsid w:val="1DB541DC"/>
    <w:rsid w:val="1DB814F0"/>
    <w:rsid w:val="1DB96EC4"/>
    <w:rsid w:val="1DBE44DB"/>
    <w:rsid w:val="1DC064A5"/>
    <w:rsid w:val="1DC6338F"/>
    <w:rsid w:val="1DC835AB"/>
    <w:rsid w:val="1DC87107"/>
    <w:rsid w:val="1DCA2E80"/>
    <w:rsid w:val="1DCA3975"/>
    <w:rsid w:val="1DCA7323"/>
    <w:rsid w:val="1DCF66E8"/>
    <w:rsid w:val="1DD0420E"/>
    <w:rsid w:val="1DD26E1C"/>
    <w:rsid w:val="1DD72298"/>
    <w:rsid w:val="1DD737EE"/>
    <w:rsid w:val="1DD7559C"/>
    <w:rsid w:val="1DD849C1"/>
    <w:rsid w:val="1DDB32DF"/>
    <w:rsid w:val="1DDF4DA5"/>
    <w:rsid w:val="1DE005BB"/>
    <w:rsid w:val="1DE1706C"/>
    <w:rsid w:val="1DE2466D"/>
    <w:rsid w:val="1DE76E33"/>
    <w:rsid w:val="1DEA6122"/>
    <w:rsid w:val="1DEB1048"/>
    <w:rsid w:val="1DEC729A"/>
    <w:rsid w:val="1DED6B6E"/>
    <w:rsid w:val="1DEE3DF0"/>
    <w:rsid w:val="1DF234E7"/>
    <w:rsid w:val="1DF47922"/>
    <w:rsid w:val="1DF61EC7"/>
    <w:rsid w:val="1DF63C75"/>
    <w:rsid w:val="1DFC3255"/>
    <w:rsid w:val="1DFE001E"/>
    <w:rsid w:val="1DFE521F"/>
    <w:rsid w:val="1E022BB7"/>
    <w:rsid w:val="1E087E4C"/>
    <w:rsid w:val="1E0F0A85"/>
    <w:rsid w:val="1E1503D5"/>
    <w:rsid w:val="1E1B192D"/>
    <w:rsid w:val="1E1B36DB"/>
    <w:rsid w:val="1E1D7157"/>
    <w:rsid w:val="1E214A6A"/>
    <w:rsid w:val="1E222CBC"/>
    <w:rsid w:val="1E2307E2"/>
    <w:rsid w:val="1E2C3B3A"/>
    <w:rsid w:val="1E320A25"/>
    <w:rsid w:val="1E326C77"/>
    <w:rsid w:val="1E37428D"/>
    <w:rsid w:val="1E3E386E"/>
    <w:rsid w:val="1E400B16"/>
    <w:rsid w:val="1E4A0464"/>
    <w:rsid w:val="1E4C7D38"/>
    <w:rsid w:val="1E5170FD"/>
    <w:rsid w:val="1E521E5C"/>
    <w:rsid w:val="1E560BB7"/>
    <w:rsid w:val="1E5A31BE"/>
    <w:rsid w:val="1E5A7901"/>
    <w:rsid w:val="1E5D655D"/>
    <w:rsid w:val="1E6225FC"/>
    <w:rsid w:val="1E62755C"/>
    <w:rsid w:val="1E690E12"/>
    <w:rsid w:val="1E693DBB"/>
    <w:rsid w:val="1E6A01BF"/>
    <w:rsid w:val="1E6E4153"/>
    <w:rsid w:val="1E6E627A"/>
    <w:rsid w:val="1E71154D"/>
    <w:rsid w:val="1E7159F1"/>
    <w:rsid w:val="1E763007"/>
    <w:rsid w:val="1E780D78"/>
    <w:rsid w:val="1E7A43DA"/>
    <w:rsid w:val="1E7B6870"/>
    <w:rsid w:val="1E803E86"/>
    <w:rsid w:val="1E875215"/>
    <w:rsid w:val="1E881EAE"/>
    <w:rsid w:val="1E8E20FF"/>
    <w:rsid w:val="1E957931"/>
    <w:rsid w:val="1E960FB4"/>
    <w:rsid w:val="1E967206"/>
    <w:rsid w:val="1E9A6CF6"/>
    <w:rsid w:val="1E9F255E"/>
    <w:rsid w:val="1EA01E32"/>
    <w:rsid w:val="1EA36355"/>
    <w:rsid w:val="1EA47B74"/>
    <w:rsid w:val="1EAE7EC3"/>
    <w:rsid w:val="1EAF2075"/>
    <w:rsid w:val="1EB277FE"/>
    <w:rsid w:val="1EB31B66"/>
    <w:rsid w:val="1EB51D82"/>
    <w:rsid w:val="1EBA2EF4"/>
    <w:rsid w:val="1EC22CE6"/>
    <w:rsid w:val="1EC2624D"/>
    <w:rsid w:val="1EC5276A"/>
    <w:rsid w:val="1EC91389"/>
    <w:rsid w:val="1EC93137"/>
    <w:rsid w:val="1ECC0E79"/>
    <w:rsid w:val="1ECE699F"/>
    <w:rsid w:val="1ED02718"/>
    <w:rsid w:val="1ED41ADC"/>
    <w:rsid w:val="1ED65854"/>
    <w:rsid w:val="1EDB10BC"/>
    <w:rsid w:val="1EDD3086"/>
    <w:rsid w:val="1EDD6BE3"/>
    <w:rsid w:val="1EE47F71"/>
    <w:rsid w:val="1EE52A7C"/>
    <w:rsid w:val="1EE937D9"/>
    <w:rsid w:val="1EE9589D"/>
    <w:rsid w:val="1EF26B32"/>
    <w:rsid w:val="1EFA027C"/>
    <w:rsid w:val="1EFA1543"/>
    <w:rsid w:val="1EFB52BB"/>
    <w:rsid w:val="1EFD1033"/>
    <w:rsid w:val="1EFD3C62"/>
    <w:rsid w:val="1EFF124F"/>
    <w:rsid w:val="1EFF4DAB"/>
    <w:rsid w:val="1F007446"/>
    <w:rsid w:val="1F010B23"/>
    <w:rsid w:val="1F0625DD"/>
    <w:rsid w:val="1F074B01"/>
    <w:rsid w:val="1F0B19A2"/>
    <w:rsid w:val="1F0C2860"/>
    <w:rsid w:val="1F0E3240"/>
    <w:rsid w:val="1F122D30"/>
    <w:rsid w:val="1F1378B1"/>
    <w:rsid w:val="1F15637C"/>
    <w:rsid w:val="1F1A1D73"/>
    <w:rsid w:val="1F1A73DC"/>
    <w:rsid w:val="1F1C3BAF"/>
    <w:rsid w:val="1F262338"/>
    <w:rsid w:val="1F2729AA"/>
    <w:rsid w:val="1F29007A"/>
    <w:rsid w:val="1F2C36C6"/>
    <w:rsid w:val="1F2E3015"/>
    <w:rsid w:val="1F306CF2"/>
    <w:rsid w:val="1F330EF8"/>
    <w:rsid w:val="1F38206B"/>
    <w:rsid w:val="1F394761"/>
    <w:rsid w:val="1F3D58D3"/>
    <w:rsid w:val="1F4206BA"/>
    <w:rsid w:val="1F464788"/>
    <w:rsid w:val="1F477846"/>
    <w:rsid w:val="1F4E5D32"/>
    <w:rsid w:val="1F555A28"/>
    <w:rsid w:val="1F5844BB"/>
    <w:rsid w:val="1F6115C2"/>
    <w:rsid w:val="1F642E60"/>
    <w:rsid w:val="1F647002"/>
    <w:rsid w:val="1F684FAA"/>
    <w:rsid w:val="1F6B0692"/>
    <w:rsid w:val="1F6B1689"/>
    <w:rsid w:val="1F7363E0"/>
    <w:rsid w:val="1F7C289F"/>
    <w:rsid w:val="1F7C63FB"/>
    <w:rsid w:val="1F83778A"/>
    <w:rsid w:val="1F845B16"/>
    <w:rsid w:val="1F8654CC"/>
    <w:rsid w:val="1F8710F0"/>
    <w:rsid w:val="1F8A1EBA"/>
    <w:rsid w:val="1F914C18"/>
    <w:rsid w:val="1F923E71"/>
    <w:rsid w:val="1F9329C7"/>
    <w:rsid w:val="1F947BE9"/>
    <w:rsid w:val="1F95570F"/>
    <w:rsid w:val="1F9D6372"/>
    <w:rsid w:val="1FA2402F"/>
    <w:rsid w:val="1FA31BDA"/>
    <w:rsid w:val="1FA47700"/>
    <w:rsid w:val="1FB37987"/>
    <w:rsid w:val="1FB45B95"/>
    <w:rsid w:val="1FB93ACF"/>
    <w:rsid w:val="1FC075B8"/>
    <w:rsid w:val="1FC446C3"/>
    <w:rsid w:val="1FC85AE5"/>
    <w:rsid w:val="1FC913C8"/>
    <w:rsid w:val="1FCF0C21"/>
    <w:rsid w:val="1FD04999"/>
    <w:rsid w:val="1FD55B0C"/>
    <w:rsid w:val="1FD75D28"/>
    <w:rsid w:val="1FD955FC"/>
    <w:rsid w:val="1FDF5A2B"/>
    <w:rsid w:val="1FE25C23"/>
    <w:rsid w:val="1FE30229"/>
    <w:rsid w:val="1FE7539E"/>
    <w:rsid w:val="1FF24910"/>
    <w:rsid w:val="1FF468DA"/>
    <w:rsid w:val="1FF71F26"/>
    <w:rsid w:val="1FFC12EA"/>
    <w:rsid w:val="1FFD0BB9"/>
    <w:rsid w:val="2005311A"/>
    <w:rsid w:val="20081A9B"/>
    <w:rsid w:val="20084133"/>
    <w:rsid w:val="20087C8F"/>
    <w:rsid w:val="20104D96"/>
    <w:rsid w:val="20146634"/>
    <w:rsid w:val="201E5705"/>
    <w:rsid w:val="201E74B3"/>
    <w:rsid w:val="20216FA3"/>
    <w:rsid w:val="20230F6D"/>
    <w:rsid w:val="202F346E"/>
    <w:rsid w:val="20370574"/>
    <w:rsid w:val="204333BD"/>
    <w:rsid w:val="204607B7"/>
    <w:rsid w:val="204A2ABA"/>
    <w:rsid w:val="204A3E24"/>
    <w:rsid w:val="204C4020"/>
    <w:rsid w:val="204D3B51"/>
    <w:rsid w:val="204F1D62"/>
    <w:rsid w:val="20515ADA"/>
    <w:rsid w:val="20541126"/>
    <w:rsid w:val="2059673D"/>
    <w:rsid w:val="205C7FDB"/>
    <w:rsid w:val="206155F1"/>
    <w:rsid w:val="20623843"/>
    <w:rsid w:val="20631369"/>
    <w:rsid w:val="20642787"/>
    <w:rsid w:val="206770AC"/>
    <w:rsid w:val="206A094A"/>
    <w:rsid w:val="206A26F8"/>
    <w:rsid w:val="206A5744"/>
    <w:rsid w:val="206A6B9C"/>
    <w:rsid w:val="206C2914"/>
    <w:rsid w:val="206C46C2"/>
    <w:rsid w:val="206F41B2"/>
    <w:rsid w:val="207277FE"/>
    <w:rsid w:val="20735A50"/>
    <w:rsid w:val="20745325"/>
    <w:rsid w:val="20796DDF"/>
    <w:rsid w:val="207B2B57"/>
    <w:rsid w:val="207D46DD"/>
    <w:rsid w:val="207D4F96"/>
    <w:rsid w:val="2080016D"/>
    <w:rsid w:val="20816EC3"/>
    <w:rsid w:val="208211C5"/>
    <w:rsid w:val="208512E0"/>
    <w:rsid w:val="208569AA"/>
    <w:rsid w:val="20860302"/>
    <w:rsid w:val="208C2D42"/>
    <w:rsid w:val="208D2370"/>
    <w:rsid w:val="208E4638"/>
    <w:rsid w:val="20913FE3"/>
    <w:rsid w:val="2094622D"/>
    <w:rsid w:val="20963CB8"/>
    <w:rsid w:val="209A56C0"/>
    <w:rsid w:val="209E23A2"/>
    <w:rsid w:val="20A7400A"/>
    <w:rsid w:val="20A8477C"/>
    <w:rsid w:val="20A92DD4"/>
    <w:rsid w:val="20AD0837"/>
    <w:rsid w:val="20B07FB6"/>
    <w:rsid w:val="20B15C43"/>
    <w:rsid w:val="20B240CD"/>
    <w:rsid w:val="20B61A5F"/>
    <w:rsid w:val="20C04A0E"/>
    <w:rsid w:val="20C22534"/>
    <w:rsid w:val="20C33369"/>
    <w:rsid w:val="20C41A43"/>
    <w:rsid w:val="20C95670"/>
    <w:rsid w:val="20CF4C51"/>
    <w:rsid w:val="20D52267"/>
    <w:rsid w:val="20DA5ACF"/>
    <w:rsid w:val="20DA7812"/>
    <w:rsid w:val="20DD111C"/>
    <w:rsid w:val="20DD55C0"/>
    <w:rsid w:val="20E029BA"/>
    <w:rsid w:val="20E424AA"/>
    <w:rsid w:val="20E64474"/>
    <w:rsid w:val="20E73D48"/>
    <w:rsid w:val="20EA55E7"/>
    <w:rsid w:val="20EE50D7"/>
    <w:rsid w:val="20F12E19"/>
    <w:rsid w:val="20F326ED"/>
    <w:rsid w:val="20F3403C"/>
    <w:rsid w:val="20F36B91"/>
    <w:rsid w:val="20FA198E"/>
    <w:rsid w:val="20FD531A"/>
    <w:rsid w:val="2100305C"/>
    <w:rsid w:val="21022930"/>
    <w:rsid w:val="210C1A01"/>
    <w:rsid w:val="210F504D"/>
    <w:rsid w:val="211014F1"/>
    <w:rsid w:val="2110329F"/>
    <w:rsid w:val="211508B6"/>
    <w:rsid w:val="211663DC"/>
    <w:rsid w:val="211C60E8"/>
    <w:rsid w:val="211F7986"/>
    <w:rsid w:val="21244F9D"/>
    <w:rsid w:val="21246D4B"/>
    <w:rsid w:val="213827F6"/>
    <w:rsid w:val="213A544A"/>
    <w:rsid w:val="213B74B1"/>
    <w:rsid w:val="213C22E6"/>
    <w:rsid w:val="213E1301"/>
    <w:rsid w:val="21425423"/>
    <w:rsid w:val="2144119B"/>
    <w:rsid w:val="21455F13"/>
    <w:rsid w:val="214742B5"/>
    <w:rsid w:val="214B2529"/>
    <w:rsid w:val="214E5B76"/>
    <w:rsid w:val="21507B40"/>
    <w:rsid w:val="21537DD8"/>
    <w:rsid w:val="21562C7C"/>
    <w:rsid w:val="215869F4"/>
    <w:rsid w:val="215A2310"/>
    <w:rsid w:val="215A6C10"/>
    <w:rsid w:val="215C2F2C"/>
    <w:rsid w:val="216474C2"/>
    <w:rsid w:val="21696E53"/>
    <w:rsid w:val="216B6728"/>
    <w:rsid w:val="216C4D8D"/>
    <w:rsid w:val="216E7FC6"/>
    <w:rsid w:val="21717AB6"/>
    <w:rsid w:val="2174620A"/>
    <w:rsid w:val="21817CF9"/>
    <w:rsid w:val="21823A71"/>
    <w:rsid w:val="21852C8B"/>
    <w:rsid w:val="2188552B"/>
    <w:rsid w:val="218B5160"/>
    <w:rsid w:val="219007B1"/>
    <w:rsid w:val="219263AA"/>
    <w:rsid w:val="21933ED0"/>
    <w:rsid w:val="21957C48"/>
    <w:rsid w:val="21974C34"/>
    <w:rsid w:val="2197576F"/>
    <w:rsid w:val="21997739"/>
    <w:rsid w:val="21A41C3A"/>
    <w:rsid w:val="21A460DD"/>
    <w:rsid w:val="21A659B2"/>
    <w:rsid w:val="21A734D8"/>
    <w:rsid w:val="21AE2AB8"/>
    <w:rsid w:val="21B067E3"/>
    <w:rsid w:val="21B14C75"/>
    <w:rsid w:val="21B856E5"/>
    <w:rsid w:val="21BA76AF"/>
    <w:rsid w:val="21BC51D5"/>
    <w:rsid w:val="21BF0821"/>
    <w:rsid w:val="21C34E99"/>
    <w:rsid w:val="21C661A1"/>
    <w:rsid w:val="21CB5418"/>
    <w:rsid w:val="21CC3CDF"/>
    <w:rsid w:val="21CD1190"/>
    <w:rsid w:val="21CF1302"/>
    <w:rsid w:val="21D3043D"/>
    <w:rsid w:val="21D4251F"/>
    <w:rsid w:val="21DC74DE"/>
    <w:rsid w:val="21DE318A"/>
    <w:rsid w:val="21DE339D"/>
    <w:rsid w:val="21E03C1E"/>
    <w:rsid w:val="21E13187"/>
    <w:rsid w:val="21E40288"/>
    <w:rsid w:val="21E94948"/>
    <w:rsid w:val="21E965D1"/>
    <w:rsid w:val="21ED0E6A"/>
    <w:rsid w:val="21EF5B80"/>
    <w:rsid w:val="21F4496F"/>
    <w:rsid w:val="21F66F4C"/>
    <w:rsid w:val="21FA58CD"/>
    <w:rsid w:val="21FC7CC7"/>
    <w:rsid w:val="2201708C"/>
    <w:rsid w:val="220B1CB9"/>
    <w:rsid w:val="220B7F0B"/>
    <w:rsid w:val="22162B37"/>
    <w:rsid w:val="221B56B0"/>
    <w:rsid w:val="221C3EC6"/>
    <w:rsid w:val="221D1128"/>
    <w:rsid w:val="22205764"/>
    <w:rsid w:val="22244B28"/>
    <w:rsid w:val="222608A0"/>
    <w:rsid w:val="222A213F"/>
    <w:rsid w:val="222A65E3"/>
    <w:rsid w:val="222C235B"/>
    <w:rsid w:val="222D26E1"/>
    <w:rsid w:val="22342FBD"/>
    <w:rsid w:val="223631D9"/>
    <w:rsid w:val="223704AA"/>
    <w:rsid w:val="22396826"/>
    <w:rsid w:val="223E5BEA"/>
    <w:rsid w:val="223F04E2"/>
    <w:rsid w:val="2241392C"/>
    <w:rsid w:val="22464F27"/>
    <w:rsid w:val="224D0523"/>
    <w:rsid w:val="224E3F10"/>
    <w:rsid w:val="224F1189"/>
    <w:rsid w:val="2250329C"/>
    <w:rsid w:val="22511DC1"/>
    <w:rsid w:val="22560A16"/>
    <w:rsid w:val="225673D8"/>
    <w:rsid w:val="22573150"/>
    <w:rsid w:val="22576990"/>
    <w:rsid w:val="225A0088"/>
    <w:rsid w:val="225B2C40"/>
    <w:rsid w:val="225B7477"/>
    <w:rsid w:val="226338A3"/>
    <w:rsid w:val="2265761B"/>
    <w:rsid w:val="226A2E83"/>
    <w:rsid w:val="226C6BFB"/>
    <w:rsid w:val="226E2973"/>
    <w:rsid w:val="226F0499"/>
    <w:rsid w:val="22723AE6"/>
    <w:rsid w:val="22753050"/>
    <w:rsid w:val="227710FC"/>
    <w:rsid w:val="22806203"/>
    <w:rsid w:val="22857CBD"/>
    <w:rsid w:val="22925F36"/>
    <w:rsid w:val="22943A5C"/>
    <w:rsid w:val="22993768"/>
    <w:rsid w:val="22994C0C"/>
    <w:rsid w:val="229C4EAB"/>
    <w:rsid w:val="22A00653"/>
    <w:rsid w:val="22AA6604"/>
    <w:rsid w:val="22AC2B5D"/>
    <w:rsid w:val="22AC524A"/>
    <w:rsid w:val="22AF0896"/>
    <w:rsid w:val="22B660C8"/>
    <w:rsid w:val="22B674CB"/>
    <w:rsid w:val="22B70195"/>
    <w:rsid w:val="22B8599C"/>
    <w:rsid w:val="22BD1205"/>
    <w:rsid w:val="22BD28C6"/>
    <w:rsid w:val="22BF62A8"/>
    <w:rsid w:val="22C02AA3"/>
    <w:rsid w:val="22C2681B"/>
    <w:rsid w:val="22C2713B"/>
    <w:rsid w:val="22C813AD"/>
    <w:rsid w:val="22CA1B74"/>
    <w:rsid w:val="22CB70E1"/>
    <w:rsid w:val="22CE51C0"/>
    <w:rsid w:val="22D12F02"/>
    <w:rsid w:val="22D14F59"/>
    <w:rsid w:val="22D50B4C"/>
    <w:rsid w:val="22D84291"/>
    <w:rsid w:val="22DB168B"/>
    <w:rsid w:val="22DD3655"/>
    <w:rsid w:val="22E03145"/>
    <w:rsid w:val="22E370DD"/>
    <w:rsid w:val="22E5075C"/>
    <w:rsid w:val="22E9024C"/>
    <w:rsid w:val="22E91FFA"/>
    <w:rsid w:val="22EC0514"/>
    <w:rsid w:val="22EE7610"/>
    <w:rsid w:val="22EF3388"/>
    <w:rsid w:val="22EF5136"/>
    <w:rsid w:val="22F10325"/>
    <w:rsid w:val="22F12CE8"/>
    <w:rsid w:val="22F32E79"/>
    <w:rsid w:val="22F36224"/>
    <w:rsid w:val="22F41B2B"/>
    <w:rsid w:val="22F56BF1"/>
    <w:rsid w:val="22F72A56"/>
    <w:rsid w:val="22F87F01"/>
    <w:rsid w:val="22F95FB5"/>
    <w:rsid w:val="22FB3ADB"/>
    <w:rsid w:val="23005752"/>
    <w:rsid w:val="230307BE"/>
    <w:rsid w:val="23035B1D"/>
    <w:rsid w:val="230706D2"/>
    <w:rsid w:val="231057D9"/>
    <w:rsid w:val="23124597"/>
    <w:rsid w:val="23150953"/>
    <w:rsid w:val="23181CF2"/>
    <w:rsid w:val="23187C1A"/>
    <w:rsid w:val="23250B58"/>
    <w:rsid w:val="23264FFC"/>
    <w:rsid w:val="23270D74"/>
    <w:rsid w:val="232A43C0"/>
    <w:rsid w:val="232C1EE7"/>
    <w:rsid w:val="232D0BF2"/>
    <w:rsid w:val="232E2103"/>
    <w:rsid w:val="2331574F"/>
    <w:rsid w:val="23343401"/>
    <w:rsid w:val="23362D65"/>
    <w:rsid w:val="2346744C"/>
    <w:rsid w:val="23476D20"/>
    <w:rsid w:val="23490CEA"/>
    <w:rsid w:val="23496F3C"/>
    <w:rsid w:val="234A05BF"/>
    <w:rsid w:val="234B6811"/>
    <w:rsid w:val="234F58A6"/>
    <w:rsid w:val="235002CB"/>
    <w:rsid w:val="2351194D"/>
    <w:rsid w:val="2355768F"/>
    <w:rsid w:val="235A0D1F"/>
    <w:rsid w:val="23607DE2"/>
    <w:rsid w:val="23625212"/>
    <w:rsid w:val="23627FFE"/>
    <w:rsid w:val="236E6522"/>
    <w:rsid w:val="23720241"/>
    <w:rsid w:val="237613B4"/>
    <w:rsid w:val="23765646"/>
    <w:rsid w:val="2378512C"/>
    <w:rsid w:val="237A6EBD"/>
    <w:rsid w:val="238034E2"/>
    <w:rsid w:val="238166D6"/>
    <w:rsid w:val="23871813"/>
    <w:rsid w:val="238A2A88"/>
    <w:rsid w:val="239051F6"/>
    <w:rsid w:val="23952182"/>
    <w:rsid w:val="23975438"/>
    <w:rsid w:val="23983A20"/>
    <w:rsid w:val="239D1036"/>
    <w:rsid w:val="239D2DE4"/>
    <w:rsid w:val="23A979DB"/>
    <w:rsid w:val="23AE0B4E"/>
    <w:rsid w:val="23B00D6A"/>
    <w:rsid w:val="23B24AE2"/>
    <w:rsid w:val="23B4085A"/>
    <w:rsid w:val="23BA5744"/>
    <w:rsid w:val="23BE146B"/>
    <w:rsid w:val="23BE2382"/>
    <w:rsid w:val="23C05D79"/>
    <w:rsid w:val="23C10881"/>
    <w:rsid w:val="23C14D25"/>
    <w:rsid w:val="23C16AD3"/>
    <w:rsid w:val="23CA79B4"/>
    <w:rsid w:val="23CB5BA3"/>
    <w:rsid w:val="23CD191B"/>
    <w:rsid w:val="23CE11F0"/>
    <w:rsid w:val="23CE7442"/>
    <w:rsid w:val="23D22A8E"/>
    <w:rsid w:val="23D26F32"/>
    <w:rsid w:val="23D74548"/>
    <w:rsid w:val="23DC3528"/>
    <w:rsid w:val="23DD3EED"/>
    <w:rsid w:val="23DE15D6"/>
    <w:rsid w:val="23E17175"/>
    <w:rsid w:val="23E2215F"/>
    <w:rsid w:val="23E32EED"/>
    <w:rsid w:val="23E34C9B"/>
    <w:rsid w:val="23EB3172"/>
    <w:rsid w:val="23EB7FF4"/>
    <w:rsid w:val="23EF6DDD"/>
    <w:rsid w:val="23F24EDE"/>
    <w:rsid w:val="23F8626D"/>
    <w:rsid w:val="23FA1FE5"/>
    <w:rsid w:val="23FC4938"/>
    <w:rsid w:val="240115C5"/>
    <w:rsid w:val="24015121"/>
    <w:rsid w:val="2406098A"/>
    <w:rsid w:val="24084702"/>
    <w:rsid w:val="240B7CE8"/>
    <w:rsid w:val="24134E54"/>
    <w:rsid w:val="24174945"/>
    <w:rsid w:val="241A2687"/>
    <w:rsid w:val="242B4894"/>
    <w:rsid w:val="24347A80"/>
    <w:rsid w:val="24373239"/>
    <w:rsid w:val="24376D95"/>
    <w:rsid w:val="24383F19"/>
    <w:rsid w:val="24392B0D"/>
    <w:rsid w:val="24413208"/>
    <w:rsid w:val="24417C14"/>
    <w:rsid w:val="24446896"/>
    <w:rsid w:val="244F2331"/>
    <w:rsid w:val="244F5070"/>
    <w:rsid w:val="245060A9"/>
    <w:rsid w:val="24507E57"/>
    <w:rsid w:val="24547947"/>
    <w:rsid w:val="24561911"/>
    <w:rsid w:val="24653902"/>
    <w:rsid w:val="24661642"/>
    <w:rsid w:val="246833F2"/>
    <w:rsid w:val="246B4C91"/>
    <w:rsid w:val="246B4E01"/>
    <w:rsid w:val="246C3C2F"/>
    <w:rsid w:val="246F4781"/>
    <w:rsid w:val="247052DC"/>
    <w:rsid w:val="247509BC"/>
    <w:rsid w:val="247578BD"/>
    <w:rsid w:val="24761137"/>
    <w:rsid w:val="24773635"/>
    <w:rsid w:val="247955FF"/>
    <w:rsid w:val="247B4691"/>
    <w:rsid w:val="247E6188"/>
    <w:rsid w:val="24853FA4"/>
    <w:rsid w:val="24883A94"/>
    <w:rsid w:val="248F4E23"/>
    <w:rsid w:val="248F6BD1"/>
    <w:rsid w:val="249441E7"/>
    <w:rsid w:val="24957A67"/>
    <w:rsid w:val="24A0493A"/>
    <w:rsid w:val="24A374E0"/>
    <w:rsid w:val="24A85EE5"/>
    <w:rsid w:val="24AA57B9"/>
    <w:rsid w:val="24AC7783"/>
    <w:rsid w:val="24AF7273"/>
    <w:rsid w:val="24B31DC2"/>
    <w:rsid w:val="24B634E8"/>
    <w:rsid w:val="24BB1774"/>
    <w:rsid w:val="24BB2C9E"/>
    <w:rsid w:val="24BB4180"/>
    <w:rsid w:val="24BB79C6"/>
    <w:rsid w:val="24C148B0"/>
    <w:rsid w:val="24C20D54"/>
    <w:rsid w:val="24C21763"/>
    <w:rsid w:val="24C30629"/>
    <w:rsid w:val="24C83855"/>
    <w:rsid w:val="24CA6859"/>
    <w:rsid w:val="24CD76F9"/>
    <w:rsid w:val="24CF3471"/>
    <w:rsid w:val="24D171E9"/>
    <w:rsid w:val="24D64800"/>
    <w:rsid w:val="24DF6C29"/>
    <w:rsid w:val="24E00466"/>
    <w:rsid w:val="24E16D01"/>
    <w:rsid w:val="24E52C95"/>
    <w:rsid w:val="24E61397"/>
    <w:rsid w:val="24E91459"/>
    <w:rsid w:val="24EC4023"/>
    <w:rsid w:val="24ED56A6"/>
    <w:rsid w:val="24F25D15"/>
    <w:rsid w:val="24F627AC"/>
    <w:rsid w:val="24F66C50"/>
    <w:rsid w:val="24F84776"/>
    <w:rsid w:val="24FB4266"/>
    <w:rsid w:val="2500187D"/>
    <w:rsid w:val="2503311B"/>
    <w:rsid w:val="250A44A9"/>
    <w:rsid w:val="25102EC3"/>
    <w:rsid w:val="25115838"/>
    <w:rsid w:val="25132A7F"/>
    <w:rsid w:val="25170F50"/>
    <w:rsid w:val="25186BC6"/>
    <w:rsid w:val="251F61A7"/>
    <w:rsid w:val="25203CCD"/>
    <w:rsid w:val="252217F3"/>
    <w:rsid w:val="252B4B4C"/>
    <w:rsid w:val="252D53FE"/>
    <w:rsid w:val="25302162"/>
    <w:rsid w:val="2530284B"/>
    <w:rsid w:val="25341526"/>
    <w:rsid w:val="2536704D"/>
    <w:rsid w:val="253816FE"/>
    <w:rsid w:val="253B28B5"/>
    <w:rsid w:val="253D487F"/>
    <w:rsid w:val="253F0438"/>
    <w:rsid w:val="2540611D"/>
    <w:rsid w:val="25407ECB"/>
    <w:rsid w:val="25423C43"/>
    <w:rsid w:val="25467247"/>
    <w:rsid w:val="25493224"/>
    <w:rsid w:val="254E083A"/>
    <w:rsid w:val="2551032A"/>
    <w:rsid w:val="255319AC"/>
    <w:rsid w:val="25552D38"/>
    <w:rsid w:val="255676EF"/>
    <w:rsid w:val="2557798A"/>
    <w:rsid w:val="255A71DF"/>
    <w:rsid w:val="256736AA"/>
    <w:rsid w:val="256C0CC0"/>
    <w:rsid w:val="257638ED"/>
    <w:rsid w:val="25783B09"/>
    <w:rsid w:val="25787583"/>
    <w:rsid w:val="257A162F"/>
    <w:rsid w:val="257A33DD"/>
    <w:rsid w:val="257C53A7"/>
    <w:rsid w:val="258129BE"/>
    <w:rsid w:val="25820CEA"/>
    <w:rsid w:val="25822292"/>
    <w:rsid w:val="25826736"/>
    <w:rsid w:val="258424AE"/>
    <w:rsid w:val="25854EB2"/>
    <w:rsid w:val="258C1362"/>
    <w:rsid w:val="258C4EBE"/>
    <w:rsid w:val="258D2BFC"/>
    <w:rsid w:val="25916979"/>
    <w:rsid w:val="25950921"/>
    <w:rsid w:val="25956469"/>
    <w:rsid w:val="259721E1"/>
    <w:rsid w:val="259874E2"/>
    <w:rsid w:val="259A75DB"/>
    <w:rsid w:val="259B0619"/>
    <w:rsid w:val="259C77F7"/>
    <w:rsid w:val="25A718F0"/>
    <w:rsid w:val="25A91F14"/>
    <w:rsid w:val="25AC3881"/>
    <w:rsid w:val="25B6018D"/>
    <w:rsid w:val="25B70377"/>
    <w:rsid w:val="25B95E84"/>
    <w:rsid w:val="25BC57A4"/>
    <w:rsid w:val="25BD098A"/>
    <w:rsid w:val="25BD776E"/>
    <w:rsid w:val="25C1100C"/>
    <w:rsid w:val="25C1725E"/>
    <w:rsid w:val="25C27B70"/>
    <w:rsid w:val="25C97EC1"/>
    <w:rsid w:val="25D074A1"/>
    <w:rsid w:val="25D7082F"/>
    <w:rsid w:val="25D725DE"/>
    <w:rsid w:val="25D961D0"/>
    <w:rsid w:val="25DC5E46"/>
    <w:rsid w:val="25DD396C"/>
    <w:rsid w:val="25DE1BBE"/>
    <w:rsid w:val="25E44CFA"/>
    <w:rsid w:val="25E60A73"/>
    <w:rsid w:val="25EB42DB"/>
    <w:rsid w:val="25EC2D81"/>
    <w:rsid w:val="25F022C2"/>
    <w:rsid w:val="25F0369F"/>
    <w:rsid w:val="25F34F3E"/>
    <w:rsid w:val="25F413E1"/>
    <w:rsid w:val="25F52A64"/>
    <w:rsid w:val="25F7330A"/>
    <w:rsid w:val="25F74973"/>
    <w:rsid w:val="25FA4ABC"/>
    <w:rsid w:val="25FC13BE"/>
    <w:rsid w:val="25FC2044"/>
    <w:rsid w:val="25FD5DBC"/>
    <w:rsid w:val="26022290"/>
    <w:rsid w:val="26040EF9"/>
    <w:rsid w:val="260809E9"/>
    <w:rsid w:val="26086C3B"/>
    <w:rsid w:val="2609650F"/>
    <w:rsid w:val="260D24A3"/>
    <w:rsid w:val="2610789E"/>
    <w:rsid w:val="26110E6F"/>
    <w:rsid w:val="26121868"/>
    <w:rsid w:val="26143832"/>
    <w:rsid w:val="261730FD"/>
    <w:rsid w:val="261849A4"/>
    <w:rsid w:val="26192BF6"/>
    <w:rsid w:val="261F21D6"/>
    <w:rsid w:val="262072FB"/>
    <w:rsid w:val="2624159B"/>
    <w:rsid w:val="2627191F"/>
    <w:rsid w:val="262A4E03"/>
    <w:rsid w:val="262B4D16"/>
    <w:rsid w:val="262C1DCB"/>
    <w:rsid w:val="262E5F76"/>
    <w:rsid w:val="26321F0A"/>
    <w:rsid w:val="26323CB8"/>
    <w:rsid w:val="26377839"/>
    <w:rsid w:val="26413EFB"/>
    <w:rsid w:val="26415CA9"/>
    <w:rsid w:val="2644502B"/>
    <w:rsid w:val="264528BD"/>
    <w:rsid w:val="26467763"/>
    <w:rsid w:val="26515721"/>
    <w:rsid w:val="26526108"/>
    <w:rsid w:val="26591245"/>
    <w:rsid w:val="265C0D35"/>
    <w:rsid w:val="26606A77"/>
    <w:rsid w:val="26645926"/>
    <w:rsid w:val="26681488"/>
    <w:rsid w:val="266A3452"/>
    <w:rsid w:val="266F0A68"/>
    <w:rsid w:val="266F6CBA"/>
    <w:rsid w:val="26712A32"/>
    <w:rsid w:val="26760048"/>
    <w:rsid w:val="267E6EFD"/>
    <w:rsid w:val="2681079B"/>
    <w:rsid w:val="268465AB"/>
    <w:rsid w:val="268828FF"/>
    <w:rsid w:val="268E1A5B"/>
    <w:rsid w:val="268F2EB8"/>
    <w:rsid w:val="268F6768"/>
    <w:rsid w:val="26955FF5"/>
    <w:rsid w:val="26976211"/>
    <w:rsid w:val="269C3827"/>
    <w:rsid w:val="269E759F"/>
    <w:rsid w:val="26A05073"/>
    <w:rsid w:val="26A36964"/>
    <w:rsid w:val="26A56238"/>
    <w:rsid w:val="26AA5F44"/>
    <w:rsid w:val="26AB5818"/>
    <w:rsid w:val="26AD1F5C"/>
    <w:rsid w:val="26AF5308"/>
    <w:rsid w:val="26B20955"/>
    <w:rsid w:val="26B7240F"/>
    <w:rsid w:val="26B96187"/>
    <w:rsid w:val="26BB73DE"/>
    <w:rsid w:val="26BC7A25"/>
    <w:rsid w:val="26BE72FA"/>
    <w:rsid w:val="26C012C4"/>
    <w:rsid w:val="26C07516"/>
    <w:rsid w:val="26C37006"/>
    <w:rsid w:val="26C54B2C"/>
    <w:rsid w:val="26C568DA"/>
    <w:rsid w:val="26CB3A94"/>
    <w:rsid w:val="26D0702D"/>
    <w:rsid w:val="26D554F4"/>
    <w:rsid w:val="26D62895"/>
    <w:rsid w:val="26D92385"/>
    <w:rsid w:val="26D94133"/>
    <w:rsid w:val="26DC6C91"/>
    <w:rsid w:val="26E14D5A"/>
    <w:rsid w:val="26E33204"/>
    <w:rsid w:val="26E47D34"/>
    <w:rsid w:val="26E52AD8"/>
    <w:rsid w:val="26E72CF4"/>
    <w:rsid w:val="26E74AA2"/>
    <w:rsid w:val="26ED035B"/>
    <w:rsid w:val="26EF7DFB"/>
    <w:rsid w:val="26F15921"/>
    <w:rsid w:val="26F40F6D"/>
    <w:rsid w:val="26F60CAF"/>
    <w:rsid w:val="26F61189"/>
    <w:rsid w:val="26F94249"/>
    <w:rsid w:val="26FD2518"/>
    <w:rsid w:val="2700492A"/>
    <w:rsid w:val="270D202F"/>
    <w:rsid w:val="270F7B55"/>
    <w:rsid w:val="2714160F"/>
    <w:rsid w:val="27147861"/>
    <w:rsid w:val="27181100"/>
    <w:rsid w:val="271967C0"/>
    <w:rsid w:val="271B0BF0"/>
    <w:rsid w:val="27233601"/>
    <w:rsid w:val="272445CF"/>
    <w:rsid w:val="27260CC1"/>
    <w:rsid w:val="27286E69"/>
    <w:rsid w:val="272D447F"/>
    <w:rsid w:val="273306F3"/>
    <w:rsid w:val="27363334"/>
    <w:rsid w:val="27377A67"/>
    <w:rsid w:val="27391076"/>
    <w:rsid w:val="274041B2"/>
    <w:rsid w:val="27433CA3"/>
    <w:rsid w:val="274C0DA9"/>
    <w:rsid w:val="274E4B21"/>
    <w:rsid w:val="2753038A"/>
    <w:rsid w:val="27533EE6"/>
    <w:rsid w:val="275814FC"/>
    <w:rsid w:val="27585A15"/>
    <w:rsid w:val="2758774E"/>
    <w:rsid w:val="27592132"/>
    <w:rsid w:val="275B2D9A"/>
    <w:rsid w:val="275D4D64"/>
    <w:rsid w:val="275D6B12"/>
    <w:rsid w:val="275F6D2E"/>
    <w:rsid w:val="2762237B"/>
    <w:rsid w:val="27651E6B"/>
    <w:rsid w:val="276A7481"/>
    <w:rsid w:val="276E0D20"/>
    <w:rsid w:val="277420AE"/>
    <w:rsid w:val="277976C4"/>
    <w:rsid w:val="277B0D7F"/>
    <w:rsid w:val="277B343D"/>
    <w:rsid w:val="277F117F"/>
    <w:rsid w:val="27826579"/>
    <w:rsid w:val="27871DE1"/>
    <w:rsid w:val="278E278E"/>
    <w:rsid w:val="27905EE6"/>
    <w:rsid w:val="279D7857"/>
    <w:rsid w:val="279F193A"/>
    <w:rsid w:val="27A504B9"/>
    <w:rsid w:val="27A60C72"/>
    <w:rsid w:val="27AD6260"/>
    <w:rsid w:val="27AD638E"/>
    <w:rsid w:val="27AE0637"/>
    <w:rsid w:val="27AE3812"/>
    <w:rsid w:val="27AF6B8F"/>
    <w:rsid w:val="27B01338"/>
    <w:rsid w:val="27B30E28"/>
    <w:rsid w:val="27BA5D13"/>
    <w:rsid w:val="27BC5F2F"/>
    <w:rsid w:val="27C052F3"/>
    <w:rsid w:val="27C1173F"/>
    <w:rsid w:val="27C2106B"/>
    <w:rsid w:val="27CE7A10"/>
    <w:rsid w:val="27D15DD1"/>
    <w:rsid w:val="27D74B17"/>
    <w:rsid w:val="27E25DE6"/>
    <w:rsid w:val="27E40FE2"/>
    <w:rsid w:val="27E72880"/>
    <w:rsid w:val="27EB1D1A"/>
    <w:rsid w:val="27EC60E8"/>
    <w:rsid w:val="27EE09E2"/>
    <w:rsid w:val="27F21951"/>
    <w:rsid w:val="27F473D8"/>
    <w:rsid w:val="27FA6426"/>
    <w:rsid w:val="27FC632B"/>
    <w:rsid w:val="27FF7BCA"/>
    <w:rsid w:val="280478D6"/>
    <w:rsid w:val="280653FC"/>
    <w:rsid w:val="28096C9A"/>
    <w:rsid w:val="280B7BC3"/>
    <w:rsid w:val="280C5ECE"/>
    <w:rsid w:val="28164F13"/>
    <w:rsid w:val="281A2C55"/>
    <w:rsid w:val="281C4C20"/>
    <w:rsid w:val="281F201A"/>
    <w:rsid w:val="28212236"/>
    <w:rsid w:val="28213FE4"/>
    <w:rsid w:val="28277120"/>
    <w:rsid w:val="28304CAC"/>
    <w:rsid w:val="28333D17"/>
    <w:rsid w:val="2833567F"/>
    <w:rsid w:val="28335AC5"/>
    <w:rsid w:val="28337E41"/>
    <w:rsid w:val="283755B5"/>
    <w:rsid w:val="28396011"/>
    <w:rsid w:val="283D06F2"/>
    <w:rsid w:val="283F26BC"/>
    <w:rsid w:val="283F66B5"/>
    <w:rsid w:val="284321AC"/>
    <w:rsid w:val="284C02A7"/>
    <w:rsid w:val="284E28FF"/>
    <w:rsid w:val="28551EE0"/>
    <w:rsid w:val="28572430"/>
    <w:rsid w:val="285735F9"/>
    <w:rsid w:val="285919D0"/>
    <w:rsid w:val="285C501C"/>
    <w:rsid w:val="285D2B42"/>
    <w:rsid w:val="285E6D69"/>
    <w:rsid w:val="28650375"/>
    <w:rsid w:val="28652321"/>
    <w:rsid w:val="28687E65"/>
    <w:rsid w:val="2869172C"/>
    <w:rsid w:val="28695417"/>
    <w:rsid w:val="286B34B1"/>
    <w:rsid w:val="286C33DB"/>
    <w:rsid w:val="286D547B"/>
    <w:rsid w:val="28702875"/>
    <w:rsid w:val="287560DE"/>
    <w:rsid w:val="2876639C"/>
    <w:rsid w:val="287A1946"/>
    <w:rsid w:val="287F0D0A"/>
    <w:rsid w:val="28813F71"/>
    <w:rsid w:val="28814A83"/>
    <w:rsid w:val="28846321"/>
    <w:rsid w:val="28892427"/>
    <w:rsid w:val="288A18A7"/>
    <w:rsid w:val="288C0DA8"/>
    <w:rsid w:val="28924EE2"/>
    <w:rsid w:val="28931021"/>
    <w:rsid w:val="289447B6"/>
    <w:rsid w:val="2895052E"/>
    <w:rsid w:val="289651BD"/>
    <w:rsid w:val="289E5635"/>
    <w:rsid w:val="28A1297A"/>
    <w:rsid w:val="28A76295"/>
    <w:rsid w:val="28A864B3"/>
    <w:rsid w:val="28AB7D51"/>
    <w:rsid w:val="28AF7842"/>
    <w:rsid w:val="28B430AA"/>
    <w:rsid w:val="28B8366A"/>
    <w:rsid w:val="28BC5ABB"/>
    <w:rsid w:val="28BC7129"/>
    <w:rsid w:val="28C17575"/>
    <w:rsid w:val="28C36E49"/>
    <w:rsid w:val="28C606E7"/>
    <w:rsid w:val="28CA01D8"/>
    <w:rsid w:val="28CB212A"/>
    <w:rsid w:val="28CC21F1"/>
    <w:rsid w:val="28D177B8"/>
    <w:rsid w:val="28D309FA"/>
    <w:rsid w:val="28D6244E"/>
    <w:rsid w:val="28D76D98"/>
    <w:rsid w:val="28DB32AB"/>
    <w:rsid w:val="28DE3C83"/>
    <w:rsid w:val="28DF3C8D"/>
    <w:rsid w:val="28E54BC4"/>
    <w:rsid w:val="28EA087A"/>
    <w:rsid w:val="28ED71FF"/>
    <w:rsid w:val="28F45255"/>
    <w:rsid w:val="28FF5FE7"/>
    <w:rsid w:val="29017971"/>
    <w:rsid w:val="290D27BA"/>
    <w:rsid w:val="29143B49"/>
    <w:rsid w:val="2916166F"/>
    <w:rsid w:val="2916341D"/>
    <w:rsid w:val="291B4ED7"/>
    <w:rsid w:val="291D0C4F"/>
    <w:rsid w:val="29206EB8"/>
    <w:rsid w:val="292136CE"/>
    <w:rsid w:val="29231FDE"/>
    <w:rsid w:val="29246A24"/>
    <w:rsid w:val="292518B2"/>
    <w:rsid w:val="292813A2"/>
    <w:rsid w:val="292A511A"/>
    <w:rsid w:val="292D4147"/>
    <w:rsid w:val="292E034E"/>
    <w:rsid w:val="292F2731"/>
    <w:rsid w:val="292F67EE"/>
    <w:rsid w:val="293146FB"/>
    <w:rsid w:val="29324F91"/>
    <w:rsid w:val="29373393"/>
    <w:rsid w:val="29387837"/>
    <w:rsid w:val="2939710B"/>
    <w:rsid w:val="2944442E"/>
    <w:rsid w:val="29471828"/>
    <w:rsid w:val="294A1318"/>
    <w:rsid w:val="294A3CD7"/>
    <w:rsid w:val="294C22A1"/>
    <w:rsid w:val="294C5091"/>
    <w:rsid w:val="29534671"/>
    <w:rsid w:val="295876D6"/>
    <w:rsid w:val="295D104C"/>
    <w:rsid w:val="295E2F75"/>
    <w:rsid w:val="295E3016"/>
    <w:rsid w:val="29606D8E"/>
    <w:rsid w:val="296C128F"/>
    <w:rsid w:val="296C4BAC"/>
    <w:rsid w:val="297168A5"/>
    <w:rsid w:val="297A7E50"/>
    <w:rsid w:val="297C5914"/>
    <w:rsid w:val="29852351"/>
    <w:rsid w:val="29890093"/>
    <w:rsid w:val="29917294"/>
    <w:rsid w:val="29932CBF"/>
    <w:rsid w:val="29967E2D"/>
    <w:rsid w:val="29982084"/>
    <w:rsid w:val="29A44ECD"/>
    <w:rsid w:val="29A46557"/>
    <w:rsid w:val="29A50C45"/>
    <w:rsid w:val="29AA0009"/>
    <w:rsid w:val="29AA1DB7"/>
    <w:rsid w:val="29B175E9"/>
    <w:rsid w:val="29B82726"/>
    <w:rsid w:val="29BB3FC4"/>
    <w:rsid w:val="29BD08F2"/>
    <w:rsid w:val="29BD5F8E"/>
    <w:rsid w:val="29BF1D06"/>
    <w:rsid w:val="29C0782D"/>
    <w:rsid w:val="29C410CB"/>
    <w:rsid w:val="29CC7F7F"/>
    <w:rsid w:val="29D357B2"/>
    <w:rsid w:val="29D63102"/>
    <w:rsid w:val="29D67050"/>
    <w:rsid w:val="29E325E0"/>
    <w:rsid w:val="29E51041"/>
    <w:rsid w:val="29E639D7"/>
    <w:rsid w:val="29EA6657"/>
    <w:rsid w:val="29EB48A9"/>
    <w:rsid w:val="29EB7E9F"/>
    <w:rsid w:val="29EC0622"/>
    <w:rsid w:val="29EC23D0"/>
    <w:rsid w:val="29EF43E8"/>
    <w:rsid w:val="29F00112"/>
    <w:rsid w:val="29F5538C"/>
    <w:rsid w:val="29F574D6"/>
    <w:rsid w:val="29F6324E"/>
    <w:rsid w:val="29F64FFC"/>
    <w:rsid w:val="29F924A3"/>
    <w:rsid w:val="29F958A0"/>
    <w:rsid w:val="29FB2071"/>
    <w:rsid w:val="29FD638B"/>
    <w:rsid w:val="29FF2103"/>
    <w:rsid w:val="2A047719"/>
    <w:rsid w:val="2A06545A"/>
    <w:rsid w:val="2A0911D4"/>
    <w:rsid w:val="2A0A5FF9"/>
    <w:rsid w:val="2A0C6676"/>
    <w:rsid w:val="2A0D0CC4"/>
    <w:rsid w:val="2A103111"/>
    <w:rsid w:val="2A125012"/>
    <w:rsid w:val="2A1536D4"/>
    <w:rsid w:val="2A163DA4"/>
    <w:rsid w:val="2A1738F0"/>
    <w:rsid w:val="2A263B34"/>
    <w:rsid w:val="2A2A2060"/>
    <w:rsid w:val="2A2D05FF"/>
    <w:rsid w:val="2A3224D8"/>
    <w:rsid w:val="2A353D77"/>
    <w:rsid w:val="2A366DD9"/>
    <w:rsid w:val="2A375D41"/>
    <w:rsid w:val="2A3873C3"/>
    <w:rsid w:val="2A3A00AE"/>
    <w:rsid w:val="2A3D2C2B"/>
    <w:rsid w:val="2A426494"/>
    <w:rsid w:val="2A4346E5"/>
    <w:rsid w:val="2A452503"/>
    <w:rsid w:val="2A4E308A"/>
    <w:rsid w:val="2A4F3BBF"/>
    <w:rsid w:val="2A524929"/>
    <w:rsid w:val="2A53244F"/>
    <w:rsid w:val="2A571F3F"/>
    <w:rsid w:val="2A581813"/>
    <w:rsid w:val="2A585CB7"/>
    <w:rsid w:val="2A587A65"/>
    <w:rsid w:val="2A61691A"/>
    <w:rsid w:val="2A6428AE"/>
    <w:rsid w:val="2A643B57"/>
    <w:rsid w:val="2A697EC4"/>
    <w:rsid w:val="2A6B1334"/>
    <w:rsid w:val="2A6D3510"/>
    <w:rsid w:val="2A6F54DA"/>
    <w:rsid w:val="2A73489F"/>
    <w:rsid w:val="2A742AF1"/>
    <w:rsid w:val="2A756869"/>
    <w:rsid w:val="2A78062B"/>
    <w:rsid w:val="2A791292"/>
    <w:rsid w:val="2A7B6309"/>
    <w:rsid w:val="2A7E571E"/>
    <w:rsid w:val="2A7F4FF2"/>
    <w:rsid w:val="2A801755"/>
    <w:rsid w:val="2A81520E"/>
    <w:rsid w:val="2A88659C"/>
    <w:rsid w:val="2A8B3997"/>
    <w:rsid w:val="2A8E3487"/>
    <w:rsid w:val="2A8F72B6"/>
    <w:rsid w:val="2A9211C9"/>
    <w:rsid w:val="2A924FCC"/>
    <w:rsid w:val="2A930A9D"/>
    <w:rsid w:val="2A9C2048"/>
    <w:rsid w:val="2A9D15F2"/>
    <w:rsid w:val="2A9F5694"/>
    <w:rsid w:val="2AA1140C"/>
    <w:rsid w:val="2AA2188F"/>
    <w:rsid w:val="2AA2529F"/>
    <w:rsid w:val="2AA44A58"/>
    <w:rsid w:val="2AA77E46"/>
    <w:rsid w:val="2AA84549"/>
    <w:rsid w:val="2AAB5DE7"/>
    <w:rsid w:val="2AAD7DB1"/>
    <w:rsid w:val="2AAF3B29"/>
    <w:rsid w:val="2AB00919"/>
    <w:rsid w:val="2AB16E31"/>
    <w:rsid w:val="2AB23619"/>
    <w:rsid w:val="2AB24AC6"/>
    <w:rsid w:val="2AB56C65"/>
    <w:rsid w:val="2AB729DE"/>
    <w:rsid w:val="2AB90504"/>
    <w:rsid w:val="2ABA24CE"/>
    <w:rsid w:val="2ABD6460"/>
    <w:rsid w:val="2AC450FA"/>
    <w:rsid w:val="2AC66B4F"/>
    <w:rsid w:val="2ACD6F90"/>
    <w:rsid w:val="2ACE4132"/>
    <w:rsid w:val="2AD57308"/>
    <w:rsid w:val="2AD757E4"/>
    <w:rsid w:val="2AD905D3"/>
    <w:rsid w:val="2ADB79D1"/>
    <w:rsid w:val="2ADC0696"/>
    <w:rsid w:val="2ADC28A4"/>
    <w:rsid w:val="2ADC41F2"/>
    <w:rsid w:val="2AE31A25"/>
    <w:rsid w:val="2AE61515"/>
    <w:rsid w:val="2AEA21EB"/>
    <w:rsid w:val="2AEE02BE"/>
    <w:rsid w:val="2AEF03C9"/>
    <w:rsid w:val="2AF43C32"/>
    <w:rsid w:val="2AF7102C"/>
    <w:rsid w:val="2AFA28CA"/>
    <w:rsid w:val="2B033E75"/>
    <w:rsid w:val="2B0A5203"/>
    <w:rsid w:val="2B0B5E2F"/>
    <w:rsid w:val="2B0C0FDF"/>
    <w:rsid w:val="2B0E3784"/>
    <w:rsid w:val="2B125FE0"/>
    <w:rsid w:val="2B157704"/>
    <w:rsid w:val="2B1971F4"/>
    <w:rsid w:val="2B1D6617"/>
    <w:rsid w:val="2B1E71B6"/>
    <w:rsid w:val="2B1F70A8"/>
    <w:rsid w:val="2B204A27"/>
    <w:rsid w:val="2B253DEB"/>
    <w:rsid w:val="2B277B63"/>
    <w:rsid w:val="2B2838DB"/>
    <w:rsid w:val="2B2C517A"/>
    <w:rsid w:val="2B3265FA"/>
    <w:rsid w:val="2B373B1E"/>
    <w:rsid w:val="2B395AE8"/>
    <w:rsid w:val="2B3B11AE"/>
    <w:rsid w:val="2B3E6C5B"/>
    <w:rsid w:val="2B435C33"/>
    <w:rsid w:val="2B473D61"/>
    <w:rsid w:val="2B492D8D"/>
    <w:rsid w:val="2B4C581C"/>
    <w:rsid w:val="2B4D0C4C"/>
    <w:rsid w:val="2B522706"/>
    <w:rsid w:val="2B54022C"/>
    <w:rsid w:val="2B5B780D"/>
    <w:rsid w:val="2B604E23"/>
    <w:rsid w:val="2B612949"/>
    <w:rsid w:val="2B620B9B"/>
    <w:rsid w:val="2B634913"/>
    <w:rsid w:val="2B683CD8"/>
    <w:rsid w:val="2B69017C"/>
    <w:rsid w:val="2B6C62CF"/>
    <w:rsid w:val="2B6C7C6C"/>
    <w:rsid w:val="2B74267D"/>
    <w:rsid w:val="2B764647"/>
    <w:rsid w:val="2B7B7EAF"/>
    <w:rsid w:val="2B7D7783"/>
    <w:rsid w:val="2B7E34FB"/>
    <w:rsid w:val="2B7F6702"/>
    <w:rsid w:val="2B8723B0"/>
    <w:rsid w:val="2B8A6344"/>
    <w:rsid w:val="2B8C3E6A"/>
    <w:rsid w:val="2B8F5708"/>
    <w:rsid w:val="2B911481"/>
    <w:rsid w:val="2B93404B"/>
    <w:rsid w:val="2B936FA7"/>
    <w:rsid w:val="2B9B0113"/>
    <w:rsid w:val="2B9B22FF"/>
    <w:rsid w:val="2BA936A8"/>
    <w:rsid w:val="2BAA609E"/>
    <w:rsid w:val="2BAC0068"/>
    <w:rsid w:val="2BAE2033"/>
    <w:rsid w:val="2BAE6156"/>
    <w:rsid w:val="2BB4516F"/>
    <w:rsid w:val="2BB45CC1"/>
    <w:rsid w:val="2BB533C1"/>
    <w:rsid w:val="2BBA5CF7"/>
    <w:rsid w:val="2BBD13CD"/>
    <w:rsid w:val="2BBD4A6B"/>
    <w:rsid w:val="2BBE1B4A"/>
    <w:rsid w:val="2BC01D66"/>
    <w:rsid w:val="2BC30558"/>
    <w:rsid w:val="2BC442AE"/>
    <w:rsid w:val="2BC74EA2"/>
    <w:rsid w:val="2BCA04EF"/>
    <w:rsid w:val="2BCA4992"/>
    <w:rsid w:val="2BD41F7F"/>
    <w:rsid w:val="2BD96984"/>
    <w:rsid w:val="2BDB6BA0"/>
    <w:rsid w:val="2BE30E54"/>
    <w:rsid w:val="2BE733F6"/>
    <w:rsid w:val="2BEA71D2"/>
    <w:rsid w:val="2BEF7F55"/>
    <w:rsid w:val="2BF0264B"/>
    <w:rsid w:val="2BF612E4"/>
    <w:rsid w:val="2BFF4499"/>
    <w:rsid w:val="2BFF63EA"/>
    <w:rsid w:val="2BFF77EC"/>
    <w:rsid w:val="2C0003B4"/>
    <w:rsid w:val="2C013063"/>
    <w:rsid w:val="2C025EDA"/>
    <w:rsid w:val="2C0504DF"/>
    <w:rsid w:val="2C063C1D"/>
    <w:rsid w:val="2C077995"/>
    <w:rsid w:val="2C0B2FE1"/>
    <w:rsid w:val="2C0E2AD1"/>
    <w:rsid w:val="2C1300E8"/>
    <w:rsid w:val="2C1327AC"/>
    <w:rsid w:val="2C1520B2"/>
    <w:rsid w:val="2C181352"/>
    <w:rsid w:val="2C183950"/>
    <w:rsid w:val="2C1874AC"/>
    <w:rsid w:val="2C1945BB"/>
    <w:rsid w:val="2C1A1476"/>
    <w:rsid w:val="2C245E51"/>
    <w:rsid w:val="2C251BC9"/>
    <w:rsid w:val="2C296E55"/>
    <w:rsid w:val="2C297706"/>
    <w:rsid w:val="2C2C2F57"/>
    <w:rsid w:val="2C2C3DE8"/>
    <w:rsid w:val="2C2C7879"/>
    <w:rsid w:val="2C302A48"/>
    <w:rsid w:val="2C31218A"/>
    <w:rsid w:val="2C315A5A"/>
    <w:rsid w:val="2C327883"/>
    <w:rsid w:val="2C3B13EC"/>
    <w:rsid w:val="2C3C763E"/>
    <w:rsid w:val="2C3F2D5D"/>
    <w:rsid w:val="2C44430E"/>
    <w:rsid w:val="2C464019"/>
    <w:rsid w:val="2C471B3F"/>
    <w:rsid w:val="2C484235"/>
    <w:rsid w:val="2C487FD5"/>
    <w:rsid w:val="2C496CF0"/>
    <w:rsid w:val="2C50426F"/>
    <w:rsid w:val="2C532973"/>
    <w:rsid w:val="2C534988"/>
    <w:rsid w:val="2C571A8D"/>
    <w:rsid w:val="2C5D5807"/>
    <w:rsid w:val="2C6426F1"/>
    <w:rsid w:val="2C644CC2"/>
    <w:rsid w:val="2C652EE7"/>
    <w:rsid w:val="2C6754A3"/>
    <w:rsid w:val="2C693389"/>
    <w:rsid w:val="2C6B74B9"/>
    <w:rsid w:val="2C6E531E"/>
    <w:rsid w:val="2C70553A"/>
    <w:rsid w:val="2C7548FE"/>
    <w:rsid w:val="2C772424"/>
    <w:rsid w:val="2C7F39CF"/>
    <w:rsid w:val="2C815051"/>
    <w:rsid w:val="2C8608B9"/>
    <w:rsid w:val="2C8763E0"/>
    <w:rsid w:val="2C8903AA"/>
    <w:rsid w:val="2C8E6B1A"/>
    <w:rsid w:val="2C914308"/>
    <w:rsid w:val="2C985B8A"/>
    <w:rsid w:val="2C9A4365"/>
    <w:rsid w:val="2C9A63AD"/>
    <w:rsid w:val="2C9E20A7"/>
    <w:rsid w:val="2CA64AB8"/>
    <w:rsid w:val="2CA86A82"/>
    <w:rsid w:val="2CAA608D"/>
    <w:rsid w:val="2CB01DDA"/>
    <w:rsid w:val="2CB34EDA"/>
    <w:rsid w:val="2CB90C8F"/>
    <w:rsid w:val="2CBD0053"/>
    <w:rsid w:val="2CBF0ACA"/>
    <w:rsid w:val="2CC213E0"/>
    <w:rsid w:val="2CC413E2"/>
    <w:rsid w:val="2CC66F08"/>
    <w:rsid w:val="2CCE2260"/>
    <w:rsid w:val="2CCE400E"/>
    <w:rsid w:val="2CD05FD9"/>
    <w:rsid w:val="2CD45AC9"/>
    <w:rsid w:val="2CD629A7"/>
    <w:rsid w:val="2CD77367"/>
    <w:rsid w:val="2CD979CA"/>
    <w:rsid w:val="2CDA0C05"/>
    <w:rsid w:val="2CDD51B6"/>
    <w:rsid w:val="2CDE7B27"/>
    <w:rsid w:val="2CE11F94"/>
    <w:rsid w:val="2CE455E0"/>
    <w:rsid w:val="2CE850D0"/>
    <w:rsid w:val="2CEB696E"/>
    <w:rsid w:val="2CED26E7"/>
    <w:rsid w:val="2CF4294C"/>
    <w:rsid w:val="2CF717B7"/>
    <w:rsid w:val="2CFC0B7C"/>
    <w:rsid w:val="2CFF066C"/>
    <w:rsid w:val="2D0143E4"/>
    <w:rsid w:val="2D053ED4"/>
    <w:rsid w:val="2D0D4B37"/>
    <w:rsid w:val="2D105B15"/>
    <w:rsid w:val="2D122D03"/>
    <w:rsid w:val="2D142369"/>
    <w:rsid w:val="2D151C3D"/>
    <w:rsid w:val="2D1934DC"/>
    <w:rsid w:val="2D200D0E"/>
    <w:rsid w:val="2D2325AC"/>
    <w:rsid w:val="2D232822"/>
    <w:rsid w:val="2D242F9D"/>
    <w:rsid w:val="2D2A1671"/>
    <w:rsid w:val="2D2A393B"/>
    <w:rsid w:val="2D2A56E9"/>
    <w:rsid w:val="2D2C2E15"/>
    <w:rsid w:val="2D2D51D9"/>
    <w:rsid w:val="2D2E3032"/>
    <w:rsid w:val="2D360531"/>
    <w:rsid w:val="2D3A4195"/>
    <w:rsid w:val="2D3C366E"/>
    <w:rsid w:val="2D3E1194"/>
    <w:rsid w:val="2D4708BF"/>
    <w:rsid w:val="2D4B1056"/>
    <w:rsid w:val="2D616C31"/>
    <w:rsid w:val="2D6741DC"/>
    <w:rsid w:val="2D687AB5"/>
    <w:rsid w:val="2D6C1150"/>
    <w:rsid w:val="2D71156A"/>
    <w:rsid w:val="2D7352E2"/>
    <w:rsid w:val="2D76092E"/>
    <w:rsid w:val="2D793729"/>
    <w:rsid w:val="2D796670"/>
    <w:rsid w:val="2D7B7EC6"/>
    <w:rsid w:val="2D88240F"/>
    <w:rsid w:val="2D8D5C78"/>
    <w:rsid w:val="2D8D660E"/>
    <w:rsid w:val="2D9139BA"/>
    <w:rsid w:val="2D940DB4"/>
    <w:rsid w:val="2D956126"/>
    <w:rsid w:val="2D962D7E"/>
    <w:rsid w:val="2D9D4E4A"/>
    <w:rsid w:val="2D9E56F5"/>
    <w:rsid w:val="2D9E60D7"/>
    <w:rsid w:val="2DA03BFD"/>
    <w:rsid w:val="2DA27975"/>
    <w:rsid w:val="2DA37249"/>
    <w:rsid w:val="2DA82AB1"/>
    <w:rsid w:val="2DA84860"/>
    <w:rsid w:val="2DAC07F4"/>
    <w:rsid w:val="2DAC392E"/>
    <w:rsid w:val="2DAD00C8"/>
    <w:rsid w:val="2DB02E38"/>
    <w:rsid w:val="2DB41456"/>
    <w:rsid w:val="2DB43204"/>
    <w:rsid w:val="2DB444AD"/>
    <w:rsid w:val="2DB80F46"/>
    <w:rsid w:val="2DB94CBF"/>
    <w:rsid w:val="2DBA2F11"/>
    <w:rsid w:val="2DBC1F60"/>
    <w:rsid w:val="2DBE22D5"/>
    <w:rsid w:val="2DBF4B12"/>
    <w:rsid w:val="2DC45B3D"/>
    <w:rsid w:val="2DC72F38"/>
    <w:rsid w:val="2DCD775F"/>
    <w:rsid w:val="2DCE4DDE"/>
    <w:rsid w:val="2DCF003E"/>
    <w:rsid w:val="2DCF214E"/>
    <w:rsid w:val="2DD11160"/>
    <w:rsid w:val="2DD6761F"/>
    <w:rsid w:val="2DD815E9"/>
    <w:rsid w:val="2DDA60A5"/>
    <w:rsid w:val="2DE27D71"/>
    <w:rsid w:val="2DE47F8D"/>
    <w:rsid w:val="2DE55AB4"/>
    <w:rsid w:val="2DE57862"/>
    <w:rsid w:val="2DEA30CA"/>
    <w:rsid w:val="2DF06932"/>
    <w:rsid w:val="2DF6381D"/>
    <w:rsid w:val="2DF8162E"/>
    <w:rsid w:val="2DF91E34"/>
    <w:rsid w:val="2DFA1A5F"/>
    <w:rsid w:val="2E051CB2"/>
    <w:rsid w:val="2E053A60"/>
    <w:rsid w:val="2E075A2A"/>
    <w:rsid w:val="2E087164"/>
    <w:rsid w:val="2E0979F4"/>
    <w:rsid w:val="2E0C4DEE"/>
    <w:rsid w:val="2E0E6DB8"/>
    <w:rsid w:val="2E0F48DF"/>
    <w:rsid w:val="2E150147"/>
    <w:rsid w:val="2E187C37"/>
    <w:rsid w:val="2E1D6FFC"/>
    <w:rsid w:val="2E220AB6"/>
    <w:rsid w:val="2E262354"/>
    <w:rsid w:val="2E271C28"/>
    <w:rsid w:val="2E291E44"/>
    <w:rsid w:val="2E2C5491"/>
    <w:rsid w:val="2E304F81"/>
    <w:rsid w:val="2E352597"/>
    <w:rsid w:val="2E3572C5"/>
    <w:rsid w:val="2E385BE3"/>
    <w:rsid w:val="2E450300"/>
    <w:rsid w:val="2E456552"/>
    <w:rsid w:val="2E4647E1"/>
    <w:rsid w:val="2E47051C"/>
    <w:rsid w:val="2E491A3F"/>
    <w:rsid w:val="2E495111"/>
    <w:rsid w:val="2E496043"/>
    <w:rsid w:val="2E4A4A48"/>
    <w:rsid w:val="2E4B3B69"/>
    <w:rsid w:val="2E4E18AB"/>
    <w:rsid w:val="2E4F2F2D"/>
    <w:rsid w:val="2E5642BC"/>
    <w:rsid w:val="2E575575"/>
    <w:rsid w:val="2E5D564A"/>
    <w:rsid w:val="2E6030FC"/>
    <w:rsid w:val="2E6031F7"/>
    <w:rsid w:val="2E6305ED"/>
    <w:rsid w:val="2E6469D8"/>
    <w:rsid w:val="2E652751"/>
    <w:rsid w:val="2E6609A2"/>
    <w:rsid w:val="2E667F96"/>
    <w:rsid w:val="2E67471B"/>
    <w:rsid w:val="2E6D585E"/>
    <w:rsid w:val="2E7117CD"/>
    <w:rsid w:val="2E772BB0"/>
    <w:rsid w:val="2E7A26A0"/>
    <w:rsid w:val="2E7A444E"/>
    <w:rsid w:val="2E7D3F3E"/>
    <w:rsid w:val="2E7F1A64"/>
    <w:rsid w:val="2E8226AB"/>
    <w:rsid w:val="2E8227CF"/>
    <w:rsid w:val="2E840E29"/>
    <w:rsid w:val="2E860B9A"/>
    <w:rsid w:val="2E864BA1"/>
    <w:rsid w:val="2E8D2118"/>
    <w:rsid w:val="2E8E1840"/>
    <w:rsid w:val="2E9077CD"/>
    <w:rsid w:val="2E913546"/>
    <w:rsid w:val="2E921798"/>
    <w:rsid w:val="2E933762"/>
    <w:rsid w:val="2E953036"/>
    <w:rsid w:val="2E954DE4"/>
    <w:rsid w:val="2E9574DA"/>
    <w:rsid w:val="2E960B5C"/>
    <w:rsid w:val="2E9A064C"/>
    <w:rsid w:val="2EA414CB"/>
    <w:rsid w:val="2EA4771D"/>
    <w:rsid w:val="2EA72D69"/>
    <w:rsid w:val="2EAD1279"/>
    <w:rsid w:val="2EB0560C"/>
    <w:rsid w:val="2EB060C2"/>
    <w:rsid w:val="2EB711FE"/>
    <w:rsid w:val="2EBC05C2"/>
    <w:rsid w:val="2EC42C7A"/>
    <w:rsid w:val="2EC9206D"/>
    <w:rsid w:val="2ECB4CA9"/>
    <w:rsid w:val="2ECB6A58"/>
    <w:rsid w:val="2ECD6C74"/>
    <w:rsid w:val="2ED00512"/>
    <w:rsid w:val="2ED075DC"/>
    <w:rsid w:val="2ED1017B"/>
    <w:rsid w:val="2ED33B5E"/>
    <w:rsid w:val="2ED578D6"/>
    <w:rsid w:val="2ED81174"/>
    <w:rsid w:val="2EDB31E4"/>
    <w:rsid w:val="2EDB5F3B"/>
    <w:rsid w:val="2EDC2A13"/>
    <w:rsid w:val="2EDC6EB7"/>
    <w:rsid w:val="2EE443DB"/>
    <w:rsid w:val="2EE93382"/>
    <w:rsid w:val="2EED2E72"/>
    <w:rsid w:val="2EEE4F05"/>
    <w:rsid w:val="2EF04710"/>
    <w:rsid w:val="2EF139C1"/>
    <w:rsid w:val="2EF17594"/>
    <w:rsid w:val="2EF91817"/>
    <w:rsid w:val="2EFA10EB"/>
    <w:rsid w:val="2EFA733D"/>
    <w:rsid w:val="2EFE507F"/>
    <w:rsid w:val="2F0B142F"/>
    <w:rsid w:val="2F0B154A"/>
    <w:rsid w:val="2F0C08F6"/>
    <w:rsid w:val="2F0E4B96"/>
    <w:rsid w:val="2F126434"/>
    <w:rsid w:val="2F21465F"/>
    <w:rsid w:val="2F2A7C22"/>
    <w:rsid w:val="2F2B399A"/>
    <w:rsid w:val="2F2F5238"/>
    <w:rsid w:val="2F300FB0"/>
    <w:rsid w:val="2F340AA1"/>
    <w:rsid w:val="2F3D0CEE"/>
    <w:rsid w:val="2F3E191F"/>
    <w:rsid w:val="2F3F11F4"/>
    <w:rsid w:val="2F407445"/>
    <w:rsid w:val="2F464330"/>
    <w:rsid w:val="2F4F461B"/>
    <w:rsid w:val="2F5051AF"/>
    <w:rsid w:val="2F57027C"/>
    <w:rsid w:val="2F575B54"/>
    <w:rsid w:val="2F5F53F2"/>
    <w:rsid w:val="2F603644"/>
    <w:rsid w:val="2F640B79"/>
    <w:rsid w:val="2F64740E"/>
    <w:rsid w:val="2F6A2714"/>
    <w:rsid w:val="2F6A44C2"/>
    <w:rsid w:val="2F6B12EF"/>
    <w:rsid w:val="2F6B1FE9"/>
    <w:rsid w:val="2F6D3FB3"/>
    <w:rsid w:val="2F76779B"/>
    <w:rsid w:val="2F776BDF"/>
    <w:rsid w:val="2F7964B4"/>
    <w:rsid w:val="2F7D4F4A"/>
    <w:rsid w:val="2F832C79"/>
    <w:rsid w:val="2F835584"/>
    <w:rsid w:val="2F8512FC"/>
    <w:rsid w:val="2F882B9B"/>
    <w:rsid w:val="2F8F4328"/>
    <w:rsid w:val="2F9627A7"/>
    <w:rsid w:val="2F9652B7"/>
    <w:rsid w:val="2F967065"/>
    <w:rsid w:val="2F972377"/>
    <w:rsid w:val="2F9E416C"/>
    <w:rsid w:val="2FA15A0A"/>
    <w:rsid w:val="2FA76FD1"/>
    <w:rsid w:val="2FAA0D63"/>
    <w:rsid w:val="2FB35E69"/>
    <w:rsid w:val="2FB41BE1"/>
    <w:rsid w:val="2FB4573E"/>
    <w:rsid w:val="2FC00586"/>
    <w:rsid w:val="2FC30453"/>
    <w:rsid w:val="2FC35981"/>
    <w:rsid w:val="2FCC0CD9"/>
    <w:rsid w:val="2FCF07C9"/>
    <w:rsid w:val="2FD45DE0"/>
    <w:rsid w:val="2FD64419"/>
    <w:rsid w:val="2FD7142C"/>
    <w:rsid w:val="2FD8767E"/>
    <w:rsid w:val="2FD944DB"/>
    <w:rsid w:val="2FDC266D"/>
    <w:rsid w:val="2FDE33B6"/>
    <w:rsid w:val="2FE83639"/>
    <w:rsid w:val="2FEE50F3"/>
    <w:rsid w:val="2FEF2D58"/>
    <w:rsid w:val="2FF2263C"/>
    <w:rsid w:val="2FF344B8"/>
    <w:rsid w:val="2FF74010"/>
    <w:rsid w:val="2FFB15BE"/>
    <w:rsid w:val="2FFD0DFC"/>
    <w:rsid w:val="3002033D"/>
    <w:rsid w:val="30030473"/>
    <w:rsid w:val="30055F99"/>
    <w:rsid w:val="30077F63"/>
    <w:rsid w:val="300C37CC"/>
    <w:rsid w:val="300D4E4E"/>
    <w:rsid w:val="300F0BC6"/>
    <w:rsid w:val="30102A86"/>
    <w:rsid w:val="3010584B"/>
    <w:rsid w:val="3014442E"/>
    <w:rsid w:val="301B5877"/>
    <w:rsid w:val="301F34FF"/>
    <w:rsid w:val="301F52AD"/>
    <w:rsid w:val="30202DD3"/>
    <w:rsid w:val="30335C3C"/>
    <w:rsid w:val="303643A5"/>
    <w:rsid w:val="303A20E7"/>
    <w:rsid w:val="303C4D07"/>
    <w:rsid w:val="303D1BD7"/>
    <w:rsid w:val="303E4FB3"/>
    <w:rsid w:val="30416A1A"/>
    <w:rsid w:val="30442F65"/>
    <w:rsid w:val="30443C64"/>
    <w:rsid w:val="30444D13"/>
    <w:rsid w:val="3046098A"/>
    <w:rsid w:val="3049057C"/>
    <w:rsid w:val="304A7E50"/>
    <w:rsid w:val="304C1E1A"/>
    <w:rsid w:val="304C5976"/>
    <w:rsid w:val="304E0112"/>
    <w:rsid w:val="304E0CC8"/>
    <w:rsid w:val="305331A8"/>
    <w:rsid w:val="30536D05"/>
    <w:rsid w:val="3056544F"/>
    <w:rsid w:val="305667F5"/>
    <w:rsid w:val="30580BC9"/>
    <w:rsid w:val="305F1B4D"/>
    <w:rsid w:val="305F4D62"/>
    <w:rsid w:val="30657FDD"/>
    <w:rsid w:val="30676C54"/>
    <w:rsid w:val="3069477A"/>
    <w:rsid w:val="30717AD3"/>
    <w:rsid w:val="307373A7"/>
    <w:rsid w:val="307418D9"/>
    <w:rsid w:val="3075311F"/>
    <w:rsid w:val="30785D29"/>
    <w:rsid w:val="30845298"/>
    <w:rsid w:val="3089305D"/>
    <w:rsid w:val="308B2942"/>
    <w:rsid w:val="30915A7F"/>
    <w:rsid w:val="309335A5"/>
    <w:rsid w:val="30963095"/>
    <w:rsid w:val="309655D5"/>
    <w:rsid w:val="309A2B85"/>
    <w:rsid w:val="309B1AA0"/>
    <w:rsid w:val="309D5228"/>
    <w:rsid w:val="30A003C2"/>
    <w:rsid w:val="30A05CC2"/>
    <w:rsid w:val="30A25EDE"/>
    <w:rsid w:val="30A27C8C"/>
    <w:rsid w:val="30A43AF4"/>
    <w:rsid w:val="30A65659"/>
    <w:rsid w:val="30A92DC8"/>
    <w:rsid w:val="30A9726C"/>
    <w:rsid w:val="30AF64B9"/>
    <w:rsid w:val="30B14FA8"/>
    <w:rsid w:val="30B33C47"/>
    <w:rsid w:val="30B442DC"/>
    <w:rsid w:val="30B74C4B"/>
    <w:rsid w:val="30BA3228"/>
    <w:rsid w:val="30BC0D4E"/>
    <w:rsid w:val="30BC2BCE"/>
    <w:rsid w:val="30BC6FA0"/>
    <w:rsid w:val="30C65728"/>
    <w:rsid w:val="30C9346B"/>
    <w:rsid w:val="30C96FC7"/>
    <w:rsid w:val="30D065A7"/>
    <w:rsid w:val="30D20112"/>
    <w:rsid w:val="30D36097"/>
    <w:rsid w:val="30D81136"/>
    <w:rsid w:val="30DA5678"/>
    <w:rsid w:val="30DA6B89"/>
    <w:rsid w:val="30DC13F0"/>
    <w:rsid w:val="30DC4672"/>
    <w:rsid w:val="30DD6F16"/>
    <w:rsid w:val="30DE29C7"/>
    <w:rsid w:val="30E07403"/>
    <w:rsid w:val="30E12562"/>
    <w:rsid w:val="30E262DA"/>
    <w:rsid w:val="30E327D8"/>
    <w:rsid w:val="30E3452C"/>
    <w:rsid w:val="30E9137E"/>
    <w:rsid w:val="30E91417"/>
    <w:rsid w:val="30EC0F07"/>
    <w:rsid w:val="30F57DBC"/>
    <w:rsid w:val="30F71D86"/>
    <w:rsid w:val="30F87556"/>
    <w:rsid w:val="3102072B"/>
    <w:rsid w:val="31032463"/>
    <w:rsid w:val="310426F5"/>
    <w:rsid w:val="3106646D"/>
    <w:rsid w:val="310821E5"/>
    <w:rsid w:val="31083F93"/>
    <w:rsid w:val="31085D41"/>
    <w:rsid w:val="310B5831"/>
    <w:rsid w:val="310D15A9"/>
    <w:rsid w:val="31164473"/>
    <w:rsid w:val="31167C85"/>
    <w:rsid w:val="31181346"/>
    <w:rsid w:val="311A7304"/>
    <w:rsid w:val="311B250B"/>
    <w:rsid w:val="311E2ED7"/>
    <w:rsid w:val="31216E03"/>
    <w:rsid w:val="31244B45"/>
    <w:rsid w:val="3126266B"/>
    <w:rsid w:val="312A215B"/>
    <w:rsid w:val="312B7C81"/>
    <w:rsid w:val="313136FF"/>
    <w:rsid w:val="31336B36"/>
    <w:rsid w:val="313759B1"/>
    <w:rsid w:val="313C3C3D"/>
    <w:rsid w:val="313E4873"/>
    <w:rsid w:val="31411253"/>
    <w:rsid w:val="314A1279"/>
    <w:rsid w:val="315076E8"/>
    <w:rsid w:val="315216B2"/>
    <w:rsid w:val="31570A76"/>
    <w:rsid w:val="31572824"/>
    <w:rsid w:val="315C449C"/>
    <w:rsid w:val="315E3BB3"/>
    <w:rsid w:val="315F169D"/>
    <w:rsid w:val="31660CB9"/>
    <w:rsid w:val="31677457"/>
    <w:rsid w:val="31723B02"/>
    <w:rsid w:val="3174585C"/>
    <w:rsid w:val="317E6003"/>
    <w:rsid w:val="317F1D7B"/>
    <w:rsid w:val="317F1F89"/>
    <w:rsid w:val="31894B5B"/>
    <w:rsid w:val="318B0720"/>
    <w:rsid w:val="318B0BE0"/>
    <w:rsid w:val="318D4498"/>
    <w:rsid w:val="318D4B66"/>
    <w:rsid w:val="318D6246"/>
    <w:rsid w:val="31921AAF"/>
    <w:rsid w:val="31943A79"/>
    <w:rsid w:val="319475D5"/>
    <w:rsid w:val="3196684B"/>
    <w:rsid w:val="31980866"/>
    <w:rsid w:val="31992E3D"/>
    <w:rsid w:val="319A60FC"/>
    <w:rsid w:val="31A31F0E"/>
    <w:rsid w:val="31A5236F"/>
    <w:rsid w:val="31A677D0"/>
    <w:rsid w:val="31A82C6C"/>
    <w:rsid w:val="31AA329C"/>
    <w:rsid w:val="31AF2660"/>
    <w:rsid w:val="31AF440F"/>
    <w:rsid w:val="31B25CAD"/>
    <w:rsid w:val="31B45209"/>
    <w:rsid w:val="31B71515"/>
    <w:rsid w:val="31B82709"/>
    <w:rsid w:val="31B93075"/>
    <w:rsid w:val="31BA4706"/>
    <w:rsid w:val="31BB1005"/>
    <w:rsid w:val="31BC4D7D"/>
    <w:rsid w:val="31BE1862"/>
    <w:rsid w:val="31C12394"/>
    <w:rsid w:val="31C93EE5"/>
    <w:rsid w:val="31CB55CE"/>
    <w:rsid w:val="31CB6D6E"/>
    <w:rsid w:val="31CD70B4"/>
    <w:rsid w:val="31CF4AB1"/>
    <w:rsid w:val="31CF7994"/>
    <w:rsid w:val="31D200FD"/>
    <w:rsid w:val="31D40319"/>
    <w:rsid w:val="31D47C7D"/>
    <w:rsid w:val="31DA35B5"/>
    <w:rsid w:val="31DB3455"/>
    <w:rsid w:val="31DE6AA2"/>
    <w:rsid w:val="31E3055C"/>
    <w:rsid w:val="31E3230A"/>
    <w:rsid w:val="31E7004C"/>
    <w:rsid w:val="31E76BD8"/>
    <w:rsid w:val="31EC0C04"/>
    <w:rsid w:val="31EE33F5"/>
    <w:rsid w:val="31F14A27"/>
    <w:rsid w:val="31F2254D"/>
    <w:rsid w:val="31F97D80"/>
    <w:rsid w:val="31FB7654"/>
    <w:rsid w:val="3200110E"/>
    <w:rsid w:val="32024E86"/>
    <w:rsid w:val="32036508"/>
    <w:rsid w:val="32052353"/>
    <w:rsid w:val="32087FC3"/>
    <w:rsid w:val="320F4EAD"/>
    <w:rsid w:val="32105036"/>
    <w:rsid w:val="32132BEF"/>
    <w:rsid w:val="32193C98"/>
    <w:rsid w:val="321B5F48"/>
    <w:rsid w:val="321D0063"/>
    <w:rsid w:val="32211625"/>
    <w:rsid w:val="322C3CB1"/>
    <w:rsid w:val="322D17D7"/>
    <w:rsid w:val="322E5C7B"/>
    <w:rsid w:val="32320699"/>
    <w:rsid w:val="32342B66"/>
    <w:rsid w:val="32384404"/>
    <w:rsid w:val="323F0A79"/>
    <w:rsid w:val="32400B34"/>
    <w:rsid w:val="32405B2A"/>
    <w:rsid w:val="324234D5"/>
    <w:rsid w:val="32452FC5"/>
    <w:rsid w:val="32454D73"/>
    <w:rsid w:val="32466B96"/>
    <w:rsid w:val="324A05DB"/>
    <w:rsid w:val="324B1D1F"/>
    <w:rsid w:val="32562ADC"/>
    <w:rsid w:val="32591540"/>
    <w:rsid w:val="325B00F2"/>
    <w:rsid w:val="325B78A5"/>
    <w:rsid w:val="325D3E6B"/>
    <w:rsid w:val="325F4087"/>
    <w:rsid w:val="326162E8"/>
    <w:rsid w:val="326351F9"/>
    <w:rsid w:val="32642098"/>
    <w:rsid w:val="32650F71"/>
    <w:rsid w:val="3267118D"/>
    <w:rsid w:val="326E26B3"/>
    <w:rsid w:val="326F1DF0"/>
    <w:rsid w:val="32700042"/>
    <w:rsid w:val="32755658"/>
    <w:rsid w:val="32764F2C"/>
    <w:rsid w:val="32785148"/>
    <w:rsid w:val="327A2C6E"/>
    <w:rsid w:val="327D62BB"/>
    <w:rsid w:val="32803FFD"/>
    <w:rsid w:val="32821B23"/>
    <w:rsid w:val="3283501F"/>
    <w:rsid w:val="32891103"/>
    <w:rsid w:val="328C0BF4"/>
    <w:rsid w:val="32904240"/>
    <w:rsid w:val="32943604"/>
    <w:rsid w:val="32957AA8"/>
    <w:rsid w:val="32991471"/>
    <w:rsid w:val="329E6876"/>
    <w:rsid w:val="329F66F1"/>
    <w:rsid w:val="32A25D21"/>
    <w:rsid w:val="32A32356"/>
    <w:rsid w:val="32A41A99"/>
    <w:rsid w:val="32A95302"/>
    <w:rsid w:val="32AA2E28"/>
    <w:rsid w:val="32AB72CC"/>
    <w:rsid w:val="32AC094E"/>
    <w:rsid w:val="32AC6BA0"/>
    <w:rsid w:val="32AE0B6A"/>
    <w:rsid w:val="32AE46C6"/>
    <w:rsid w:val="32B37F2E"/>
    <w:rsid w:val="32B53CA7"/>
    <w:rsid w:val="32B82A64"/>
    <w:rsid w:val="32B83797"/>
    <w:rsid w:val="32BF490D"/>
    <w:rsid w:val="32C043F9"/>
    <w:rsid w:val="32C57C62"/>
    <w:rsid w:val="32C65EB4"/>
    <w:rsid w:val="32C739DA"/>
    <w:rsid w:val="32CC0FF0"/>
    <w:rsid w:val="32CC1EED"/>
    <w:rsid w:val="32CE61B4"/>
    <w:rsid w:val="32D3412D"/>
    <w:rsid w:val="32D560F7"/>
    <w:rsid w:val="32DA370D"/>
    <w:rsid w:val="32DE2BCF"/>
    <w:rsid w:val="32DF0D23"/>
    <w:rsid w:val="32E26A66"/>
    <w:rsid w:val="32E4633A"/>
    <w:rsid w:val="32EC51EE"/>
    <w:rsid w:val="32F03BA4"/>
    <w:rsid w:val="32F32A21"/>
    <w:rsid w:val="32F81DE5"/>
    <w:rsid w:val="32FB3683"/>
    <w:rsid w:val="32FD73FC"/>
    <w:rsid w:val="3301513E"/>
    <w:rsid w:val="33016EEC"/>
    <w:rsid w:val="33072028"/>
    <w:rsid w:val="330B7D6A"/>
    <w:rsid w:val="330C763F"/>
    <w:rsid w:val="330D3AE3"/>
    <w:rsid w:val="33122EA7"/>
    <w:rsid w:val="33134E71"/>
    <w:rsid w:val="331704BD"/>
    <w:rsid w:val="33184235"/>
    <w:rsid w:val="332215E4"/>
    <w:rsid w:val="33226375"/>
    <w:rsid w:val="3328091C"/>
    <w:rsid w:val="332D1A72"/>
    <w:rsid w:val="332D7CE1"/>
    <w:rsid w:val="332E4F6B"/>
    <w:rsid w:val="333029D5"/>
    <w:rsid w:val="33305A23"/>
    <w:rsid w:val="3333106F"/>
    <w:rsid w:val="33332E1D"/>
    <w:rsid w:val="33386686"/>
    <w:rsid w:val="333E57F9"/>
    <w:rsid w:val="3355548A"/>
    <w:rsid w:val="3358616F"/>
    <w:rsid w:val="3369683F"/>
    <w:rsid w:val="336F151A"/>
    <w:rsid w:val="33727F33"/>
    <w:rsid w:val="337A6C9E"/>
    <w:rsid w:val="3381627F"/>
    <w:rsid w:val="33857B1D"/>
    <w:rsid w:val="3386325D"/>
    <w:rsid w:val="33863895"/>
    <w:rsid w:val="33866BEF"/>
    <w:rsid w:val="338813BB"/>
    <w:rsid w:val="33882539"/>
    <w:rsid w:val="338D4C23"/>
    <w:rsid w:val="339128A9"/>
    <w:rsid w:val="33953AD8"/>
    <w:rsid w:val="339B7340"/>
    <w:rsid w:val="339E298D"/>
    <w:rsid w:val="339F1D94"/>
    <w:rsid w:val="33A45AC9"/>
    <w:rsid w:val="33A7639F"/>
    <w:rsid w:val="33AD2BD0"/>
    <w:rsid w:val="33B201E6"/>
    <w:rsid w:val="33B26438"/>
    <w:rsid w:val="33B65F28"/>
    <w:rsid w:val="33B7710D"/>
    <w:rsid w:val="33C30645"/>
    <w:rsid w:val="33C63297"/>
    <w:rsid w:val="33CB12A8"/>
    <w:rsid w:val="33CD6DCE"/>
    <w:rsid w:val="33D60378"/>
    <w:rsid w:val="33D62126"/>
    <w:rsid w:val="33D934D4"/>
    <w:rsid w:val="33DC5263"/>
    <w:rsid w:val="33DF6B01"/>
    <w:rsid w:val="33E00D4C"/>
    <w:rsid w:val="33E32A95"/>
    <w:rsid w:val="33E81E5A"/>
    <w:rsid w:val="33EA5BD2"/>
    <w:rsid w:val="33EB2AF5"/>
    <w:rsid w:val="33EB36F8"/>
    <w:rsid w:val="33F24A86"/>
    <w:rsid w:val="33F7209D"/>
    <w:rsid w:val="33F829BD"/>
    <w:rsid w:val="33F86541"/>
    <w:rsid w:val="33FB1B8D"/>
    <w:rsid w:val="33FE2F6A"/>
    <w:rsid w:val="33FF738F"/>
    <w:rsid w:val="340053F5"/>
    <w:rsid w:val="3402116D"/>
    <w:rsid w:val="34063FAB"/>
    <w:rsid w:val="340A0022"/>
    <w:rsid w:val="340B78F6"/>
    <w:rsid w:val="340F5638"/>
    <w:rsid w:val="34190265"/>
    <w:rsid w:val="341C1B03"/>
    <w:rsid w:val="341E3ACD"/>
    <w:rsid w:val="3421711A"/>
    <w:rsid w:val="342509B8"/>
    <w:rsid w:val="342563FC"/>
    <w:rsid w:val="34270BD4"/>
    <w:rsid w:val="34287731"/>
    <w:rsid w:val="34313C5A"/>
    <w:rsid w:val="343155AF"/>
    <w:rsid w:val="3434509F"/>
    <w:rsid w:val="34362BC5"/>
    <w:rsid w:val="343706EB"/>
    <w:rsid w:val="34394463"/>
    <w:rsid w:val="343B2D13"/>
    <w:rsid w:val="343E47B7"/>
    <w:rsid w:val="344D6161"/>
    <w:rsid w:val="3451678A"/>
    <w:rsid w:val="34563267"/>
    <w:rsid w:val="34574764"/>
    <w:rsid w:val="3457548F"/>
    <w:rsid w:val="345B087E"/>
    <w:rsid w:val="34627928"/>
    <w:rsid w:val="34675474"/>
    <w:rsid w:val="34684D49"/>
    <w:rsid w:val="346911EC"/>
    <w:rsid w:val="346E6803"/>
    <w:rsid w:val="346F4329"/>
    <w:rsid w:val="34702AD1"/>
    <w:rsid w:val="347150DC"/>
    <w:rsid w:val="34737FC2"/>
    <w:rsid w:val="347C1C67"/>
    <w:rsid w:val="347D6A46"/>
    <w:rsid w:val="347E7F4E"/>
    <w:rsid w:val="34807019"/>
    <w:rsid w:val="34822BDA"/>
    <w:rsid w:val="34825E0A"/>
    <w:rsid w:val="34853B4C"/>
    <w:rsid w:val="3489363D"/>
    <w:rsid w:val="348B76D9"/>
    <w:rsid w:val="348E1040"/>
    <w:rsid w:val="348F6779"/>
    <w:rsid w:val="34931DC5"/>
    <w:rsid w:val="34943D90"/>
    <w:rsid w:val="34977E0F"/>
    <w:rsid w:val="34983880"/>
    <w:rsid w:val="349A13A6"/>
    <w:rsid w:val="349B2A17"/>
    <w:rsid w:val="349D49F2"/>
    <w:rsid w:val="34A044E2"/>
    <w:rsid w:val="34A71D15"/>
    <w:rsid w:val="34AA710F"/>
    <w:rsid w:val="34AC10D9"/>
    <w:rsid w:val="34AE07E1"/>
    <w:rsid w:val="34AE6BFF"/>
    <w:rsid w:val="34AF2977"/>
    <w:rsid w:val="34B41D3C"/>
    <w:rsid w:val="34B42CD7"/>
    <w:rsid w:val="34B47F8E"/>
    <w:rsid w:val="34B561E0"/>
    <w:rsid w:val="34B87A7E"/>
    <w:rsid w:val="34BB30CA"/>
    <w:rsid w:val="34C401D1"/>
    <w:rsid w:val="34C72E2C"/>
    <w:rsid w:val="34CD478F"/>
    <w:rsid w:val="34CE7CA8"/>
    <w:rsid w:val="34D10B40"/>
    <w:rsid w:val="34D643A8"/>
    <w:rsid w:val="34DF14AF"/>
    <w:rsid w:val="34E32DF3"/>
    <w:rsid w:val="34EE524E"/>
    <w:rsid w:val="34F5482E"/>
    <w:rsid w:val="34FB5395"/>
    <w:rsid w:val="350360CB"/>
    <w:rsid w:val="350607E9"/>
    <w:rsid w:val="350B5E00"/>
    <w:rsid w:val="350C3926"/>
    <w:rsid w:val="350E3B42"/>
    <w:rsid w:val="35123632"/>
    <w:rsid w:val="35131158"/>
    <w:rsid w:val="351331F9"/>
    <w:rsid w:val="35145978"/>
    <w:rsid w:val="35150A2C"/>
    <w:rsid w:val="35161C05"/>
    <w:rsid w:val="3518051D"/>
    <w:rsid w:val="351B4977"/>
    <w:rsid w:val="351D286D"/>
    <w:rsid w:val="351D5B33"/>
    <w:rsid w:val="35225DD1"/>
    <w:rsid w:val="35243365"/>
    <w:rsid w:val="352B31F5"/>
    <w:rsid w:val="352E7D40"/>
    <w:rsid w:val="35344874"/>
    <w:rsid w:val="35357321"/>
    <w:rsid w:val="353A0493"/>
    <w:rsid w:val="353A66E5"/>
    <w:rsid w:val="353C420B"/>
    <w:rsid w:val="353F1F4D"/>
    <w:rsid w:val="35415CC5"/>
    <w:rsid w:val="35417A73"/>
    <w:rsid w:val="354237EC"/>
    <w:rsid w:val="35443D18"/>
    <w:rsid w:val="3546508A"/>
    <w:rsid w:val="354B6B44"/>
    <w:rsid w:val="35523A2F"/>
    <w:rsid w:val="35527ED3"/>
    <w:rsid w:val="355A28E3"/>
    <w:rsid w:val="355C2A85"/>
    <w:rsid w:val="3560331F"/>
    <w:rsid w:val="35611EC4"/>
    <w:rsid w:val="356279EA"/>
    <w:rsid w:val="35631901"/>
    <w:rsid w:val="356419B4"/>
    <w:rsid w:val="35646BA9"/>
    <w:rsid w:val="356B689E"/>
    <w:rsid w:val="356F59EC"/>
    <w:rsid w:val="35714C03"/>
    <w:rsid w:val="357716E7"/>
    <w:rsid w:val="35777939"/>
    <w:rsid w:val="35794F7E"/>
    <w:rsid w:val="357A2F85"/>
    <w:rsid w:val="357A3B1C"/>
    <w:rsid w:val="357A4D33"/>
    <w:rsid w:val="357C0AAC"/>
    <w:rsid w:val="357F234A"/>
    <w:rsid w:val="358768A1"/>
    <w:rsid w:val="358856A2"/>
    <w:rsid w:val="358931C8"/>
    <w:rsid w:val="359009FB"/>
    <w:rsid w:val="35944047"/>
    <w:rsid w:val="35977693"/>
    <w:rsid w:val="3598340C"/>
    <w:rsid w:val="359A53D6"/>
    <w:rsid w:val="359A63C0"/>
    <w:rsid w:val="359D4169"/>
    <w:rsid w:val="359E6C74"/>
    <w:rsid w:val="359F0C3E"/>
    <w:rsid w:val="359F64F2"/>
    <w:rsid w:val="35A10512"/>
    <w:rsid w:val="35A239BC"/>
    <w:rsid w:val="35A324DC"/>
    <w:rsid w:val="35A46254"/>
    <w:rsid w:val="35A5691A"/>
    <w:rsid w:val="35A6206D"/>
    <w:rsid w:val="35A746CB"/>
    <w:rsid w:val="35AD5109"/>
    <w:rsid w:val="35AD6EB7"/>
    <w:rsid w:val="35BA15D4"/>
    <w:rsid w:val="35BC17F0"/>
    <w:rsid w:val="35BE2E72"/>
    <w:rsid w:val="35C0308E"/>
    <w:rsid w:val="35C04B91"/>
    <w:rsid w:val="35C30488"/>
    <w:rsid w:val="35C80195"/>
    <w:rsid w:val="35CB558F"/>
    <w:rsid w:val="35CD1307"/>
    <w:rsid w:val="35CF1523"/>
    <w:rsid w:val="35CF6816"/>
    <w:rsid w:val="35D2691D"/>
    <w:rsid w:val="35D42696"/>
    <w:rsid w:val="35D501BC"/>
    <w:rsid w:val="35DA3A24"/>
    <w:rsid w:val="35DC154A"/>
    <w:rsid w:val="35E13004"/>
    <w:rsid w:val="35E46651"/>
    <w:rsid w:val="35E6686D"/>
    <w:rsid w:val="35EA56E1"/>
    <w:rsid w:val="35EA7D42"/>
    <w:rsid w:val="35EB5CD8"/>
    <w:rsid w:val="35EF127D"/>
    <w:rsid w:val="35F24F62"/>
    <w:rsid w:val="35FF348B"/>
    <w:rsid w:val="360077E2"/>
    <w:rsid w:val="3600792F"/>
    <w:rsid w:val="36015455"/>
    <w:rsid w:val="36034D29"/>
    <w:rsid w:val="36054F45"/>
    <w:rsid w:val="36074A7F"/>
    <w:rsid w:val="360773FD"/>
    <w:rsid w:val="36080591"/>
    <w:rsid w:val="3608381A"/>
    <w:rsid w:val="360A255B"/>
    <w:rsid w:val="360A60B7"/>
    <w:rsid w:val="360B0081"/>
    <w:rsid w:val="360D3DFA"/>
    <w:rsid w:val="361231BE"/>
    <w:rsid w:val="36162CAE"/>
    <w:rsid w:val="361909F0"/>
    <w:rsid w:val="361E75B5"/>
    <w:rsid w:val="361F444A"/>
    <w:rsid w:val="362353CB"/>
    <w:rsid w:val="36251143"/>
    <w:rsid w:val="3628478F"/>
    <w:rsid w:val="362C0724"/>
    <w:rsid w:val="362C2EF1"/>
    <w:rsid w:val="362F1FC2"/>
    <w:rsid w:val="3632560E"/>
    <w:rsid w:val="36372C24"/>
    <w:rsid w:val="363B44C3"/>
    <w:rsid w:val="363C023B"/>
    <w:rsid w:val="363C41B2"/>
    <w:rsid w:val="364202C1"/>
    <w:rsid w:val="3643115A"/>
    <w:rsid w:val="36432478"/>
    <w:rsid w:val="36462E68"/>
    <w:rsid w:val="364A2958"/>
    <w:rsid w:val="364C2B74"/>
    <w:rsid w:val="36530255"/>
    <w:rsid w:val="365437D6"/>
    <w:rsid w:val="36545584"/>
    <w:rsid w:val="36557C1C"/>
    <w:rsid w:val="365612FD"/>
    <w:rsid w:val="365732C7"/>
    <w:rsid w:val="36581519"/>
    <w:rsid w:val="36653C36"/>
    <w:rsid w:val="36681030"/>
    <w:rsid w:val="366A4DA8"/>
    <w:rsid w:val="366D5927"/>
    <w:rsid w:val="366F76E7"/>
    <w:rsid w:val="367141CE"/>
    <w:rsid w:val="36745C27"/>
    <w:rsid w:val="3679148F"/>
    <w:rsid w:val="367B6FB5"/>
    <w:rsid w:val="367F61DE"/>
    <w:rsid w:val="36820344"/>
    <w:rsid w:val="368340BC"/>
    <w:rsid w:val="36871691"/>
    <w:rsid w:val="3687277C"/>
    <w:rsid w:val="36891FCF"/>
    <w:rsid w:val="36897924"/>
    <w:rsid w:val="368C4D1E"/>
    <w:rsid w:val="369129F7"/>
    <w:rsid w:val="36923549"/>
    <w:rsid w:val="36966D52"/>
    <w:rsid w:val="369736C3"/>
    <w:rsid w:val="36A04C6E"/>
    <w:rsid w:val="36A21135"/>
    <w:rsid w:val="36B240C8"/>
    <w:rsid w:val="36B31729"/>
    <w:rsid w:val="36B424C7"/>
    <w:rsid w:val="36B60F67"/>
    <w:rsid w:val="36B727F9"/>
    <w:rsid w:val="36B75FBF"/>
    <w:rsid w:val="36BD312A"/>
    <w:rsid w:val="36C827C2"/>
    <w:rsid w:val="36C97D20"/>
    <w:rsid w:val="36CD6D52"/>
    <w:rsid w:val="36D466C5"/>
    <w:rsid w:val="36D7585B"/>
    <w:rsid w:val="36D8764F"/>
    <w:rsid w:val="36DF5796"/>
    <w:rsid w:val="36E0150E"/>
    <w:rsid w:val="36E7464B"/>
    <w:rsid w:val="36E903C3"/>
    <w:rsid w:val="36E94D26"/>
    <w:rsid w:val="36EA57B9"/>
    <w:rsid w:val="36EE7787"/>
    <w:rsid w:val="36F80606"/>
    <w:rsid w:val="36F8396F"/>
    <w:rsid w:val="36F9612C"/>
    <w:rsid w:val="36FA437E"/>
    <w:rsid w:val="36FB4891"/>
    <w:rsid w:val="370625F1"/>
    <w:rsid w:val="370C40B1"/>
    <w:rsid w:val="37103BA1"/>
    <w:rsid w:val="371069DA"/>
    <w:rsid w:val="37107F95"/>
    <w:rsid w:val="37113475"/>
    <w:rsid w:val="37152F66"/>
    <w:rsid w:val="371A057C"/>
    <w:rsid w:val="371B42F4"/>
    <w:rsid w:val="371D006C"/>
    <w:rsid w:val="371D1E1A"/>
    <w:rsid w:val="371F3DE4"/>
    <w:rsid w:val="37215DAE"/>
    <w:rsid w:val="37217B5C"/>
    <w:rsid w:val="37257503"/>
    <w:rsid w:val="372C4753"/>
    <w:rsid w:val="372E04CB"/>
    <w:rsid w:val="372E4C5F"/>
    <w:rsid w:val="37305FF2"/>
    <w:rsid w:val="3735592F"/>
    <w:rsid w:val="373E0984"/>
    <w:rsid w:val="373F4487"/>
    <w:rsid w:val="37425D25"/>
    <w:rsid w:val="374455F9"/>
    <w:rsid w:val="37461371"/>
    <w:rsid w:val="37465815"/>
    <w:rsid w:val="37465A08"/>
    <w:rsid w:val="3748158D"/>
    <w:rsid w:val="37490E61"/>
    <w:rsid w:val="374A567A"/>
    <w:rsid w:val="374B2E2B"/>
    <w:rsid w:val="374B6987"/>
    <w:rsid w:val="37500442"/>
    <w:rsid w:val="37503F9E"/>
    <w:rsid w:val="375241BA"/>
    <w:rsid w:val="375A4E1C"/>
    <w:rsid w:val="375C3AD3"/>
    <w:rsid w:val="375F0685"/>
    <w:rsid w:val="37643EED"/>
    <w:rsid w:val="37667C65"/>
    <w:rsid w:val="376E73A5"/>
    <w:rsid w:val="37725830"/>
    <w:rsid w:val="37744822"/>
    <w:rsid w:val="37772B57"/>
    <w:rsid w:val="37773C20"/>
    <w:rsid w:val="377C4D93"/>
    <w:rsid w:val="377D6D5D"/>
    <w:rsid w:val="378123A9"/>
    <w:rsid w:val="378219F7"/>
    <w:rsid w:val="37826121"/>
    <w:rsid w:val="378325C5"/>
    <w:rsid w:val="378835C5"/>
    <w:rsid w:val="378C0D4E"/>
    <w:rsid w:val="379775C4"/>
    <w:rsid w:val="37977BBC"/>
    <w:rsid w:val="37983B97"/>
    <w:rsid w:val="379929F5"/>
    <w:rsid w:val="379B23DD"/>
    <w:rsid w:val="379E11AD"/>
    <w:rsid w:val="379E73FF"/>
    <w:rsid w:val="37AB5678"/>
    <w:rsid w:val="37B10249"/>
    <w:rsid w:val="37B7226F"/>
    <w:rsid w:val="37B90489"/>
    <w:rsid w:val="37B95FE7"/>
    <w:rsid w:val="37BC5AD7"/>
    <w:rsid w:val="37C30C14"/>
    <w:rsid w:val="37C52C3A"/>
    <w:rsid w:val="37C64260"/>
    <w:rsid w:val="37C8622A"/>
    <w:rsid w:val="37C93D50"/>
    <w:rsid w:val="37CD5B9C"/>
    <w:rsid w:val="37CE5D48"/>
    <w:rsid w:val="37CE75B8"/>
    <w:rsid w:val="37D3697D"/>
    <w:rsid w:val="37D526F5"/>
    <w:rsid w:val="37DC3A83"/>
    <w:rsid w:val="37DC7F27"/>
    <w:rsid w:val="37DF5322"/>
    <w:rsid w:val="37E128C2"/>
    <w:rsid w:val="37E34E12"/>
    <w:rsid w:val="37E8177D"/>
    <w:rsid w:val="37EB1F18"/>
    <w:rsid w:val="37ED7A3F"/>
    <w:rsid w:val="37F012DD"/>
    <w:rsid w:val="37F76B0F"/>
    <w:rsid w:val="37FE3BFC"/>
    <w:rsid w:val="37FE7E9E"/>
    <w:rsid w:val="37FF59C4"/>
    <w:rsid w:val="38066D52"/>
    <w:rsid w:val="38086A4E"/>
    <w:rsid w:val="380878FA"/>
    <w:rsid w:val="38090F1A"/>
    <w:rsid w:val="38163439"/>
    <w:rsid w:val="38170F5F"/>
    <w:rsid w:val="38172D0E"/>
    <w:rsid w:val="38196A86"/>
    <w:rsid w:val="381C20D2"/>
    <w:rsid w:val="3821593A"/>
    <w:rsid w:val="382316B2"/>
    <w:rsid w:val="3825542A"/>
    <w:rsid w:val="382673F4"/>
    <w:rsid w:val="382B67B9"/>
    <w:rsid w:val="382D42DF"/>
    <w:rsid w:val="38303DA7"/>
    <w:rsid w:val="3831064E"/>
    <w:rsid w:val="38325D99"/>
    <w:rsid w:val="38353194"/>
    <w:rsid w:val="3835486A"/>
    <w:rsid w:val="38376F0C"/>
    <w:rsid w:val="383A044D"/>
    <w:rsid w:val="383E029A"/>
    <w:rsid w:val="384229DF"/>
    <w:rsid w:val="38467783"/>
    <w:rsid w:val="384A30E3"/>
    <w:rsid w:val="384E4FBD"/>
    <w:rsid w:val="384F204E"/>
    <w:rsid w:val="384F24A7"/>
    <w:rsid w:val="38547ABE"/>
    <w:rsid w:val="385555E4"/>
    <w:rsid w:val="386046B4"/>
    <w:rsid w:val="38606463"/>
    <w:rsid w:val="38635F53"/>
    <w:rsid w:val="38657F1D"/>
    <w:rsid w:val="386D5023"/>
    <w:rsid w:val="386D6DD1"/>
    <w:rsid w:val="386E59BE"/>
    <w:rsid w:val="386E654A"/>
    <w:rsid w:val="387463B2"/>
    <w:rsid w:val="3875408A"/>
    <w:rsid w:val="387D044B"/>
    <w:rsid w:val="387D5266"/>
    <w:rsid w:val="38912AC0"/>
    <w:rsid w:val="38926838"/>
    <w:rsid w:val="389425B0"/>
    <w:rsid w:val="38972D3F"/>
    <w:rsid w:val="389B56ED"/>
    <w:rsid w:val="389E342F"/>
    <w:rsid w:val="389F78EA"/>
    <w:rsid w:val="38A04A09"/>
    <w:rsid w:val="38A547BD"/>
    <w:rsid w:val="38A65E3F"/>
    <w:rsid w:val="38A75F00"/>
    <w:rsid w:val="38AA5930"/>
    <w:rsid w:val="38AC5B4C"/>
    <w:rsid w:val="38B7004D"/>
    <w:rsid w:val="38B86F38"/>
    <w:rsid w:val="38B90459"/>
    <w:rsid w:val="38BA2623"/>
    <w:rsid w:val="38BB18EB"/>
    <w:rsid w:val="38BD1B07"/>
    <w:rsid w:val="38BD38B5"/>
    <w:rsid w:val="38BF587F"/>
    <w:rsid w:val="38C35493"/>
    <w:rsid w:val="38C42E95"/>
    <w:rsid w:val="38C70290"/>
    <w:rsid w:val="38CC3AF8"/>
    <w:rsid w:val="38D0417E"/>
    <w:rsid w:val="38D1110E"/>
    <w:rsid w:val="38E075A3"/>
    <w:rsid w:val="38E452E6"/>
    <w:rsid w:val="38E928FC"/>
    <w:rsid w:val="38E946AA"/>
    <w:rsid w:val="38EA21D0"/>
    <w:rsid w:val="38EE040E"/>
    <w:rsid w:val="38EF3C8A"/>
    <w:rsid w:val="38F12CD3"/>
    <w:rsid w:val="38F1355F"/>
    <w:rsid w:val="38F80D91"/>
    <w:rsid w:val="38F82B3F"/>
    <w:rsid w:val="38F94775"/>
    <w:rsid w:val="38FE5C7B"/>
    <w:rsid w:val="390037A2"/>
    <w:rsid w:val="390246F3"/>
    <w:rsid w:val="390414E4"/>
    <w:rsid w:val="39070FD4"/>
    <w:rsid w:val="39074B30"/>
    <w:rsid w:val="391060DB"/>
    <w:rsid w:val="391361DB"/>
    <w:rsid w:val="39162FC5"/>
    <w:rsid w:val="3919532C"/>
    <w:rsid w:val="391B05DB"/>
    <w:rsid w:val="391B06AE"/>
    <w:rsid w:val="391D4354"/>
    <w:rsid w:val="39246EA0"/>
    <w:rsid w:val="39276F80"/>
    <w:rsid w:val="39290F4A"/>
    <w:rsid w:val="392971ED"/>
    <w:rsid w:val="39317DFF"/>
    <w:rsid w:val="393225AB"/>
    <w:rsid w:val="393C7FB8"/>
    <w:rsid w:val="393D2C48"/>
    <w:rsid w:val="39461AFC"/>
    <w:rsid w:val="39471E2C"/>
    <w:rsid w:val="394D1614"/>
    <w:rsid w:val="39504729"/>
    <w:rsid w:val="39513FFD"/>
    <w:rsid w:val="3953226C"/>
    <w:rsid w:val="3953286E"/>
    <w:rsid w:val="39535FC7"/>
    <w:rsid w:val="39551D3F"/>
    <w:rsid w:val="39561614"/>
    <w:rsid w:val="39581830"/>
    <w:rsid w:val="395A55A8"/>
    <w:rsid w:val="396226AE"/>
    <w:rsid w:val="3962620A"/>
    <w:rsid w:val="396C52DB"/>
    <w:rsid w:val="396C7089"/>
    <w:rsid w:val="39706B79"/>
    <w:rsid w:val="397321C6"/>
    <w:rsid w:val="39736669"/>
    <w:rsid w:val="397B72CC"/>
    <w:rsid w:val="397D3044"/>
    <w:rsid w:val="398054B8"/>
    <w:rsid w:val="39810D86"/>
    <w:rsid w:val="3983274D"/>
    <w:rsid w:val="39875C71"/>
    <w:rsid w:val="398B750F"/>
    <w:rsid w:val="398C590D"/>
    <w:rsid w:val="39902D77"/>
    <w:rsid w:val="3998098A"/>
    <w:rsid w:val="399860D0"/>
    <w:rsid w:val="399F120C"/>
    <w:rsid w:val="39A14F85"/>
    <w:rsid w:val="39A35178"/>
    <w:rsid w:val="39A6259B"/>
    <w:rsid w:val="39A86313"/>
    <w:rsid w:val="39AE76A2"/>
    <w:rsid w:val="39BC70BE"/>
    <w:rsid w:val="39BD18DE"/>
    <w:rsid w:val="39CB3DB0"/>
    <w:rsid w:val="39CE3969"/>
    <w:rsid w:val="39CE564E"/>
    <w:rsid w:val="39CE6632"/>
    <w:rsid w:val="39D52E80"/>
    <w:rsid w:val="39D54C2E"/>
    <w:rsid w:val="39DF6898"/>
    <w:rsid w:val="39DF785B"/>
    <w:rsid w:val="39E6508D"/>
    <w:rsid w:val="39E758BD"/>
    <w:rsid w:val="39E97DA8"/>
    <w:rsid w:val="39ED01CA"/>
    <w:rsid w:val="39ED1F78"/>
    <w:rsid w:val="39EE5CF0"/>
    <w:rsid w:val="39F2758E"/>
    <w:rsid w:val="39F33306"/>
    <w:rsid w:val="39F350B4"/>
    <w:rsid w:val="39F552D0"/>
    <w:rsid w:val="39F94DC1"/>
    <w:rsid w:val="39F97CAF"/>
    <w:rsid w:val="39FA4695"/>
    <w:rsid w:val="39FC26D0"/>
    <w:rsid w:val="39FE23D7"/>
    <w:rsid w:val="3A064320"/>
    <w:rsid w:val="3A064DE8"/>
    <w:rsid w:val="3A0B0650"/>
    <w:rsid w:val="3A103EB8"/>
    <w:rsid w:val="3A125E82"/>
    <w:rsid w:val="3A127C30"/>
    <w:rsid w:val="3A192D6D"/>
    <w:rsid w:val="3A1A2713"/>
    <w:rsid w:val="3A1A4D37"/>
    <w:rsid w:val="3A1B12AC"/>
    <w:rsid w:val="3A1B478A"/>
    <w:rsid w:val="3A1E073A"/>
    <w:rsid w:val="3A220F95"/>
    <w:rsid w:val="3A281202"/>
    <w:rsid w:val="3A29194C"/>
    <w:rsid w:val="3A296D28"/>
    <w:rsid w:val="3A2B2AA0"/>
    <w:rsid w:val="3A2B3AE8"/>
    <w:rsid w:val="3A2D6818"/>
    <w:rsid w:val="3A2E4B81"/>
    <w:rsid w:val="3A2E7EAC"/>
    <w:rsid w:val="3A306308"/>
    <w:rsid w:val="3A397156"/>
    <w:rsid w:val="3A3A2CE3"/>
    <w:rsid w:val="3A3C6A5B"/>
    <w:rsid w:val="3A410516"/>
    <w:rsid w:val="3A414072"/>
    <w:rsid w:val="3A465B2C"/>
    <w:rsid w:val="3A4B3142"/>
    <w:rsid w:val="3A53360C"/>
    <w:rsid w:val="3A5448AB"/>
    <w:rsid w:val="3A575643"/>
    <w:rsid w:val="3A59585F"/>
    <w:rsid w:val="3A59760D"/>
    <w:rsid w:val="3A5B3385"/>
    <w:rsid w:val="3A6366DE"/>
    <w:rsid w:val="3A663AD8"/>
    <w:rsid w:val="3A685AA2"/>
    <w:rsid w:val="3A704957"/>
    <w:rsid w:val="3A751279"/>
    <w:rsid w:val="3A8723CC"/>
    <w:rsid w:val="3A886068"/>
    <w:rsid w:val="3A887EF3"/>
    <w:rsid w:val="3A8B353F"/>
    <w:rsid w:val="3A8D5509"/>
    <w:rsid w:val="3A8D6676"/>
    <w:rsid w:val="3A8E336A"/>
    <w:rsid w:val="3A916DA7"/>
    <w:rsid w:val="3A921CEB"/>
    <w:rsid w:val="3A971EE4"/>
    <w:rsid w:val="3A995C5C"/>
    <w:rsid w:val="3AA26176"/>
    <w:rsid w:val="3AA60379"/>
    <w:rsid w:val="3AAF3DE4"/>
    <w:rsid w:val="3AB900AC"/>
    <w:rsid w:val="3AB962FE"/>
    <w:rsid w:val="3ABC194A"/>
    <w:rsid w:val="3ABD5DEE"/>
    <w:rsid w:val="3AC52EF5"/>
    <w:rsid w:val="3AC56A51"/>
    <w:rsid w:val="3ACF167E"/>
    <w:rsid w:val="3AD62A0C"/>
    <w:rsid w:val="3AD66EB0"/>
    <w:rsid w:val="3AD849D6"/>
    <w:rsid w:val="3ADA2030"/>
    <w:rsid w:val="3ADB14EF"/>
    <w:rsid w:val="3AE113B1"/>
    <w:rsid w:val="3AE25855"/>
    <w:rsid w:val="3AE35129"/>
    <w:rsid w:val="3AE852B6"/>
    <w:rsid w:val="3AEB79FE"/>
    <w:rsid w:val="3AF94C61"/>
    <w:rsid w:val="3AFD4730"/>
    <w:rsid w:val="3AFD5E03"/>
    <w:rsid w:val="3AFD61EB"/>
    <w:rsid w:val="3B024BDF"/>
    <w:rsid w:val="3B082DE1"/>
    <w:rsid w:val="3B084B8F"/>
    <w:rsid w:val="3B0F5FF0"/>
    <w:rsid w:val="3B111C96"/>
    <w:rsid w:val="3B132EBB"/>
    <w:rsid w:val="3B181276"/>
    <w:rsid w:val="3B1B48C3"/>
    <w:rsid w:val="3B2A0FAA"/>
    <w:rsid w:val="3B345984"/>
    <w:rsid w:val="3B36794F"/>
    <w:rsid w:val="3B3763D1"/>
    <w:rsid w:val="3B4402BD"/>
    <w:rsid w:val="3B4406AD"/>
    <w:rsid w:val="3B514788"/>
    <w:rsid w:val="3B5424B5"/>
    <w:rsid w:val="3B5C3046"/>
    <w:rsid w:val="3B5E2C18"/>
    <w:rsid w:val="3B5F50F7"/>
    <w:rsid w:val="3B625851"/>
    <w:rsid w:val="3B6444BC"/>
    <w:rsid w:val="3B645349"/>
    <w:rsid w:val="3B677B08"/>
    <w:rsid w:val="3B6B3A9C"/>
    <w:rsid w:val="3B6C15C2"/>
    <w:rsid w:val="3B6E0E96"/>
    <w:rsid w:val="3B6F4C0F"/>
    <w:rsid w:val="3B712735"/>
    <w:rsid w:val="3B7346FF"/>
    <w:rsid w:val="3B783AC3"/>
    <w:rsid w:val="3B7A5A8D"/>
    <w:rsid w:val="3B806E1C"/>
    <w:rsid w:val="3B81506E"/>
    <w:rsid w:val="3B862944"/>
    <w:rsid w:val="3B8738E2"/>
    <w:rsid w:val="3B8B7C9A"/>
    <w:rsid w:val="3B8E32E7"/>
    <w:rsid w:val="3B903503"/>
    <w:rsid w:val="3B905FB8"/>
    <w:rsid w:val="3B974891"/>
    <w:rsid w:val="3B9A7EDD"/>
    <w:rsid w:val="3B9D3163"/>
    <w:rsid w:val="3B9F54F4"/>
    <w:rsid w:val="3B9F72A2"/>
    <w:rsid w:val="3BA47D82"/>
    <w:rsid w:val="3BA64AD4"/>
    <w:rsid w:val="3BAB3E99"/>
    <w:rsid w:val="3BAB7ADE"/>
    <w:rsid w:val="3BAC4273"/>
    <w:rsid w:val="3BAE24DA"/>
    <w:rsid w:val="3BAE4630"/>
    <w:rsid w:val="3BB164CD"/>
    <w:rsid w:val="3BBD597A"/>
    <w:rsid w:val="3BBE0D10"/>
    <w:rsid w:val="3BBF16F2"/>
    <w:rsid w:val="3BBF7944"/>
    <w:rsid w:val="3BC1190E"/>
    <w:rsid w:val="3BC136BC"/>
    <w:rsid w:val="3BC60CD2"/>
    <w:rsid w:val="3BCE7B87"/>
    <w:rsid w:val="3BD72366"/>
    <w:rsid w:val="3BD776DA"/>
    <w:rsid w:val="3BD80A06"/>
    <w:rsid w:val="3BDA29D0"/>
    <w:rsid w:val="3BDC22A4"/>
    <w:rsid w:val="3BDD6036"/>
    <w:rsid w:val="3BDF1D94"/>
    <w:rsid w:val="3BE03287"/>
    <w:rsid w:val="3BE9676F"/>
    <w:rsid w:val="3BEF55D0"/>
    <w:rsid w:val="3BF36DBD"/>
    <w:rsid w:val="3BF5780A"/>
    <w:rsid w:val="3BF70E8C"/>
    <w:rsid w:val="3BF84C04"/>
    <w:rsid w:val="3BFD046C"/>
    <w:rsid w:val="3C070B8D"/>
    <w:rsid w:val="3C0E2679"/>
    <w:rsid w:val="3C1001A0"/>
    <w:rsid w:val="3C1063F2"/>
    <w:rsid w:val="3C166A9C"/>
    <w:rsid w:val="3C176C51"/>
    <w:rsid w:val="3C1C4D96"/>
    <w:rsid w:val="3C243C4B"/>
    <w:rsid w:val="3C261771"/>
    <w:rsid w:val="3C2854E9"/>
    <w:rsid w:val="3C2B4FD9"/>
    <w:rsid w:val="3C2D2B00"/>
    <w:rsid w:val="3C3072F9"/>
    <w:rsid w:val="3C33736D"/>
    <w:rsid w:val="3C3A4B39"/>
    <w:rsid w:val="3C4165AB"/>
    <w:rsid w:val="3C430575"/>
    <w:rsid w:val="3C492DBB"/>
    <w:rsid w:val="3C4D0211"/>
    <w:rsid w:val="3C4D13F4"/>
    <w:rsid w:val="3C4F06AE"/>
    <w:rsid w:val="3C504A40"/>
    <w:rsid w:val="3C54160F"/>
    <w:rsid w:val="3C553E04"/>
    <w:rsid w:val="3C681D8A"/>
    <w:rsid w:val="3C6B3628"/>
    <w:rsid w:val="3C700C3E"/>
    <w:rsid w:val="3C7050E2"/>
    <w:rsid w:val="3C7B7D0F"/>
    <w:rsid w:val="3C7C3A87"/>
    <w:rsid w:val="3C7E15AD"/>
    <w:rsid w:val="3C7E4C3C"/>
    <w:rsid w:val="3C7F0E81"/>
    <w:rsid w:val="3C7F11EE"/>
    <w:rsid w:val="3C805325"/>
    <w:rsid w:val="3C940DD1"/>
    <w:rsid w:val="3C942B7F"/>
    <w:rsid w:val="3C990195"/>
    <w:rsid w:val="3C9C3DF5"/>
    <w:rsid w:val="3CA01523"/>
    <w:rsid w:val="3CA164D5"/>
    <w:rsid w:val="3CA1704A"/>
    <w:rsid w:val="3CA31F01"/>
    <w:rsid w:val="3CA37266"/>
    <w:rsid w:val="3CA863A8"/>
    <w:rsid w:val="3CAE4BAE"/>
    <w:rsid w:val="3CB7061B"/>
    <w:rsid w:val="3CB90837"/>
    <w:rsid w:val="3CBB45AF"/>
    <w:rsid w:val="3CBC20D5"/>
    <w:rsid w:val="3CBC5080"/>
    <w:rsid w:val="3CBC5C3D"/>
    <w:rsid w:val="3CBE19AA"/>
    <w:rsid w:val="3CC05722"/>
    <w:rsid w:val="3CC316B6"/>
    <w:rsid w:val="3CC33464"/>
    <w:rsid w:val="3CC82828"/>
    <w:rsid w:val="3CCA65A0"/>
    <w:rsid w:val="3CCD3C8C"/>
    <w:rsid w:val="3CD94A35"/>
    <w:rsid w:val="3CDA245A"/>
    <w:rsid w:val="3CDB69FF"/>
    <w:rsid w:val="3CE05DC4"/>
    <w:rsid w:val="3CE37662"/>
    <w:rsid w:val="3CE7185D"/>
    <w:rsid w:val="3CEA4A31"/>
    <w:rsid w:val="3CEC4769"/>
    <w:rsid w:val="3CEE0A37"/>
    <w:rsid w:val="3CF03B2D"/>
    <w:rsid w:val="3CF0711C"/>
    <w:rsid w:val="3CFA3924"/>
    <w:rsid w:val="3CFA5C50"/>
    <w:rsid w:val="3CFC735A"/>
    <w:rsid w:val="3CFE624A"/>
    <w:rsid w:val="3D011811"/>
    <w:rsid w:val="3D015D3A"/>
    <w:rsid w:val="3D053A7C"/>
    <w:rsid w:val="3D05582A"/>
    <w:rsid w:val="3D056A3F"/>
    <w:rsid w:val="3D0F48FB"/>
    <w:rsid w:val="3D10720F"/>
    <w:rsid w:val="3D1141CF"/>
    <w:rsid w:val="3D115F7D"/>
    <w:rsid w:val="3D18555E"/>
    <w:rsid w:val="3D193084"/>
    <w:rsid w:val="3D2008B6"/>
    <w:rsid w:val="3D254AFD"/>
    <w:rsid w:val="3D271C45"/>
    <w:rsid w:val="3D2F0AF9"/>
    <w:rsid w:val="3D3035F9"/>
    <w:rsid w:val="3D314871"/>
    <w:rsid w:val="3D3305EA"/>
    <w:rsid w:val="3D344362"/>
    <w:rsid w:val="3D347EBE"/>
    <w:rsid w:val="3D363C36"/>
    <w:rsid w:val="3D3A1978"/>
    <w:rsid w:val="3D3B56F0"/>
    <w:rsid w:val="3D4201BB"/>
    <w:rsid w:val="3D42082D"/>
    <w:rsid w:val="3D424389"/>
    <w:rsid w:val="3D4520CB"/>
    <w:rsid w:val="3D483969"/>
    <w:rsid w:val="3D4D6987"/>
    <w:rsid w:val="3D4F2F4A"/>
    <w:rsid w:val="3D54230E"/>
    <w:rsid w:val="3D5B369C"/>
    <w:rsid w:val="3D5B544A"/>
    <w:rsid w:val="3D5D7415"/>
    <w:rsid w:val="3D5F318D"/>
    <w:rsid w:val="3D605157"/>
    <w:rsid w:val="3D624A2B"/>
    <w:rsid w:val="3D6469F5"/>
    <w:rsid w:val="3D65276D"/>
    <w:rsid w:val="3D670293"/>
    <w:rsid w:val="3D691975"/>
    <w:rsid w:val="3D6A7D83"/>
    <w:rsid w:val="3D6B6BFA"/>
    <w:rsid w:val="3D6E33D0"/>
    <w:rsid w:val="3D7309E6"/>
    <w:rsid w:val="3D736C38"/>
    <w:rsid w:val="3D785FFC"/>
    <w:rsid w:val="3D7B789B"/>
    <w:rsid w:val="3D7E17DF"/>
    <w:rsid w:val="3D842BF3"/>
    <w:rsid w:val="3D89020A"/>
    <w:rsid w:val="3D8E3A72"/>
    <w:rsid w:val="3D913562"/>
    <w:rsid w:val="3D9904A8"/>
    <w:rsid w:val="3D995D0E"/>
    <w:rsid w:val="3D9C66F8"/>
    <w:rsid w:val="3D9D1F07"/>
    <w:rsid w:val="3DA47914"/>
    <w:rsid w:val="3DA7535D"/>
    <w:rsid w:val="3DA9265A"/>
    <w:rsid w:val="3DB039E8"/>
    <w:rsid w:val="3DB27817"/>
    <w:rsid w:val="3DB42DAD"/>
    <w:rsid w:val="3DB813B0"/>
    <w:rsid w:val="3DBB238D"/>
    <w:rsid w:val="3DBD4357"/>
    <w:rsid w:val="3DD376D7"/>
    <w:rsid w:val="3DD516A1"/>
    <w:rsid w:val="3DD5344F"/>
    <w:rsid w:val="3DDB2643"/>
    <w:rsid w:val="3DDD0555"/>
    <w:rsid w:val="3DDD2303"/>
    <w:rsid w:val="3DDD67A7"/>
    <w:rsid w:val="3DE11078"/>
    <w:rsid w:val="3DE37306"/>
    <w:rsid w:val="3DE61BC4"/>
    <w:rsid w:val="3DE713D4"/>
    <w:rsid w:val="3DE73182"/>
    <w:rsid w:val="3DEA3D83"/>
    <w:rsid w:val="3DEB2C72"/>
    <w:rsid w:val="3DEC0798"/>
    <w:rsid w:val="3DF064DB"/>
    <w:rsid w:val="3DF37D79"/>
    <w:rsid w:val="3DF96E3A"/>
    <w:rsid w:val="3DFC7B0B"/>
    <w:rsid w:val="3DFD29A6"/>
    <w:rsid w:val="3DFD4754"/>
    <w:rsid w:val="3E02320C"/>
    <w:rsid w:val="3E083824"/>
    <w:rsid w:val="3E0930F8"/>
    <w:rsid w:val="3E104487"/>
    <w:rsid w:val="3E1050C1"/>
    <w:rsid w:val="3E1113DE"/>
    <w:rsid w:val="3E1201FF"/>
    <w:rsid w:val="3E126451"/>
    <w:rsid w:val="3E171CB9"/>
    <w:rsid w:val="3E18333B"/>
    <w:rsid w:val="3E186F76"/>
    <w:rsid w:val="3E1A5306"/>
    <w:rsid w:val="3E1A6DC1"/>
    <w:rsid w:val="3E1C107E"/>
    <w:rsid w:val="3E1D0952"/>
    <w:rsid w:val="3E1F291C"/>
    <w:rsid w:val="3E216694"/>
    <w:rsid w:val="3E23240C"/>
    <w:rsid w:val="3E235794"/>
    <w:rsid w:val="3E247F32"/>
    <w:rsid w:val="3E295549"/>
    <w:rsid w:val="3E2972F7"/>
    <w:rsid w:val="3E2B7513"/>
    <w:rsid w:val="3E377C66"/>
    <w:rsid w:val="3E3C71F1"/>
    <w:rsid w:val="3E3D275E"/>
    <w:rsid w:val="3E3F6B1A"/>
    <w:rsid w:val="3E46434D"/>
    <w:rsid w:val="3E467DCB"/>
    <w:rsid w:val="3E473F20"/>
    <w:rsid w:val="3E4D56DB"/>
    <w:rsid w:val="3E4D7489"/>
    <w:rsid w:val="3E4F1FA4"/>
    <w:rsid w:val="3E524A9F"/>
    <w:rsid w:val="3E6447D3"/>
    <w:rsid w:val="3E646581"/>
    <w:rsid w:val="3E693B97"/>
    <w:rsid w:val="3E6A7C37"/>
    <w:rsid w:val="3E6F439C"/>
    <w:rsid w:val="3E767CA2"/>
    <w:rsid w:val="3E78202C"/>
    <w:rsid w:val="3E7C7D6E"/>
    <w:rsid w:val="3E7E5894"/>
    <w:rsid w:val="3E8B6203"/>
    <w:rsid w:val="3E8E35FE"/>
    <w:rsid w:val="3E90381A"/>
    <w:rsid w:val="3E9055C8"/>
    <w:rsid w:val="3E921340"/>
    <w:rsid w:val="3E941710"/>
    <w:rsid w:val="3E95498C"/>
    <w:rsid w:val="3E9A01F4"/>
    <w:rsid w:val="3E9C2D0F"/>
    <w:rsid w:val="3E9C5D1B"/>
    <w:rsid w:val="3E9D66EF"/>
    <w:rsid w:val="3EA10976"/>
    <w:rsid w:val="3EA11895"/>
    <w:rsid w:val="3EA370A9"/>
    <w:rsid w:val="3EAB0654"/>
    <w:rsid w:val="3EB06725"/>
    <w:rsid w:val="3EB452D4"/>
    <w:rsid w:val="3EB9437E"/>
    <w:rsid w:val="3EB94B1E"/>
    <w:rsid w:val="3EBA2645"/>
    <w:rsid w:val="3EBF1FF6"/>
    <w:rsid w:val="3EC139D3"/>
    <w:rsid w:val="3EC7118D"/>
    <w:rsid w:val="3EC7548D"/>
    <w:rsid w:val="3ECC5112"/>
    <w:rsid w:val="3ED03C16"/>
    <w:rsid w:val="3ED100BA"/>
    <w:rsid w:val="3ED41958"/>
    <w:rsid w:val="3EDD198D"/>
    <w:rsid w:val="3EE020AB"/>
    <w:rsid w:val="3EE31B9B"/>
    <w:rsid w:val="3EE6168C"/>
    <w:rsid w:val="3EE86526"/>
    <w:rsid w:val="3EE871B2"/>
    <w:rsid w:val="3EEA4CD8"/>
    <w:rsid w:val="3EED2A1A"/>
    <w:rsid w:val="3EF43DA9"/>
    <w:rsid w:val="3EF618CF"/>
    <w:rsid w:val="3EF94085"/>
    <w:rsid w:val="3F03223E"/>
    <w:rsid w:val="3F057D64"/>
    <w:rsid w:val="3F06588A"/>
    <w:rsid w:val="3F0840B9"/>
    <w:rsid w:val="3F0A35CC"/>
    <w:rsid w:val="3F0A649A"/>
    <w:rsid w:val="3F0B2DA6"/>
    <w:rsid w:val="3F103381"/>
    <w:rsid w:val="3F15211D"/>
    <w:rsid w:val="3F1551DB"/>
    <w:rsid w:val="3F161F71"/>
    <w:rsid w:val="3F171845"/>
    <w:rsid w:val="3F1735F3"/>
    <w:rsid w:val="3F1E4982"/>
    <w:rsid w:val="3F220916"/>
    <w:rsid w:val="3F23468E"/>
    <w:rsid w:val="3F2530A2"/>
    <w:rsid w:val="3F253F62"/>
    <w:rsid w:val="3F281CA4"/>
    <w:rsid w:val="3F2C03A4"/>
    <w:rsid w:val="3F3209B7"/>
    <w:rsid w:val="3F32667F"/>
    <w:rsid w:val="3F375A43"/>
    <w:rsid w:val="3F3917BB"/>
    <w:rsid w:val="3F397A0D"/>
    <w:rsid w:val="3F3E3276"/>
    <w:rsid w:val="3F3E5024"/>
    <w:rsid w:val="3F3E5CD5"/>
    <w:rsid w:val="3F3F3F3A"/>
    <w:rsid w:val="3F3F46D3"/>
    <w:rsid w:val="3F407113"/>
    <w:rsid w:val="3F424E33"/>
    <w:rsid w:val="3F43263A"/>
    <w:rsid w:val="3F44662B"/>
    <w:rsid w:val="3F487C50"/>
    <w:rsid w:val="3F4A741D"/>
    <w:rsid w:val="3F4D34B9"/>
    <w:rsid w:val="3F4D4F72"/>
    <w:rsid w:val="3F5465F5"/>
    <w:rsid w:val="3F5605BF"/>
    <w:rsid w:val="3F56236D"/>
    <w:rsid w:val="3F566811"/>
    <w:rsid w:val="3F5900B0"/>
    <w:rsid w:val="3F591E5E"/>
    <w:rsid w:val="3F5E56C6"/>
    <w:rsid w:val="3F660E74"/>
    <w:rsid w:val="3F696545"/>
    <w:rsid w:val="3F6C393F"/>
    <w:rsid w:val="3F6D50FF"/>
    <w:rsid w:val="3F6D76B7"/>
    <w:rsid w:val="3F6E19E9"/>
    <w:rsid w:val="3F6F1681"/>
    <w:rsid w:val="3F757954"/>
    <w:rsid w:val="3F7942AE"/>
    <w:rsid w:val="3F7B7B8A"/>
    <w:rsid w:val="3F7E3672"/>
    <w:rsid w:val="3F811F08"/>
    <w:rsid w:val="3F817E67"/>
    <w:rsid w:val="3F8213B4"/>
    <w:rsid w:val="3F830C89"/>
    <w:rsid w:val="3F850EA5"/>
    <w:rsid w:val="3F890995"/>
    <w:rsid w:val="3F8A64BB"/>
    <w:rsid w:val="3F9115F7"/>
    <w:rsid w:val="3F917849"/>
    <w:rsid w:val="3F9335CD"/>
    <w:rsid w:val="3F9904AC"/>
    <w:rsid w:val="3F995D91"/>
    <w:rsid w:val="3F9A23F3"/>
    <w:rsid w:val="3F9D1D4A"/>
    <w:rsid w:val="3FA94B93"/>
    <w:rsid w:val="3FAA26B9"/>
    <w:rsid w:val="3FAC01DF"/>
    <w:rsid w:val="3FAE3F57"/>
    <w:rsid w:val="3FAF13AE"/>
    <w:rsid w:val="3FAF7CCF"/>
    <w:rsid w:val="3FB12ADB"/>
    <w:rsid w:val="3FB3156E"/>
    <w:rsid w:val="3FB35A12"/>
    <w:rsid w:val="3FBE7F13"/>
    <w:rsid w:val="3FC217B1"/>
    <w:rsid w:val="3FC419CD"/>
    <w:rsid w:val="3FC65745"/>
    <w:rsid w:val="3FC75AA0"/>
    <w:rsid w:val="3FC86E9D"/>
    <w:rsid w:val="3FC96EB0"/>
    <w:rsid w:val="3FCA68B7"/>
    <w:rsid w:val="3FCF2120"/>
    <w:rsid w:val="3FD07349"/>
    <w:rsid w:val="3FD61700"/>
    <w:rsid w:val="3FDA2F9E"/>
    <w:rsid w:val="3FDF2363"/>
    <w:rsid w:val="3FE55985"/>
    <w:rsid w:val="3FEB51AC"/>
    <w:rsid w:val="3FEC0F24"/>
    <w:rsid w:val="3FEE6A4A"/>
    <w:rsid w:val="3FF027C2"/>
    <w:rsid w:val="3FF102E8"/>
    <w:rsid w:val="3FF1653A"/>
    <w:rsid w:val="3FFA34B2"/>
    <w:rsid w:val="3FFA719D"/>
    <w:rsid w:val="3FFD2A12"/>
    <w:rsid w:val="3FFD4EDF"/>
    <w:rsid w:val="3FFF0C57"/>
    <w:rsid w:val="400647A9"/>
    <w:rsid w:val="400B13AA"/>
    <w:rsid w:val="400B3158"/>
    <w:rsid w:val="400C1667"/>
    <w:rsid w:val="400E7546"/>
    <w:rsid w:val="40170548"/>
    <w:rsid w:val="40170617"/>
    <w:rsid w:val="401C5365"/>
    <w:rsid w:val="401E6EC4"/>
    <w:rsid w:val="401F4E55"/>
    <w:rsid w:val="40224945"/>
    <w:rsid w:val="40227D90"/>
    <w:rsid w:val="4024246B"/>
    <w:rsid w:val="40267F92"/>
    <w:rsid w:val="402814CD"/>
    <w:rsid w:val="402E32EA"/>
    <w:rsid w:val="4030560B"/>
    <w:rsid w:val="40442B0E"/>
    <w:rsid w:val="40547751"/>
    <w:rsid w:val="40572841"/>
    <w:rsid w:val="405C1C05"/>
    <w:rsid w:val="405D772B"/>
    <w:rsid w:val="405E3BCF"/>
    <w:rsid w:val="405F1467"/>
    <w:rsid w:val="40630A6C"/>
    <w:rsid w:val="40646D0C"/>
    <w:rsid w:val="40664832"/>
    <w:rsid w:val="406665E0"/>
    <w:rsid w:val="406B009A"/>
    <w:rsid w:val="40723CDF"/>
    <w:rsid w:val="40730CFD"/>
    <w:rsid w:val="40763704"/>
    <w:rsid w:val="407A6407"/>
    <w:rsid w:val="407A652F"/>
    <w:rsid w:val="407A79D6"/>
    <w:rsid w:val="4081166C"/>
    <w:rsid w:val="40827192"/>
    <w:rsid w:val="408353E4"/>
    <w:rsid w:val="40864ED4"/>
    <w:rsid w:val="40866FF7"/>
    <w:rsid w:val="408E3D89"/>
    <w:rsid w:val="408F7457"/>
    <w:rsid w:val="409018CD"/>
    <w:rsid w:val="40910A42"/>
    <w:rsid w:val="40923879"/>
    <w:rsid w:val="40970E8F"/>
    <w:rsid w:val="4099146F"/>
    <w:rsid w:val="4099578D"/>
    <w:rsid w:val="409D0A43"/>
    <w:rsid w:val="40A55471"/>
    <w:rsid w:val="40A57942"/>
    <w:rsid w:val="40A67324"/>
    <w:rsid w:val="40A8309D"/>
    <w:rsid w:val="40AA1674"/>
    <w:rsid w:val="40BB7697"/>
    <w:rsid w:val="40BE0DB2"/>
    <w:rsid w:val="40BE0F76"/>
    <w:rsid w:val="40BE1F8C"/>
    <w:rsid w:val="40C1373E"/>
    <w:rsid w:val="40C63523"/>
    <w:rsid w:val="40C655E2"/>
    <w:rsid w:val="40C67C6D"/>
    <w:rsid w:val="40C74FEA"/>
    <w:rsid w:val="40C854ED"/>
    <w:rsid w:val="40C8729B"/>
    <w:rsid w:val="40CB28E7"/>
    <w:rsid w:val="40CD582B"/>
    <w:rsid w:val="40CF4866"/>
    <w:rsid w:val="40D07EFD"/>
    <w:rsid w:val="40D257AC"/>
    <w:rsid w:val="40D304EF"/>
    <w:rsid w:val="40DA57F1"/>
    <w:rsid w:val="40DE4339"/>
    <w:rsid w:val="40E13EB9"/>
    <w:rsid w:val="40EC1096"/>
    <w:rsid w:val="40ED0AAF"/>
    <w:rsid w:val="40F621C4"/>
    <w:rsid w:val="40F67CBC"/>
    <w:rsid w:val="40FA31CC"/>
    <w:rsid w:val="40FC0CF2"/>
    <w:rsid w:val="40FE4A6B"/>
    <w:rsid w:val="40FF07E3"/>
    <w:rsid w:val="410127AD"/>
    <w:rsid w:val="410140EC"/>
    <w:rsid w:val="4101455B"/>
    <w:rsid w:val="410302D3"/>
    <w:rsid w:val="41036525"/>
    <w:rsid w:val="410D6D4A"/>
    <w:rsid w:val="41171FD0"/>
    <w:rsid w:val="411A73CB"/>
    <w:rsid w:val="41202C33"/>
    <w:rsid w:val="4121053E"/>
    <w:rsid w:val="4125649B"/>
    <w:rsid w:val="41281AE7"/>
    <w:rsid w:val="412D48D8"/>
    <w:rsid w:val="412E3DA3"/>
    <w:rsid w:val="41314E40"/>
    <w:rsid w:val="41336AA3"/>
    <w:rsid w:val="4134048C"/>
    <w:rsid w:val="41391F47"/>
    <w:rsid w:val="4139769D"/>
    <w:rsid w:val="413E093E"/>
    <w:rsid w:val="413E6223"/>
    <w:rsid w:val="41405083"/>
    <w:rsid w:val="41441117"/>
    <w:rsid w:val="414601C0"/>
    <w:rsid w:val="414A78DB"/>
    <w:rsid w:val="414B6FDA"/>
    <w:rsid w:val="414F0FC2"/>
    <w:rsid w:val="41516DB4"/>
    <w:rsid w:val="41596145"/>
    <w:rsid w:val="41641FEF"/>
    <w:rsid w:val="416A0352"/>
    <w:rsid w:val="416C5E78"/>
    <w:rsid w:val="416D24A3"/>
    <w:rsid w:val="41726F86"/>
    <w:rsid w:val="41742F7F"/>
    <w:rsid w:val="41766CF7"/>
    <w:rsid w:val="4177481D"/>
    <w:rsid w:val="417D0085"/>
    <w:rsid w:val="418036D2"/>
    <w:rsid w:val="41815E93"/>
    <w:rsid w:val="4183725B"/>
    <w:rsid w:val="41850CE8"/>
    <w:rsid w:val="418A09F4"/>
    <w:rsid w:val="418B6F45"/>
    <w:rsid w:val="418E2292"/>
    <w:rsid w:val="419453CF"/>
    <w:rsid w:val="41A1329E"/>
    <w:rsid w:val="41A354FD"/>
    <w:rsid w:val="41AB3DDC"/>
    <w:rsid w:val="41AF3FB7"/>
    <w:rsid w:val="41B21056"/>
    <w:rsid w:val="41B36CDD"/>
    <w:rsid w:val="41BA23CC"/>
    <w:rsid w:val="41BE5A2A"/>
    <w:rsid w:val="41C12819"/>
    <w:rsid w:val="41C31810"/>
    <w:rsid w:val="41C537DA"/>
    <w:rsid w:val="41C63BEE"/>
    <w:rsid w:val="41C662EF"/>
    <w:rsid w:val="41CA7043"/>
    <w:rsid w:val="41CF2217"/>
    <w:rsid w:val="41D1217F"/>
    <w:rsid w:val="41D8350E"/>
    <w:rsid w:val="41DC3706"/>
    <w:rsid w:val="41DC535C"/>
    <w:rsid w:val="41DD28D2"/>
    <w:rsid w:val="41E023C2"/>
    <w:rsid w:val="41E90D89"/>
    <w:rsid w:val="41E952A1"/>
    <w:rsid w:val="41EC6FB9"/>
    <w:rsid w:val="41EE4ADF"/>
    <w:rsid w:val="41F12821"/>
    <w:rsid w:val="41F145CF"/>
    <w:rsid w:val="41F30347"/>
    <w:rsid w:val="41F52311"/>
    <w:rsid w:val="41F61BE6"/>
    <w:rsid w:val="41FA16D6"/>
    <w:rsid w:val="41FB36A0"/>
    <w:rsid w:val="42004812"/>
    <w:rsid w:val="4205007B"/>
    <w:rsid w:val="420C31B7"/>
    <w:rsid w:val="420E33EE"/>
    <w:rsid w:val="42114C71"/>
    <w:rsid w:val="421309EA"/>
    <w:rsid w:val="421449FF"/>
    <w:rsid w:val="421502BE"/>
    <w:rsid w:val="42165DE4"/>
    <w:rsid w:val="42187DAE"/>
    <w:rsid w:val="421A3B26"/>
    <w:rsid w:val="421D7172"/>
    <w:rsid w:val="42204EB5"/>
    <w:rsid w:val="42291FBB"/>
    <w:rsid w:val="42293D69"/>
    <w:rsid w:val="42295B17"/>
    <w:rsid w:val="422A188F"/>
    <w:rsid w:val="42346AE3"/>
    <w:rsid w:val="423544BC"/>
    <w:rsid w:val="423821FE"/>
    <w:rsid w:val="423A0FD9"/>
    <w:rsid w:val="423A3BCC"/>
    <w:rsid w:val="423B417B"/>
    <w:rsid w:val="424C5CAA"/>
    <w:rsid w:val="424E37D0"/>
    <w:rsid w:val="425154F8"/>
    <w:rsid w:val="4258464E"/>
    <w:rsid w:val="425C413F"/>
    <w:rsid w:val="425D3A13"/>
    <w:rsid w:val="42612D34"/>
    <w:rsid w:val="42645DC4"/>
    <w:rsid w:val="426D634C"/>
    <w:rsid w:val="42721D88"/>
    <w:rsid w:val="427C3081"/>
    <w:rsid w:val="42816FF2"/>
    <w:rsid w:val="42843695"/>
    <w:rsid w:val="42843BC2"/>
    <w:rsid w:val="428561CB"/>
    <w:rsid w:val="428611BC"/>
    <w:rsid w:val="42892A5A"/>
    <w:rsid w:val="428C585C"/>
    <w:rsid w:val="428C60A6"/>
    <w:rsid w:val="428D254A"/>
    <w:rsid w:val="42903DE8"/>
    <w:rsid w:val="42905431"/>
    <w:rsid w:val="4294605B"/>
    <w:rsid w:val="429733C9"/>
    <w:rsid w:val="429B44C9"/>
    <w:rsid w:val="42A35700"/>
    <w:rsid w:val="42A930FC"/>
    <w:rsid w:val="42AA5F72"/>
    <w:rsid w:val="42B52239"/>
    <w:rsid w:val="42B5384F"/>
    <w:rsid w:val="42B775C7"/>
    <w:rsid w:val="42BA42E3"/>
    <w:rsid w:val="42BD444E"/>
    <w:rsid w:val="42C24102"/>
    <w:rsid w:val="42C341BE"/>
    <w:rsid w:val="42C615B8"/>
    <w:rsid w:val="42CA4EAC"/>
    <w:rsid w:val="42D737C5"/>
    <w:rsid w:val="42DA7950"/>
    <w:rsid w:val="42E20147"/>
    <w:rsid w:val="42E3216A"/>
    <w:rsid w:val="42E47C90"/>
    <w:rsid w:val="42E87780"/>
    <w:rsid w:val="42ED1DD1"/>
    <w:rsid w:val="42F205FF"/>
    <w:rsid w:val="42FC76D0"/>
    <w:rsid w:val="430640AA"/>
    <w:rsid w:val="43095B0E"/>
    <w:rsid w:val="430D71E7"/>
    <w:rsid w:val="43122A4F"/>
    <w:rsid w:val="431324CB"/>
    <w:rsid w:val="43140575"/>
    <w:rsid w:val="431449BC"/>
    <w:rsid w:val="43144A19"/>
    <w:rsid w:val="431542ED"/>
    <w:rsid w:val="43197A0C"/>
    <w:rsid w:val="431A7B56"/>
    <w:rsid w:val="431D0717"/>
    <w:rsid w:val="431D372B"/>
    <w:rsid w:val="4320516C"/>
    <w:rsid w:val="432A3DCF"/>
    <w:rsid w:val="432C7597"/>
    <w:rsid w:val="432D5ADB"/>
    <w:rsid w:val="43302ED5"/>
    <w:rsid w:val="433429C6"/>
    <w:rsid w:val="4339622E"/>
    <w:rsid w:val="433A51B1"/>
    <w:rsid w:val="433A6FE6"/>
    <w:rsid w:val="433C5D1E"/>
    <w:rsid w:val="434075BC"/>
    <w:rsid w:val="434123BC"/>
    <w:rsid w:val="43421586"/>
    <w:rsid w:val="43425DA3"/>
    <w:rsid w:val="43443F1E"/>
    <w:rsid w:val="43454BD3"/>
    <w:rsid w:val="4350713C"/>
    <w:rsid w:val="43566DE0"/>
    <w:rsid w:val="435D5832"/>
    <w:rsid w:val="43615785"/>
    <w:rsid w:val="436653E0"/>
    <w:rsid w:val="43672D9B"/>
    <w:rsid w:val="4368266F"/>
    <w:rsid w:val="436D237B"/>
    <w:rsid w:val="43727992"/>
    <w:rsid w:val="43733496"/>
    <w:rsid w:val="437901B2"/>
    <w:rsid w:val="43790D20"/>
    <w:rsid w:val="4379487C"/>
    <w:rsid w:val="437B23A2"/>
    <w:rsid w:val="437E6337"/>
    <w:rsid w:val="438433D3"/>
    <w:rsid w:val="43843DC2"/>
    <w:rsid w:val="43866F99"/>
    <w:rsid w:val="438A4CDB"/>
    <w:rsid w:val="438F40A0"/>
    <w:rsid w:val="43902128"/>
    <w:rsid w:val="43930246"/>
    <w:rsid w:val="439711A6"/>
    <w:rsid w:val="43973DCE"/>
    <w:rsid w:val="43A02C8E"/>
    <w:rsid w:val="43A55671"/>
    <w:rsid w:val="43A86F10"/>
    <w:rsid w:val="43AC6A00"/>
    <w:rsid w:val="43AE6F7D"/>
    <w:rsid w:val="43B00525"/>
    <w:rsid w:val="43B14016"/>
    <w:rsid w:val="43B34232"/>
    <w:rsid w:val="43B35FE0"/>
    <w:rsid w:val="43B6162D"/>
    <w:rsid w:val="43B9736F"/>
    <w:rsid w:val="43BB30E7"/>
    <w:rsid w:val="43C006FD"/>
    <w:rsid w:val="43C04259"/>
    <w:rsid w:val="43C24475"/>
    <w:rsid w:val="43C401ED"/>
    <w:rsid w:val="43C71A8C"/>
    <w:rsid w:val="43C81360"/>
    <w:rsid w:val="43C8760E"/>
    <w:rsid w:val="43CD667C"/>
    <w:rsid w:val="43CE2E1A"/>
    <w:rsid w:val="43D45F57"/>
    <w:rsid w:val="43DD305D"/>
    <w:rsid w:val="43DE6DD5"/>
    <w:rsid w:val="43E02B4D"/>
    <w:rsid w:val="43E36C7A"/>
    <w:rsid w:val="43EE526A"/>
    <w:rsid w:val="43F14D5A"/>
    <w:rsid w:val="43F62371"/>
    <w:rsid w:val="44022AC4"/>
    <w:rsid w:val="4404683C"/>
    <w:rsid w:val="44071E88"/>
    <w:rsid w:val="440C749E"/>
    <w:rsid w:val="440E3217"/>
    <w:rsid w:val="441069D6"/>
    <w:rsid w:val="441445A5"/>
    <w:rsid w:val="44150A49"/>
    <w:rsid w:val="44175E54"/>
    <w:rsid w:val="441C7F8A"/>
    <w:rsid w:val="441D78FE"/>
    <w:rsid w:val="44202F4A"/>
    <w:rsid w:val="44222311"/>
    <w:rsid w:val="44223EC2"/>
    <w:rsid w:val="44226CC2"/>
    <w:rsid w:val="44246EDE"/>
    <w:rsid w:val="44281AE8"/>
    <w:rsid w:val="442D18F9"/>
    <w:rsid w:val="443D58AA"/>
    <w:rsid w:val="443F7874"/>
    <w:rsid w:val="44450C02"/>
    <w:rsid w:val="44492573"/>
    <w:rsid w:val="445157F9"/>
    <w:rsid w:val="44550E45"/>
    <w:rsid w:val="44557097"/>
    <w:rsid w:val="44567ED7"/>
    <w:rsid w:val="445D7CFA"/>
    <w:rsid w:val="446175D3"/>
    <w:rsid w:val="44625310"/>
    <w:rsid w:val="44661A1F"/>
    <w:rsid w:val="4467501D"/>
    <w:rsid w:val="446B0669"/>
    <w:rsid w:val="446E2DED"/>
    <w:rsid w:val="4473751E"/>
    <w:rsid w:val="4486116B"/>
    <w:rsid w:val="44872FC9"/>
    <w:rsid w:val="448B5623"/>
    <w:rsid w:val="448E7078"/>
    <w:rsid w:val="44901E7E"/>
    <w:rsid w:val="44A616A1"/>
    <w:rsid w:val="44A8626A"/>
    <w:rsid w:val="44A973E3"/>
    <w:rsid w:val="44AB4F09"/>
    <w:rsid w:val="44AE67A8"/>
    <w:rsid w:val="44B042CE"/>
    <w:rsid w:val="44B244EA"/>
    <w:rsid w:val="44B5165A"/>
    <w:rsid w:val="44B518E4"/>
    <w:rsid w:val="44B60AAD"/>
    <w:rsid w:val="44B738AE"/>
    <w:rsid w:val="44B83DE4"/>
    <w:rsid w:val="44B85878"/>
    <w:rsid w:val="44BE2E8F"/>
    <w:rsid w:val="44BF2763"/>
    <w:rsid w:val="44C10289"/>
    <w:rsid w:val="44C4421D"/>
    <w:rsid w:val="44C61D43"/>
    <w:rsid w:val="44CB0EE8"/>
    <w:rsid w:val="44CB1108"/>
    <w:rsid w:val="44CB3B1B"/>
    <w:rsid w:val="44CD14E0"/>
    <w:rsid w:val="44CF1BF0"/>
    <w:rsid w:val="44D0671E"/>
    <w:rsid w:val="44D37FBC"/>
    <w:rsid w:val="44E4041B"/>
    <w:rsid w:val="44E4666D"/>
    <w:rsid w:val="44E81CBA"/>
    <w:rsid w:val="44E83CA9"/>
    <w:rsid w:val="44F06DC0"/>
    <w:rsid w:val="44F42EE1"/>
    <w:rsid w:val="44F63F31"/>
    <w:rsid w:val="44F71EFD"/>
    <w:rsid w:val="44F85C75"/>
    <w:rsid w:val="44F87A23"/>
    <w:rsid w:val="44FA379B"/>
    <w:rsid w:val="44FA4815"/>
    <w:rsid w:val="44FE772F"/>
    <w:rsid w:val="45034D45"/>
    <w:rsid w:val="45097E82"/>
    <w:rsid w:val="450D7972"/>
    <w:rsid w:val="4511711A"/>
    <w:rsid w:val="451231DA"/>
    <w:rsid w:val="45141548"/>
    <w:rsid w:val="451505D5"/>
    <w:rsid w:val="45156827"/>
    <w:rsid w:val="4517434D"/>
    <w:rsid w:val="451A3E3D"/>
    <w:rsid w:val="451E56DB"/>
    <w:rsid w:val="452409D7"/>
    <w:rsid w:val="45246A6A"/>
    <w:rsid w:val="4528655A"/>
    <w:rsid w:val="452F5B3A"/>
    <w:rsid w:val="453250A1"/>
    <w:rsid w:val="453D4D6F"/>
    <w:rsid w:val="454315E6"/>
    <w:rsid w:val="454A2974"/>
    <w:rsid w:val="45505AB1"/>
    <w:rsid w:val="45515F3F"/>
    <w:rsid w:val="455235D7"/>
    <w:rsid w:val="45561AB0"/>
    <w:rsid w:val="45596713"/>
    <w:rsid w:val="455A06DD"/>
    <w:rsid w:val="455A248C"/>
    <w:rsid w:val="45637592"/>
    <w:rsid w:val="456652D4"/>
    <w:rsid w:val="4568104C"/>
    <w:rsid w:val="456926CF"/>
    <w:rsid w:val="456E41DF"/>
    <w:rsid w:val="456E4C88"/>
    <w:rsid w:val="456F738A"/>
    <w:rsid w:val="457479F1"/>
    <w:rsid w:val="457C0A82"/>
    <w:rsid w:val="457E5811"/>
    <w:rsid w:val="458946E9"/>
    <w:rsid w:val="459040FF"/>
    <w:rsid w:val="45911A11"/>
    <w:rsid w:val="45986D8C"/>
    <w:rsid w:val="45992C39"/>
    <w:rsid w:val="45992FB4"/>
    <w:rsid w:val="459B4382"/>
    <w:rsid w:val="45A007E6"/>
    <w:rsid w:val="45A16D05"/>
    <w:rsid w:val="45AD4CB1"/>
    <w:rsid w:val="45AE54CB"/>
    <w:rsid w:val="45B1654F"/>
    <w:rsid w:val="45B26679"/>
    <w:rsid w:val="45B61DB8"/>
    <w:rsid w:val="45B63B66"/>
    <w:rsid w:val="45BD302C"/>
    <w:rsid w:val="45C16A25"/>
    <w:rsid w:val="45CA13BF"/>
    <w:rsid w:val="45CA1598"/>
    <w:rsid w:val="45CA7611"/>
    <w:rsid w:val="45CC5137"/>
    <w:rsid w:val="45CF69D6"/>
    <w:rsid w:val="45D65FB6"/>
    <w:rsid w:val="45DA5812"/>
    <w:rsid w:val="45DE130F"/>
    <w:rsid w:val="45E17E9C"/>
    <w:rsid w:val="45E5269D"/>
    <w:rsid w:val="45E71F71"/>
    <w:rsid w:val="45E87A97"/>
    <w:rsid w:val="45EE5554"/>
    <w:rsid w:val="45F11042"/>
    <w:rsid w:val="45F244DE"/>
    <w:rsid w:val="45F4653A"/>
    <w:rsid w:val="45F67B77"/>
    <w:rsid w:val="45F97EF6"/>
    <w:rsid w:val="45FB654D"/>
    <w:rsid w:val="46001285"/>
    <w:rsid w:val="46014AB2"/>
    <w:rsid w:val="46032B23"/>
    <w:rsid w:val="460C70AB"/>
    <w:rsid w:val="46113D93"/>
    <w:rsid w:val="46146ADE"/>
    <w:rsid w:val="4618037D"/>
    <w:rsid w:val="46184820"/>
    <w:rsid w:val="461B1C1B"/>
    <w:rsid w:val="461D1E37"/>
    <w:rsid w:val="461F516B"/>
    <w:rsid w:val="46207231"/>
    <w:rsid w:val="46244F73"/>
    <w:rsid w:val="46256F3D"/>
    <w:rsid w:val="462907DC"/>
    <w:rsid w:val="462A65A2"/>
    <w:rsid w:val="462C02CC"/>
    <w:rsid w:val="462C5BD6"/>
    <w:rsid w:val="462E5CB9"/>
    <w:rsid w:val="46357180"/>
    <w:rsid w:val="46377A12"/>
    <w:rsid w:val="463902F3"/>
    <w:rsid w:val="463A1ECC"/>
    <w:rsid w:val="463D7073"/>
    <w:rsid w:val="463E0D14"/>
    <w:rsid w:val="4646138E"/>
    <w:rsid w:val="464F5C0D"/>
    <w:rsid w:val="46503FBA"/>
    <w:rsid w:val="46511AE0"/>
    <w:rsid w:val="465515D1"/>
    <w:rsid w:val="46584C1D"/>
    <w:rsid w:val="465D66D7"/>
    <w:rsid w:val="4665558C"/>
    <w:rsid w:val="46670B8F"/>
    <w:rsid w:val="4674757D"/>
    <w:rsid w:val="46753A21"/>
    <w:rsid w:val="46770F87"/>
    <w:rsid w:val="467852BF"/>
    <w:rsid w:val="467B090B"/>
    <w:rsid w:val="467F21AA"/>
    <w:rsid w:val="46821C9A"/>
    <w:rsid w:val="46873754"/>
    <w:rsid w:val="46921B54"/>
    <w:rsid w:val="469519C5"/>
    <w:rsid w:val="469B2D5C"/>
    <w:rsid w:val="46A61E2C"/>
    <w:rsid w:val="46AD52B3"/>
    <w:rsid w:val="46AE0CE1"/>
    <w:rsid w:val="46B300A5"/>
    <w:rsid w:val="46B362F7"/>
    <w:rsid w:val="46BB787A"/>
    <w:rsid w:val="46BC0A08"/>
    <w:rsid w:val="46BD2CD2"/>
    <w:rsid w:val="46BF2EEE"/>
    <w:rsid w:val="46BF4C9C"/>
    <w:rsid w:val="46C04C97"/>
    <w:rsid w:val="46C9474D"/>
    <w:rsid w:val="46CD355E"/>
    <w:rsid w:val="46D00C57"/>
    <w:rsid w:val="46D36999"/>
    <w:rsid w:val="46D5626E"/>
    <w:rsid w:val="46D70238"/>
    <w:rsid w:val="46D955A7"/>
    <w:rsid w:val="46D97270"/>
    <w:rsid w:val="46DB13AA"/>
    <w:rsid w:val="46DC7CBE"/>
    <w:rsid w:val="46DD15C6"/>
    <w:rsid w:val="46E02B43"/>
    <w:rsid w:val="46E22739"/>
    <w:rsid w:val="46E26BDC"/>
    <w:rsid w:val="46E42955"/>
    <w:rsid w:val="46E44703"/>
    <w:rsid w:val="46E93AC7"/>
    <w:rsid w:val="46ED0E13"/>
    <w:rsid w:val="46F13E60"/>
    <w:rsid w:val="46F56910"/>
    <w:rsid w:val="46F72688"/>
    <w:rsid w:val="47044DA5"/>
    <w:rsid w:val="470923BB"/>
    <w:rsid w:val="470E2EE7"/>
    <w:rsid w:val="470E352E"/>
    <w:rsid w:val="470E79D1"/>
    <w:rsid w:val="471054F8"/>
    <w:rsid w:val="47133957"/>
    <w:rsid w:val="4714323A"/>
    <w:rsid w:val="471919C1"/>
    <w:rsid w:val="471A69C9"/>
    <w:rsid w:val="471F1BDF"/>
    <w:rsid w:val="471F398D"/>
    <w:rsid w:val="472114B3"/>
    <w:rsid w:val="47250D5F"/>
    <w:rsid w:val="472745EF"/>
    <w:rsid w:val="472965B9"/>
    <w:rsid w:val="472D42FC"/>
    <w:rsid w:val="472F1A08"/>
    <w:rsid w:val="473236C0"/>
    <w:rsid w:val="47332F94"/>
    <w:rsid w:val="47342495"/>
    <w:rsid w:val="47356D0C"/>
    <w:rsid w:val="47370CD6"/>
    <w:rsid w:val="4737208D"/>
    <w:rsid w:val="473A4147"/>
    <w:rsid w:val="473E02B7"/>
    <w:rsid w:val="473E2065"/>
    <w:rsid w:val="4743767B"/>
    <w:rsid w:val="474451A1"/>
    <w:rsid w:val="47484C91"/>
    <w:rsid w:val="47494EBF"/>
    <w:rsid w:val="47503B46"/>
    <w:rsid w:val="47507FEA"/>
    <w:rsid w:val="475353E4"/>
    <w:rsid w:val="47543636"/>
    <w:rsid w:val="47571378"/>
    <w:rsid w:val="475911F7"/>
    <w:rsid w:val="475E6263"/>
    <w:rsid w:val="47613FA5"/>
    <w:rsid w:val="47680E90"/>
    <w:rsid w:val="477041E8"/>
    <w:rsid w:val="477737C9"/>
    <w:rsid w:val="477912EF"/>
    <w:rsid w:val="4779329E"/>
    <w:rsid w:val="477E6905"/>
    <w:rsid w:val="47811F51"/>
    <w:rsid w:val="478A7058"/>
    <w:rsid w:val="478F0FE7"/>
    <w:rsid w:val="478F466E"/>
    <w:rsid w:val="47901267"/>
    <w:rsid w:val="47955FA7"/>
    <w:rsid w:val="479D0AC1"/>
    <w:rsid w:val="479E48B1"/>
    <w:rsid w:val="479E6FA7"/>
    <w:rsid w:val="47A07E0C"/>
    <w:rsid w:val="47A619B8"/>
    <w:rsid w:val="47A829EE"/>
    <w:rsid w:val="47AA594C"/>
    <w:rsid w:val="47AB5220"/>
    <w:rsid w:val="47AD0F98"/>
    <w:rsid w:val="47B746AA"/>
    <w:rsid w:val="47B916EB"/>
    <w:rsid w:val="47BC11DC"/>
    <w:rsid w:val="47BE4F54"/>
    <w:rsid w:val="47BE6D02"/>
    <w:rsid w:val="47BF7F9B"/>
    <w:rsid w:val="47C6205A"/>
    <w:rsid w:val="47CA7D9C"/>
    <w:rsid w:val="47CF7161"/>
    <w:rsid w:val="47D26C51"/>
    <w:rsid w:val="47DB3D58"/>
    <w:rsid w:val="47DB5B06"/>
    <w:rsid w:val="47DC3CA8"/>
    <w:rsid w:val="47DC523D"/>
    <w:rsid w:val="47DD7AD0"/>
    <w:rsid w:val="47DF34E2"/>
    <w:rsid w:val="47E66258"/>
    <w:rsid w:val="47E81FD1"/>
    <w:rsid w:val="47EF37F7"/>
    <w:rsid w:val="47F6293F"/>
    <w:rsid w:val="47FE17F4"/>
    <w:rsid w:val="48030BB8"/>
    <w:rsid w:val="48054931"/>
    <w:rsid w:val="480701F9"/>
    <w:rsid w:val="480A136E"/>
    <w:rsid w:val="480B5E1D"/>
    <w:rsid w:val="481903DC"/>
    <w:rsid w:val="481D7ECC"/>
    <w:rsid w:val="481E59F2"/>
    <w:rsid w:val="481F27F7"/>
    <w:rsid w:val="4820176A"/>
    <w:rsid w:val="48221986"/>
    <w:rsid w:val="48270D4B"/>
    <w:rsid w:val="482B265C"/>
    <w:rsid w:val="482C6361"/>
    <w:rsid w:val="482D3E87"/>
    <w:rsid w:val="48335D86"/>
    <w:rsid w:val="483416BA"/>
    <w:rsid w:val="48345216"/>
    <w:rsid w:val="483671E0"/>
    <w:rsid w:val="483E7E42"/>
    <w:rsid w:val="484216E1"/>
    <w:rsid w:val="48457423"/>
    <w:rsid w:val="4847319B"/>
    <w:rsid w:val="48484C47"/>
    <w:rsid w:val="484C255F"/>
    <w:rsid w:val="484E0AD2"/>
    <w:rsid w:val="485338EE"/>
    <w:rsid w:val="485633DE"/>
    <w:rsid w:val="48580F04"/>
    <w:rsid w:val="485853A8"/>
    <w:rsid w:val="485B4F92"/>
    <w:rsid w:val="485E2293"/>
    <w:rsid w:val="48627FD5"/>
    <w:rsid w:val="48642021"/>
    <w:rsid w:val="48645AFB"/>
    <w:rsid w:val="48650157"/>
    <w:rsid w:val="4867383D"/>
    <w:rsid w:val="48690C2E"/>
    <w:rsid w:val="486A1C17"/>
    <w:rsid w:val="486D24D6"/>
    <w:rsid w:val="486E0728"/>
    <w:rsid w:val="4870272E"/>
    <w:rsid w:val="48723461"/>
    <w:rsid w:val="487675DC"/>
    <w:rsid w:val="487A051B"/>
    <w:rsid w:val="487B1097"/>
    <w:rsid w:val="487C1662"/>
    <w:rsid w:val="48825F81"/>
    <w:rsid w:val="48831CF9"/>
    <w:rsid w:val="48867CD4"/>
    <w:rsid w:val="4889543F"/>
    <w:rsid w:val="48897310"/>
    <w:rsid w:val="488C32A4"/>
    <w:rsid w:val="488F68F0"/>
    <w:rsid w:val="489D2DBB"/>
    <w:rsid w:val="48A36846"/>
    <w:rsid w:val="48A4239B"/>
    <w:rsid w:val="48A534D7"/>
    <w:rsid w:val="48A64365"/>
    <w:rsid w:val="48A73C3A"/>
    <w:rsid w:val="48AA54D8"/>
    <w:rsid w:val="48B325DE"/>
    <w:rsid w:val="48B9571B"/>
    <w:rsid w:val="48BA396D"/>
    <w:rsid w:val="48BA59AE"/>
    <w:rsid w:val="48BB2C0D"/>
    <w:rsid w:val="48BB7D26"/>
    <w:rsid w:val="48BC0D87"/>
    <w:rsid w:val="48BD345D"/>
    <w:rsid w:val="48C04CFB"/>
    <w:rsid w:val="48C04DCB"/>
    <w:rsid w:val="48C26CC5"/>
    <w:rsid w:val="48C4659A"/>
    <w:rsid w:val="48C742DC"/>
    <w:rsid w:val="48C90054"/>
    <w:rsid w:val="48CA7928"/>
    <w:rsid w:val="48CD108C"/>
    <w:rsid w:val="48CD2E1A"/>
    <w:rsid w:val="48D80297"/>
    <w:rsid w:val="48DB1977"/>
    <w:rsid w:val="48DC7D87"/>
    <w:rsid w:val="48DF0B70"/>
    <w:rsid w:val="48E00EFA"/>
    <w:rsid w:val="48EA7AFE"/>
    <w:rsid w:val="48F350D1"/>
    <w:rsid w:val="48FA2E41"/>
    <w:rsid w:val="48FA645F"/>
    <w:rsid w:val="48FC21D7"/>
    <w:rsid w:val="48FF3A76"/>
    <w:rsid w:val="49044BE8"/>
    <w:rsid w:val="490D78A6"/>
    <w:rsid w:val="490E1F0B"/>
    <w:rsid w:val="490E2E80"/>
    <w:rsid w:val="490F3BD6"/>
    <w:rsid w:val="491312CF"/>
    <w:rsid w:val="491A265E"/>
    <w:rsid w:val="491D5CAA"/>
    <w:rsid w:val="491F1F8A"/>
    <w:rsid w:val="491F7C74"/>
    <w:rsid w:val="492139EC"/>
    <w:rsid w:val="49227764"/>
    <w:rsid w:val="49255DFC"/>
    <w:rsid w:val="492732ED"/>
    <w:rsid w:val="49276B29"/>
    <w:rsid w:val="492D05E3"/>
    <w:rsid w:val="49331971"/>
    <w:rsid w:val="4933371F"/>
    <w:rsid w:val="49357497"/>
    <w:rsid w:val="49362ED7"/>
    <w:rsid w:val="49385C0C"/>
    <w:rsid w:val="493C4382"/>
    <w:rsid w:val="493D3419"/>
    <w:rsid w:val="493F0316"/>
    <w:rsid w:val="493F54EA"/>
    <w:rsid w:val="49410206"/>
    <w:rsid w:val="49442815"/>
    <w:rsid w:val="494816E4"/>
    <w:rsid w:val="494B0A69"/>
    <w:rsid w:val="494B472D"/>
    <w:rsid w:val="494B6CBB"/>
    <w:rsid w:val="49585496"/>
    <w:rsid w:val="495A6EFE"/>
    <w:rsid w:val="495F2766"/>
    <w:rsid w:val="496D7F4F"/>
    <w:rsid w:val="496F62BB"/>
    <w:rsid w:val="497266D3"/>
    <w:rsid w:val="4977360C"/>
    <w:rsid w:val="49777AB0"/>
    <w:rsid w:val="498015D8"/>
    <w:rsid w:val="49804BB7"/>
    <w:rsid w:val="49815D26"/>
    <w:rsid w:val="49816239"/>
    <w:rsid w:val="49817C4D"/>
    <w:rsid w:val="49875199"/>
    <w:rsid w:val="49885DAF"/>
    <w:rsid w:val="498A77E3"/>
    <w:rsid w:val="499046CE"/>
    <w:rsid w:val="499441BE"/>
    <w:rsid w:val="49946280"/>
    <w:rsid w:val="49951AC7"/>
    <w:rsid w:val="49957F36"/>
    <w:rsid w:val="49973CAE"/>
    <w:rsid w:val="499A452E"/>
    <w:rsid w:val="499B7670"/>
    <w:rsid w:val="499F2B63"/>
    <w:rsid w:val="49A03A49"/>
    <w:rsid w:val="49A32653"/>
    <w:rsid w:val="49A3380F"/>
    <w:rsid w:val="49A50A8A"/>
    <w:rsid w:val="49A81A70"/>
    <w:rsid w:val="49A918FB"/>
    <w:rsid w:val="49AA1FDC"/>
    <w:rsid w:val="49AA31B5"/>
    <w:rsid w:val="49AB775A"/>
    <w:rsid w:val="49AE2DA6"/>
    <w:rsid w:val="49AF0FF8"/>
    <w:rsid w:val="49BA799D"/>
    <w:rsid w:val="49BC2721"/>
    <w:rsid w:val="49C56A6D"/>
    <w:rsid w:val="49CF169A"/>
    <w:rsid w:val="49D2118A"/>
    <w:rsid w:val="49D40682"/>
    <w:rsid w:val="49D61FF8"/>
    <w:rsid w:val="49D7054F"/>
    <w:rsid w:val="49D767A1"/>
    <w:rsid w:val="49D96147"/>
    <w:rsid w:val="49DB5E2A"/>
    <w:rsid w:val="49DC3DB7"/>
    <w:rsid w:val="49DC7715"/>
    <w:rsid w:val="49E01723"/>
    <w:rsid w:val="49E07403"/>
    <w:rsid w:val="49E1317B"/>
    <w:rsid w:val="49E968C3"/>
    <w:rsid w:val="49EC224C"/>
    <w:rsid w:val="49EF3AEA"/>
    <w:rsid w:val="49F033BE"/>
    <w:rsid w:val="49F92273"/>
    <w:rsid w:val="49FB423D"/>
    <w:rsid w:val="49FC1D63"/>
    <w:rsid w:val="49FD6207"/>
    <w:rsid w:val="4A001853"/>
    <w:rsid w:val="4A023139"/>
    <w:rsid w:val="4A0328F9"/>
    <w:rsid w:val="4A044A63"/>
    <w:rsid w:val="4A064990"/>
    <w:rsid w:val="4A0B1011"/>
    <w:rsid w:val="4A0D21C2"/>
    <w:rsid w:val="4A0D5D1E"/>
    <w:rsid w:val="4A0F5F3A"/>
    <w:rsid w:val="4A0F7CE8"/>
    <w:rsid w:val="4A11580F"/>
    <w:rsid w:val="4A17094B"/>
    <w:rsid w:val="4A174DEF"/>
    <w:rsid w:val="4A1E5D46"/>
    <w:rsid w:val="4A1E617D"/>
    <w:rsid w:val="4A247CED"/>
    <w:rsid w:val="4A253068"/>
    <w:rsid w:val="4A27000B"/>
    <w:rsid w:val="4A2819C9"/>
    <w:rsid w:val="4A2C2648"/>
    <w:rsid w:val="4A312113"/>
    <w:rsid w:val="4A3239D7"/>
    <w:rsid w:val="4A353E64"/>
    <w:rsid w:val="4A3634C7"/>
    <w:rsid w:val="4A38723F"/>
    <w:rsid w:val="4A392FB7"/>
    <w:rsid w:val="4A3B0ADD"/>
    <w:rsid w:val="4A3C70D0"/>
    <w:rsid w:val="4A435BE4"/>
    <w:rsid w:val="4A4756D4"/>
    <w:rsid w:val="4A492030"/>
    <w:rsid w:val="4A4D606C"/>
    <w:rsid w:val="4A5D6CA6"/>
    <w:rsid w:val="4A600544"/>
    <w:rsid w:val="4A6022F2"/>
    <w:rsid w:val="4A633B90"/>
    <w:rsid w:val="4A6873F9"/>
    <w:rsid w:val="4A695243"/>
    <w:rsid w:val="4A6A3171"/>
    <w:rsid w:val="4A730277"/>
    <w:rsid w:val="4A767D68"/>
    <w:rsid w:val="4A791606"/>
    <w:rsid w:val="4A7A7858"/>
    <w:rsid w:val="4A7B576F"/>
    <w:rsid w:val="4A7D4C52"/>
    <w:rsid w:val="4A7E09CA"/>
    <w:rsid w:val="4A82495E"/>
    <w:rsid w:val="4A82670C"/>
    <w:rsid w:val="4A851D59"/>
    <w:rsid w:val="4A857FAB"/>
    <w:rsid w:val="4A8C38A0"/>
    <w:rsid w:val="4A8E09AD"/>
    <w:rsid w:val="4A8F4985"/>
    <w:rsid w:val="4A914BA1"/>
    <w:rsid w:val="4A987CDE"/>
    <w:rsid w:val="4A9B05A9"/>
    <w:rsid w:val="4A9B77CE"/>
    <w:rsid w:val="4A9D52F4"/>
    <w:rsid w:val="4AA2290B"/>
    <w:rsid w:val="4AA30431"/>
    <w:rsid w:val="4AA743C5"/>
    <w:rsid w:val="4AAA6481"/>
    <w:rsid w:val="4AAD305D"/>
    <w:rsid w:val="4AAE5753"/>
    <w:rsid w:val="4AAF6887"/>
    <w:rsid w:val="4AB04516"/>
    <w:rsid w:val="4AB16FF2"/>
    <w:rsid w:val="4AB50890"/>
    <w:rsid w:val="4ABA7398"/>
    <w:rsid w:val="4ABD30CC"/>
    <w:rsid w:val="4ABE5084"/>
    <w:rsid w:val="4AC07235"/>
    <w:rsid w:val="4AC14F54"/>
    <w:rsid w:val="4ACA3C0F"/>
    <w:rsid w:val="4AD11442"/>
    <w:rsid w:val="4AD36F68"/>
    <w:rsid w:val="4AD5073A"/>
    <w:rsid w:val="4AD60806"/>
    <w:rsid w:val="4AD8632C"/>
    <w:rsid w:val="4ADD0B44"/>
    <w:rsid w:val="4ADE7383"/>
    <w:rsid w:val="4ADF355A"/>
    <w:rsid w:val="4AE051E1"/>
    <w:rsid w:val="4AE5022F"/>
    <w:rsid w:val="4AE7656F"/>
    <w:rsid w:val="4AE76CFB"/>
    <w:rsid w:val="4AEA4061"/>
    <w:rsid w:val="4AEE3DA2"/>
    <w:rsid w:val="4AEE5B50"/>
    <w:rsid w:val="4AF3760A"/>
    <w:rsid w:val="4AF60EA8"/>
    <w:rsid w:val="4AF95AE8"/>
    <w:rsid w:val="4AFB026D"/>
    <w:rsid w:val="4AFE2ACC"/>
    <w:rsid w:val="4B045373"/>
    <w:rsid w:val="4B0B6702"/>
    <w:rsid w:val="4B0E2E17"/>
    <w:rsid w:val="4B117926"/>
    <w:rsid w:val="4B15132F"/>
    <w:rsid w:val="4B1530DD"/>
    <w:rsid w:val="4B182BCD"/>
    <w:rsid w:val="4B187071"/>
    <w:rsid w:val="4B1A06F3"/>
    <w:rsid w:val="4B1A6945"/>
    <w:rsid w:val="4B1C0C8A"/>
    <w:rsid w:val="4B1D4687"/>
    <w:rsid w:val="4B271062"/>
    <w:rsid w:val="4B2A0FBC"/>
    <w:rsid w:val="4B2C48CA"/>
    <w:rsid w:val="4B307F16"/>
    <w:rsid w:val="4B3774F7"/>
    <w:rsid w:val="4B386DCB"/>
    <w:rsid w:val="4B3B7271"/>
    <w:rsid w:val="4B3F0159"/>
    <w:rsid w:val="4B471143"/>
    <w:rsid w:val="4B48362D"/>
    <w:rsid w:val="4B4B4D50"/>
    <w:rsid w:val="4B4C2876"/>
    <w:rsid w:val="4B4E4879"/>
    <w:rsid w:val="4B524331"/>
    <w:rsid w:val="4B5856BF"/>
    <w:rsid w:val="4B5C0D0B"/>
    <w:rsid w:val="4B5F07FC"/>
    <w:rsid w:val="4B5F09E6"/>
    <w:rsid w:val="4B6422B6"/>
    <w:rsid w:val="4B6573C5"/>
    <w:rsid w:val="4B667DDC"/>
    <w:rsid w:val="4B6814D6"/>
    <w:rsid w:val="4B681D46"/>
    <w:rsid w:val="4B683B54"/>
    <w:rsid w:val="4B6978CC"/>
    <w:rsid w:val="4B6C4CC7"/>
    <w:rsid w:val="4B6D2F19"/>
    <w:rsid w:val="4B702A09"/>
    <w:rsid w:val="4B70365A"/>
    <w:rsid w:val="4B777E35"/>
    <w:rsid w:val="4B797B0F"/>
    <w:rsid w:val="4B7C13AE"/>
    <w:rsid w:val="4B7D0C82"/>
    <w:rsid w:val="4B7D55E8"/>
    <w:rsid w:val="4B7F2C4C"/>
    <w:rsid w:val="4B83098E"/>
    <w:rsid w:val="4B842010"/>
    <w:rsid w:val="4B8509FE"/>
    <w:rsid w:val="4B865D88"/>
    <w:rsid w:val="4B9506C1"/>
    <w:rsid w:val="4B977F95"/>
    <w:rsid w:val="4B9A1834"/>
    <w:rsid w:val="4B9E1324"/>
    <w:rsid w:val="4B9F509C"/>
    <w:rsid w:val="4BA10E14"/>
    <w:rsid w:val="4BA34B8C"/>
    <w:rsid w:val="4BA426B2"/>
    <w:rsid w:val="4BA821A3"/>
    <w:rsid w:val="4BA97CC9"/>
    <w:rsid w:val="4BAB57EF"/>
    <w:rsid w:val="4BAD5A0B"/>
    <w:rsid w:val="4BB26B7D"/>
    <w:rsid w:val="4BB328F5"/>
    <w:rsid w:val="4BB5041C"/>
    <w:rsid w:val="4BB52B12"/>
    <w:rsid w:val="4BBA3C84"/>
    <w:rsid w:val="4BBC5C4E"/>
    <w:rsid w:val="4BBF594C"/>
    <w:rsid w:val="4BC863A1"/>
    <w:rsid w:val="4BC93E36"/>
    <w:rsid w:val="4BCE14DD"/>
    <w:rsid w:val="4BD3035B"/>
    <w:rsid w:val="4BD626E7"/>
    <w:rsid w:val="4BD755BD"/>
    <w:rsid w:val="4BD765E4"/>
    <w:rsid w:val="4BD94FE4"/>
    <w:rsid w:val="4BDA60D4"/>
    <w:rsid w:val="4BDE3E16"/>
    <w:rsid w:val="4BDE7972"/>
    <w:rsid w:val="4BE156B5"/>
    <w:rsid w:val="4BE45A77"/>
    <w:rsid w:val="4BE64A79"/>
    <w:rsid w:val="4BEA27BB"/>
    <w:rsid w:val="4BEB6533"/>
    <w:rsid w:val="4BF54CBC"/>
    <w:rsid w:val="4BF70A34"/>
    <w:rsid w:val="4BF74ED8"/>
    <w:rsid w:val="4BF76165"/>
    <w:rsid w:val="4BF90C50"/>
    <w:rsid w:val="4BFC604B"/>
    <w:rsid w:val="4C0118B3"/>
    <w:rsid w:val="4C0D2006"/>
    <w:rsid w:val="4C0D64AA"/>
    <w:rsid w:val="4C107D48"/>
    <w:rsid w:val="4C12586E"/>
    <w:rsid w:val="4C15535E"/>
    <w:rsid w:val="4C177328"/>
    <w:rsid w:val="4C196BFC"/>
    <w:rsid w:val="4C1B2975"/>
    <w:rsid w:val="4C1E2465"/>
    <w:rsid w:val="4C207F8B"/>
    <w:rsid w:val="4C215AB1"/>
    <w:rsid w:val="4C2832E3"/>
    <w:rsid w:val="4C2F01CE"/>
    <w:rsid w:val="4C304E69"/>
    <w:rsid w:val="4C3103EA"/>
    <w:rsid w:val="4C343841"/>
    <w:rsid w:val="4C3B6274"/>
    <w:rsid w:val="4C3C28EB"/>
    <w:rsid w:val="4C42680C"/>
    <w:rsid w:val="4C4338E3"/>
    <w:rsid w:val="4C435948"/>
    <w:rsid w:val="4C4A0649"/>
    <w:rsid w:val="4C4A2479"/>
    <w:rsid w:val="4C4C6FD2"/>
    <w:rsid w:val="4C51283A"/>
    <w:rsid w:val="4C516396"/>
    <w:rsid w:val="4C5E1AE1"/>
    <w:rsid w:val="4C63431C"/>
    <w:rsid w:val="4C675BBA"/>
    <w:rsid w:val="4C6836E0"/>
    <w:rsid w:val="4C6B091A"/>
    <w:rsid w:val="4C716A38"/>
    <w:rsid w:val="4C744019"/>
    <w:rsid w:val="4C786019"/>
    <w:rsid w:val="4C793B3F"/>
    <w:rsid w:val="4C7C718B"/>
    <w:rsid w:val="4C804ECE"/>
    <w:rsid w:val="4C8147A2"/>
    <w:rsid w:val="4C9857B2"/>
    <w:rsid w:val="4C9D782D"/>
    <w:rsid w:val="4CA02E7A"/>
    <w:rsid w:val="4CA26BF2"/>
    <w:rsid w:val="4CA412EE"/>
    <w:rsid w:val="4CA50490"/>
    <w:rsid w:val="4CA961D2"/>
    <w:rsid w:val="4CAE1A3B"/>
    <w:rsid w:val="4CB16E35"/>
    <w:rsid w:val="4CB22BAD"/>
    <w:rsid w:val="4CB32CFF"/>
    <w:rsid w:val="4CBF59F6"/>
    <w:rsid w:val="4CC0176E"/>
    <w:rsid w:val="4CC2206D"/>
    <w:rsid w:val="4CC4300C"/>
    <w:rsid w:val="4CC528E0"/>
    <w:rsid w:val="4CC622E8"/>
    <w:rsid w:val="4CC72AFC"/>
    <w:rsid w:val="4CCE58CF"/>
    <w:rsid w:val="4CCF375F"/>
    <w:rsid w:val="4CD15729"/>
    <w:rsid w:val="4CD40D75"/>
    <w:rsid w:val="4CD62D3F"/>
    <w:rsid w:val="4CD82614"/>
    <w:rsid w:val="4CDD5E7C"/>
    <w:rsid w:val="4CDE0C9F"/>
    <w:rsid w:val="4CDE39A2"/>
    <w:rsid w:val="4CE30FB8"/>
    <w:rsid w:val="4CE42B3C"/>
    <w:rsid w:val="4CE470D3"/>
    <w:rsid w:val="4CEA0599"/>
    <w:rsid w:val="4CEF5BAF"/>
    <w:rsid w:val="4CF077D9"/>
    <w:rsid w:val="4CFB6302"/>
    <w:rsid w:val="4D023C3A"/>
    <w:rsid w:val="4D0347ED"/>
    <w:rsid w:val="4D04450E"/>
    <w:rsid w:val="4D0A4797"/>
    <w:rsid w:val="4D1004F6"/>
    <w:rsid w:val="4D153868"/>
    <w:rsid w:val="4D1D44CA"/>
    <w:rsid w:val="4D20220D"/>
    <w:rsid w:val="4D2770F7"/>
    <w:rsid w:val="4D302450"/>
    <w:rsid w:val="4D355CB8"/>
    <w:rsid w:val="4D3B1C54"/>
    <w:rsid w:val="4D3F481B"/>
    <w:rsid w:val="4D410CA2"/>
    <w:rsid w:val="4D41465D"/>
    <w:rsid w:val="4D4203D5"/>
    <w:rsid w:val="4D430005"/>
    <w:rsid w:val="4D467EC5"/>
    <w:rsid w:val="4D4A6344"/>
    <w:rsid w:val="4D4C3002"/>
    <w:rsid w:val="4D4E5624"/>
    <w:rsid w:val="4D5048A0"/>
    <w:rsid w:val="4D511823"/>
    <w:rsid w:val="4D534390"/>
    <w:rsid w:val="4D53613E"/>
    <w:rsid w:val="4D551EB6"/>
    <w:rsid w:val="4D5C1497"/>
    <w:rsid w:val="4D5D0D6B"/>
    <w:rsid w:val="4D5F2D35"/>
    <w:rsid w:val="4D622825"/>
    <w:rsid w:val="4D6473B4"/>
    <w:rsid w:val="4D6E34CC"/>
    <w:rsid w:val="4D70238D"/>
    <w:rsid w:val="4D73058E"/>
    <w:rsid w:val="4D754306"/>
    <w:rsid w:val="4D7F6F33"/>
    <w:rsid w:val="4D806F98"/>
    <w:rsid w:val="4D814A59"/>
    <w:rsid w:val="4D84279B"/>
    <w:rsid w:val="4D8E361A"/>
    <w:rsid w:val="4D8F45EB"/>
    <w:rsid w:val="4D956757"/>
    <w:rsid w:val="4D986247"/>
    <w:rsid w:val="4D9E78F3"/>
    <w:rsid w:val="4DA326D4"/>
    <w:rsid w:val="4DA60964"/>
    <w:rsid w:val="4DA60C49"/>
    <w:rsid w:val="4DA67FC9"/>
    <w:rsid w:val="4DA70238"/>
    <w:rsid w:val="4DA846DC"/>
    <w:rsid w:val="4DA8622E"/>
    <w:rsid w:val="4DAE0572"/>
    <w:rsid w:val="4DAE15C6"/>
    <w:rsid w:val="4DAE7818"/>
    <w:rsid w:val="4DB43081"/>
    <w:rsid w:val="4DB632A5"/>
    <w:rsid w:val="4DC66910"/>
    <w:rsid w:val="4DCD7C9F"/>
    <w:rsid w:val="4DCE2B1A"/>
    <w:rsid w:val="4DD23507"/>
    <w:rsid w:val="4DD24EDF"/>
    <w:rsid w:val="4DDC73DC"/>
    <w:rsid w:val="4DDF5C24"/>
    <w:rsid w:val="4DE21C50"/>
    <w:rsid w:val="4DEC4FB0"/>
    <w:rsid w:val="4DED0341"/>
    <w:rsid w:val="4DED6593"/>
    <w:rsid w:val="4DEF6FAE"/>
    <w:rsid w:val="4DFA0CB0"/>
    <w:rsid w:val="4E037B64"/>
    <w:rsid w:val="4E075D8A"/>
    <w:rsid w:val="4E09200C"/>
    <w:rsid w:val="4E0B07C7"/>
    <w:rsid w:val="4E0F6509"/>
    <w:rsid w:val="4E141D71"/>
    <w:rsid w:val="4E1C6E78"/>
    <w:rsid w:val="4E1E674C"/>
    <w:rsid w:val="4E265601"/>
    <w:rsid w:val="4E2B4904"/>
    <w:rsid w:val="4E2D2E33"/>
    <w:rsid w:val="4E2F00CD"/>
    <w:rsid w:val="4E30022D"/>
    <w:rsid w:val="4E3046D1"/>
    <w:rsid w:val="4E30647F"/>
    <w:rsid w:val="4E361CE8"/>
    <w:rsid w:val="4E377A81"/>
    <w:rsid w:val="4E393586"/>
    <w:rsid w:val="4E3C6BD2"/>
    <w:rsid w:val="4E3E294A"/>
    <w:rsid w:val="4E3E386B"/>
    <w:rsid w:val="4E3E6DEE"/>
    <w:rsid w:val="4E41243B"/>
    <w:rsid w:val="4E4B5067"/>
    <w:rsid w:val="4E4E3531"/>
    <w:rsid w:val="4E4F21B5"/>
    <w:rsid w:val="4E5008D0"/>
    <w:rsid w:val="4E516B22"/>
    <w:rsid w:val="4E52289A"/>
    <w:rsid w:val="4E557B71"/>
    <w:rsid w:val="4E593C28"/>
    <w:rsid w:val="4E5B17E2"/>
    <w:rsid w:val="4E612B82"/>
    <w:rsid w:val="4E65437B"/>
    <w:rsid w:val="4E6C0560"/>
    <w:rsid w:val="4E6C5709"/>
    <w:rsid w:val="4E720DB0"/>
    <w:rsid w:val="4E7445BE"/>
    <w:rsid w:val="4E796078"/>
    <w:rsid w:val="4E870795"/>
    <w:rsid w:val="4E87155B"/>
    <w:rsid w:val="4E87437C"/>
    <w:rsid w:val="4E8C2811"/>
    <w:rsid w:val="4E922C96"/>
    <w:rsid w:val="4E9764FE"/>
    <w:rsid w:val="4E9B7D9D"/>
    <w:rsid w:val="4EA43198"/>
    <w:rsid w:val="4EA84268"/>
    <w:rsid w:val="4EAA6232"/>
    <w:rsid w:val="4EAC3D58"/>
    <w:rsid w:val="4EAF3848"/>
    <w:rsid w:val="4EB3158A"/>
    <w:rsid w:val="4EB64BD7"/>
    <w:rsid w:val="4EB81371"/>
    <w:rsid w:val="4EB90223"/>
    <w:rsid w:val="4EBE7F2F"/>
    <w:rsid w:val="4EC72940"/>
    <w:rsid w:val="4EC8490A"/>
    <w:rsid w:val="4EC927B3"/>
    <w:rsid w:val="4ECA68D4"/>
    <w:rsid w:val="4ED355A0"/>
    <w:rsid w:val="4ED3756D"/>
    <w:rsid w:val="4ED432AF"/>
    <w:rsid w:val="4ED4505D"/>
    <w:rsid w:val="4ED92673"/>
    <w:rsid w:val="4ED96B17"/>
    <w:rsid w:val="4EDB288F"/>
    <w:rsid w:val="4EDB4BC8"/>
    <w:rsid w:val="4EDD03B5"/>
    <w:rsid w:val="4EDE412D"/>
    <w:rsid w:val="4EDF257D"/>
    <w:rsid w:val="4EE17099"/>
    <w:rsid w:val="4EE41F76"/>
    <w:rsid w:val="4EE51C25"/>
    <w:rsid w:val="4EE527CC"/>
    <w:rsid w:val="4EE85483"/>
    <w:rsid w:val="4EEA2AD2"/>
    <w:rsid w:val="4EEE25C2"/>
    <w:rsid w:val="4EF474AD"/>
    <w:rsid w:val="4EF94AC3"/>
    <w:rsid w:val="4EFD45B3"/>
    <w:rsid w:val="4F0022F6"/>
    <w:rsid w:val="4F033DD3"/>
    <w:rsid w:val="4F053468"/>
    <w:rsid w:val="4F0C0C9A"/>
    <w:rsid w:val="4F0D4088"/>
    <w:rsid w:val="4F0E4A13"/>
    <w:rsid w:val="4F0E67C1"/>
    <w:rsid w:val="4F1638C7"/>
    <w:rsid w:val="4F18319B"/>
    <w:rsid w:val="4F18763F"/>
    <w:rsid w:val="4F1D07B2"/>
    <w:rsid w:val="4F1D2EA8"/>
    <w:rsid w:val="4F202C68"/>
    <w:rsid w:val="4F2908FF"/>
    <w:rsid w:val="4F29184C"/>
    <w:rsid w:val="4F297FE9"/>
    <w:rsid w:val="4F2D0968"/>
    <w:rsid w:val="4F2E29BF"/>
    <w:rsid w:val="4F334479"/>
    <w:rsid w:val="4F361873"/>
    <w:rsid w:val="4F3855EC"/>
    <w:rsid w:val="4F3B1580"/>
    <w:rsid w:val="4F3D70A6"/>
    <w:rsid w:val="4F4847FE"/>
    <w:rsid w:val="4F495A4B"/>
    <w:rsid w:val="4F4A531F"/>
    <w:rsid w:val="4F4C1097"/>
    <w:rsid w:val="4F50502B"/>
    <w:rsid w:val="4F552641"/>
    <w:rsid w:val="4F5A30F9"/>
    <w:rsid w:val="4F5A7C58"/>
    <w:rsid w:val="4F5B752C"/>
    <w:rsid w:val="4F5F0DCA"/>
    <w:rsid w:val="4F5F701C"/>
    <w:rsid w:val="4F6005A7"/>
    <w:rsid w:val="4F602D94"/>
    <w:rsid w:val="4F636270"/>
    <w:rsid w:val="4F6603AB"/>
    <w:rsid w:val="4F6E3703"/>
    <w:rsid w:val="4F702FD7"/>
    <w:rsid w:val="4F704CF0"/>
    <w:rsid w:val="4F732AC8"/>
    <w:rsid w:val="4F7506C0"/>
    <w:rsid w:val="4F7B197C"/>
    <w:rsid w:val="4F7D3946"/>
    <w:rsid w:val="4F7F321A"/>
    <w:rsid w:val="4F884993"/>
    <w:rsid w:val="4F885589"/>
    <w:rsid w:val="4F8B1BBF"/>
    <w:rsid w:val="4F8E237C"/>
    <w:rsid w:val="4F9A62A6"/>
    <w:rsid w:val="4F9D5D96"/>
    <w:rsid w:val="4FA40ED3"/>
    <w:rsid w:val="4FA54744"/>
    <w:rsid w:val="4FA7451F"/>
    <w:rsid w:val="4FAC7D88"/>
    <w:rsid w:val="4FAD422B"/>
    <w:rsid w:val="4FB01626"/>
    <w:rsid w:val="4FB44097"/>
    <w:rsid w:val="4FBD3D43"/>
    <w:rsid w:val="4FBF7ABB"/>
    <w:rsid w:val="4FC13833"/>
    <w:rsid w:val="4FC357FD"/>
    <w:rsid w:val="4FC43323"/>
    <w:rsid w:val="4FC62A8C"/>
    <w:rsid w:val="4FD96283"/>
    <w:rsid w:val="4FDA2B47"/>
    <w:rsid w:val="4FDD1302"/>
    <w:rsid w:val="4FDE2637"/>
    <w:rsid w:val="4FE20F0D"/>
    <w:rsid w:val="4FE47521"/>
    <w:rsid w:val="4FE87012"/>
    <w:rsid w:val="4FED182E"/>
    <w:rsid w:val="4FED4628"/>
    <w:rsid w:val="4FF37764"/>
    <w:rsid w:val="4FF9121F"/>
    <w:rsid w:val="4FFA5313"/>
    <w:rsid w:val="4FFA6D45"/>
    <w:rsid w:val="4FFD05E3"/>
    <w:rsid w:val="5006393C"/>
    <w:rsid w:val="500656EA"/>
    <w:rsid w:val="500B0F52"/>
    <w:rsid w:val="500D0826"/>
    <w:rsid w:val="50100316"/>
    <w:rsid w:val="501047BA"/>
    <w:rsid w:val="501279DB"/>
    <w:rsid w:val="50153B7F"/>
    <w:rsid w:val="501B6F55"/>
    <w:rsid w:val="501E5995"/>
    <w:rsid w:val="501F67AB"/>
    <w:rsid w:val="50212524"/>
    <w:rsid w:val="502301D1"/>
    <w:rsid w:val="502618E8"/>
    <w:rsid w:val="5026469F"/>
    <w:rsid w:val="502A587C"/>
    <w:rsid w:val="502D2C76"/>
    <w:rsid w:val="503234D1"/>
    <w:rsid w:val="503A5393"/>
    <w:rsid w:val="50446212"/>
    <w:rsid w:val="50454464"/>
    <w:rsid w:val="504637E5"/>
    <w:rsid w:val="504908E4"/>
    <w:rsid w:val="504A4F1C"/>
    <w:rsid w:val="504D156B"/>
    <w:rsid w:val="50503AAD"/>
    <w:rsid w:val="50504C4B"/>
    <w:rsid w:val="50506965"/>
    <w:rsid w:val="5051105B"/>
    <w:rsid w:val="50521F46"/>
    <w:rsid w:val="50546455"/>
    <w:rsid w:val="505521CD"/>
    <w:rsid w:val="50566671"/>
    <w:rsid w:val="50575F45"/>
    <w:rsid w:val="50593A6B"/>
    <w:rsid w:val="505A5A36"/>
    <w:rsid w:val="505C3EB2"/>
    <w:rsid w:val="505C7A00"/>
    <w:rsid w:val="505F4DFA"/>
    <w:rsid w:val="50616DC4"/>
    <w:rsid w:val="506403BE"/>
    <w:rsid w:val="50650662"/>
    <w:rsid w:val="506955FB"/>
    <w:rsid w:val="506A3ECB"/>
    <w:rsid w:val="506B379F"/>
    <w:rsid w:val="506E0C6B"/>
    <w:rsid w:val="506F7733"/>
    <w:rsid w:val="50720FD1"/>
    <w:rsid w:val="50724B2D"/>
    <w:rsid w:val="50753F57"/>
    <w:rsid w:val="5075461D"/>
    <w:rsid w:val="50770396"/>
    <w:rsid w:val="50772144"/>
    <w:rsid w:val="507904F4"/>
    <w:rsid w:val="507A1C34"/>
    <w:rsid w:val="5080549C"/>
    <w:rsid w:val="50867BFF"/>
    <w:rsid w:val="508825A3"/>
    <w:rsid w:val="508B5BEF"/>
    <w:rsid w:val="509176A9"/>
    <w:rsid w:val="509623AA"/>
    <w:rsid w:val="5099030C"/>
    <w:rsid w:val="509947B0"/>
    <w:rsid w:val="509C6E7C"/>
    <w:rsid w:val="509D6FF7"/>
    <w:rsid w:val="509E57AB"/>
    <w:rsid w:val="50A70C7B"/>
    <w:rsid w:val="50A97291"/>
    <w:rsid w:val="50AA42C7"/>
    <w:rsid w:val="50AD3DB7"/>
    <w:rsid w:val="50B43398"/>
    <w:rsid w:val="50B909AE"/>
    <w:rsid w:val="50BE7D72"/>
    <w:rsid w:val="50C15A67"/>
    <w:rsid w:val="50CA3508"/>
    <w:rsid w:val="50CA6717"/>
    <w:rsid w:val="50CD6207"/>
    <w:rsid w:val="50D22EE7"/>
    <w:rsid w:val="50D36B6C"/>
    <w:rsid w:val="50DD32E6"/>
    <w:rsid w:val="50DD469C"/>
    <w:rsid w:val="50E75601"/>
    <w:rsid w:val="50E84F15"/>
    <w:rsid w:val="50E86A91"/>
    <w:rsid w:val="50EA4404"/>
    <w:rsid w:val="50ED0658"/>
    <w:rsid w:val="50EF617E"/>
    <w:rsid w:val="50F432F0"/>
    <w:rsid w:val="50F73284"/>
    <w:rsid w:val="50FE4613"/>
    <w:rsid w:val="51002483"/>
    <w:rsid w:val="5100482F"/>
    <w:rsid w:val="51024103"/>
    <w:rsid w:val="51037E7B"/>
    <w:rsid w:val="510559A1"/>
    <w:rsid w:val="51071719"/>
    <w:rsid w:val="51121E6C"/>
    <w:rsid w:val="51143E36"/>
    <w:rsid w:val="511778D1"/>
    <w:rsid w:val="51192505"/>
    <w:rsid w:val="511D0F3D"/>
    <w:rsid w:val="511D718F"/>
    <w:rsid w:val="51206ED5"/>
    <w:rsid w:val="51220612"/>
    <w:rsid w:val="51226553"/>
    <w:rsid w:val="51271F7E"/>
    <w:rsid w:val="51273B6A"/>
    <w:rsid w:val="51275918"/>
    <w:rsid w:val="51281690"/>
    <w:rsid w:val="5131339E"/>
    <w:rsid w:val="513168B9"/>
    <w:rsid w:val="513358DF"/>
    <w:rsid w:val="5139389D"/>
    <w:rsid w:val="513A0C0E"/>
    <w:rsid w:val="513A6B13"/>
    <w:rsid w:val="513D513B"/>
    <w:rsid w:val="513E0EB3"/>
    <w:rsid w:val="513F5357"/>
    <w:rsid w:val="514566E6"/>
    <w:rsid w:val="51493AE0"/>
    <w:rsid w:val="514A7858"/>
    <w:rsid w:val="514B18D1"/>
    <w:rsid w:val="514D0982"/>
    <w:rsid w:val="514F4E6E"/>
    <w:rsid w:val="51532BB1"/>
    <w:rsid w:val="51576E82"/>
    <w:rsid w:val="515801C7"/>
    <w:rsid w:val="51591E29"/>
    <w:rsid w:val="5160707C"/>
    <w:rsid w:val="5162104E"/>
    <w:rsid w:val="51631640"/>
    <w:rsid w:val="51674A18"/>
    <w:rsid w:val="5167665C"/>
    <w:rsid w:val="516B614C"/>
    <w:rsid w:val="516E6ED8"/>
    <w:rsid w:val="51702517"/>
    <w:rsid w:val="51711289"/>
    <w:rsid w:val="5176064D"/>
    <w:rsid w:val="517B2107"/>
    <w:rsid w:val="517D214D"/>
    <w:rsid w:val="518014CC"/>
    <w:rsid w:val="51874608"/>
    <w:rsid w:val="518A40F8"/>
    <w:rsid w:val="518A5306"/>
    <w:rsid w:val="518B234A"/>
    <w:rsid w:val="519531C9"/>
    <w:rsid w:val="5196484B"/>
    <w:rsid w:val="519A433C"/>
    <w:rsid w:val="519B00B4"/>
    <w:rsid w:val="519F5DF6"/>
    <w:rsid w:val="51A46F68"/>
    <w:rsid w:val="51AE0F7B"/>
    <w:rsid w:val="51B54C13"/>
    <w:rsid w:val="51BA5593"/>
    <w:rsid w:val="51C70EA9"/>
    <w:rsid w:val="51C770FB"/>
    <w:rsid w:val="51CC64BF"/>
    <w:rsid w:val="51DD06CC"/>
    <w:rsid w:val="51DD247A"/>
    <w:rsid w:val="51DF4444"/>
    <w:rsid w:val="51E33C89"/>
    <w:rsid w:val="51E41A5B"/>
    <w:rsid w:val="51E65239"/>
    <w:rsid w:val="51EE0B2B"/>
    <w:rsid w:val="51EE28D9"/>
    <w:rsid w:val="51F1661C"/>
    <w:rsid w:val="51F25BDA"/>
    <w:rsid w:val="51FB0B52"/>
    <w:rsid w:val="5201085F"/>
    <w:rsid w:val="5204431E"/>
    <w:rsid w:val="52045C59"/>
    <w:rsid w:val="52045EDF"/>
    <w:rsid w:val="52075749"/>
    <w:rsid w:val="52097713"/>
    <w:rsid w:val="520B348B"/>
    <w:rsid w:val="520D7203"/>
    <w:rsid w:val="520E4D2A"/>
    <w:rsid w:val="52122037"/>
    <w:rsid w:val="5215365D"/>
    <w:rsid w:val="521560B8"/>
    <w:rsid w:val="52181704"/>
    <w:rsid w:val="521A547C"/>
    <w:rsid w:val="521C7446"/>
    <w:rsid w:val="521E2410"/>
    <w:rsid w:val="5221680B"/>
    <w:rsid w:val="52217969"/>
    <w:rsid w:val="52224331"/>
    <w:rsid w:val="522400A9"/>
    <w:rsid w:val="52244433"/>
    <w:rsid w:val="5227544C"/>
    <w:rsid w:val="52287B99"/>
    <w:rsid w:val="522D1654"/>
    <w:rsid w:val="522E717A"/>
    <w:rsid w:val="52320A18"/>
    <w:rsid w:val="52374C03"/>
    <w:rsid w:val="5237602E"/>
    <w:rsid w:val="52383B54"/>
    <w:rsid w:val="52416EAD"/>
    <w:rsid w:val="524244DF"/>
    <w:rsid w:val="52462715"/>
    <w:rsid w:val="524644C3"/>
    <w:rsid w:val="52483D98"/>
    <w:rsid w:val="524D13AE"/>
    <w:rsid w:val="524E2FBC"/>
    <w:rsid w:val="524E5126"/>
    <w:rsid w:val="52500E9E"/>
    <w:rsid w:val="525057AA"/>
    <w:rsid w:val="525210BA"/>
    <w:rsid w:val="525700B0"/>
    <w:rsid w:val="52574ECB"/>
    <w:rsid w:val="525941F7"/>
    <w:rsid w:val="525B6CEF"/>
    <w:rsid w:val="525E35BB"/>
    <w:rsid w:val="52636E23"/>
    <w:rsid w:val="52650DED"/>
    <w:rsid w:val="526515A2"/>
    <w:rsid w:val="526F3A1A"/>
    <w:rsid w:val="527A33E5"/>
    <w:rsid w:val="52850AA4"/>
    <w:rsid w:val="528943B0"/>
    <w:rsid w:val="528B637A"/>
    <w:rsid w:val="528C45CC"/>
    <w:rsid w:val="528D3EA0"/>
    <w:rsid w:val="528E597D"/>
    <w:rsid w:val="528F1410"/>
    <w:rsid w:val="52903990"/>
    <w:rsid w:val="52961E90"/>
    <w:rsid w:val="529671F9"/>
    <w:rsid w:val="52A64F62"/>
    <w:rsid w:val="52A80CDA"/>
    <w:rsid w:val="52A86F2C"/>
    <w:rsid w:val="52B21B59"/>
    <w:rsid w:val="52B4142D"/>
    <w:rsid w:val="52C33D66"/>
    <w:rsid w:val="52C5188C"/>
    <w:rsid w:val="52C553E8"/>
    <w:rsid w:val="52C8137C"/>
    <w:rsid w:val="52CA50F4"/>
    <w:rsid w:val="52D27B05"/>
    <w:rsid w:val="52D4387D"/>
    <w:rsid w:val="52D73AAB"/>
    <w:rsid w:val="52DD7B03"/>
    <w:rsid w:val="52E53CDC"/>
    <w:rsid w:val="52EB0BC7"/>
    <w:rsid w:val="52EC33C3"/>
    <w:rsid w:val="52F1442F"/>
    <w:rsid w:val="52F201A7"/>
    <w:rsid w:val="52F67C97"/>
    <w:rsid w:val="52FD1026"/>
    <w:rsid w:val="52FE6B4C"/>
    <w:rsid w:val="5302488E"/>
    <w:rsid w:val="530D4FE1"/>
    <w:rsid w:val="530E3233"/>
    <w:rsid w:val="5310069C"/>
    <w:rsid w:val="532559D6"/>
    <w:rsid w:val="532A16EF"/>
    <w:rsid w:val="532E7431"/>
    <w:rsid w:val="532F31A9"/>
    <w:rsid w:val="5330338D"/>
    <w:rsid w:val="53312A7E"/>
    <w:rsid w:val="53397B84"/>
    <w:rsid w:val="533D58C6"/>
    <w:rsid w:val="533E33EC"/>
    <w:rsid w:val="534053B7"/>
    <w:rsid w:val="53424C8B"/>
    <w:rsid w:val="53563F10"/>
    <w:rsid w:val="535B7AFB"/>
    <w:rsid w:val="535D1AC5"/>
    <w:rsid w:val="535E4EAC"/>
    <w:rsid w:val="535F3A8F"/>
    <w:rsid w:val="53605111"/>
    <w:rsid w:val="536270DB"/>
    <w:rsid w:val="53654E1D"/>
    <w:rsid w:val="53666D3F"/>
    <w:rsid w:val="536746F1"/>
    <w:rsid w:val="53682217"/>
    <w:rsid w:val="536A41E2"/>
    <w:rsid w:val="536E5A80"/>
    <w:rsid w:val="53715570"/>
    <w:rsid w:val="53764934"/>
    <w:rsid w:val="53803A05"/>
    <w:rsid w:val="53853AFB"/>
    <w:rsid w:val="53874D93"/>
    <w:rsid w:val="538A6632"/>
    <w:rsid w:val="538E7ED0"/>
    <w:rsid w:val="538F3C48"/>
    <w:rsid w:val="538F56F6"/>
    <w:rsid w:val="53936B24"/>
    <w:rsid w:val="5394125E"/>
    <w:rsid w:val="539579A4"/>
    <w:rsid w:val="53964FD7"/>
    <w:rsid w:val="539F2B53"/>
    <w:rsid w:val="53A039CC"/>
    <w:rsid w:val="53A1505A"/>
    <w:rsid w:val="53A169D4"/>
    <w:rsid w:val="53A21BCD"/>
    <w:rsid w:val="53A45945"/>
    <w:rsid w:val="53AA4158"/>
    <w:rsid w:val="53AE2320"/>
    <w:rsid w:val="53B4172F"/>
    <w:rsid w:val="53B62ECA"/>
    <w:rsid w:val="53B92A73"/>
    <w:rsid w:val="53BF452D"/>
    <w:rsid w:val="53C20A91"/>
    <w:rsid w:val="53C25DCC"/>
    <w:rsid w:val="53C32D17"/>
    <w:rsid w:val="53C64D9B"/>
    <w:rsid w:val="53CB1124"/>
    <w:rsid w:val="53D14261"/>
    <w:rsid w:val="53D16DE3"/>
    <w:rsid w:val="53D55AFF"/>
    <w:rsid w:val="53D61877"/>
    <w:rsid w:val="53DD08D8"/>
    <w:rsid w:val="53E05348"/>
    <w:rsid w:val="53E2021C"/>
    <w:rsid w:val="53E43F94"/>
    <w:rsid w:val="53E61ABA"/>
    <w:rsid w:val="53E92248"/>
    <w:rsid w:val="53EB5322"/>
    <w:rsid w:val="53F81956"/>
    <w:rsid w:val="53FF49A6"/>
    <w:rsid w:val="5400590F"/>
    <w:rsid w:val="540168F4"/>
    <w:rsid w:val="540208BE"/>
    <w:rsid w:val="540463E4"/>
    <w:rsid w:val="54063E08"/>
    <w:rsid w:val="54091C4C"/>
    <w:rsid w:val="540B7773"/>
    <w:rsid w:val="540D34EB"/>
    <w:rsid w:val="541D1254"/>
    <w:rsid w:val="541F321E"/>
    <w:rsid w:val="541F4FCC"/>
    <w:rsid w:val="5428092D"/>
    <w:rsid w:val="542A5BF1"/>
    <w:rsid w:val="542B3971"/>
    <w:rsid w:val="542D76E9"/>
    <w:rsid w:val="542E520F"/>
    <w:rsid w:val="543162F7"/>
    <w:rsid w:val="543437E8"/>
    <w:rsid w:val="543547EF"/>
    <w:rsid w:val="5435659E"/>
    <w:rsid w:val="54370568"/>
    <w:rsid w:val="54377B7E"/>
    <w:rsid w:val="5438706C"/>
    <w:rsid w:val="54387E3C"/>
    <w:rsid w:val="544D1B39"/>
    <w:rsid w:val="544D7D8B"/>
    <w:rsid w:val="54520EFE"/>
    <w:rsid w:val="545C7FCE"/>
    <w:rsid w:val="545D78A2"/>
    <w:rsid w:val="5461213E"/>
    <w:rsid w:val="546155E5"/>
    <w:rsid w:val="546159B3"/>
    <w:rsid w:val="54617393"/>
    <w:rsid w:val="54660E4D"/>
    <w:rsid w:val="54684BC5"/>
    <w:rsid w:val="546B0211"/>
    <w:rsid w:val="546B4BDF"/>
    <w:rsid w:val="546B6463"/>
    <w:rsid w:val="546E7D01"/>
    <w:rsid w:val="54770964"/>
    <w:rsid w:val="547A0454"/>
    <w:rsid w:val="547A48F8"/>
    <w:rsid w:val="54857525"/>
    <w:rsid w:val="548B440F"/>
    <w:rsid w:val="548E5CAE"/>
    <w:rsid w:val="548F594D"/>
    <w:rsid w:val="54936E88"/>
    <w:rsid w:val="54971006"/>
    <w:rsid w:val="54990ADB"/>
    <w:rsid w:val="549B6D34"/>
    <w:rsid w:val="54A6749B"/>
    <w:rsid w:val="54A85393"/>
    <w:rsid w:val="54AB6860"/>
    <w:rsid w:val="54B03EEA"/>
    <w:rsid w:val="54B25E40"/>
    <w:rsid w:val="54B5164D"/>
    <w:rsid w:val="54B60678"/>
    <w:rsid w:val="54BB2F47"/>
    <w:rsid w:val="54BC0A6D"/>
    <w:rsid w:val="54BC6CBF"/>
    <w:rsid w:val="54C00390"/>
    <w:rsid w:val="54C17E31"/>
    <w:rsid w:val="54C33BA9"/>
    <w:rsid w:val="54C37597"/>
    <w:rsid w:val="54C60539"/>
    <w:rsid w:val="54C70191"/>
    <w:rsid w:val="54C87412"/>
    <w:rsid w:val="54CA13DC"/>
    <w:rsid w:val="54CD2165"/>
    <w:rsid w:val="54CD2404"/>
    <w:rsid w:val="54CE5923"/>
    <w:rsid w:val="54CE6966"/>
    <w:rsid w:val="54D172DA"/>
    <w:rsid w:val="54D97871"/>
    <w:rsid w:val="54DA7145"/>
    <w:rsid w:val="54DB5397"/>
    <w:rsid w:val="54E16725"/>
    <w:rsid w:val="54E24AD7"/>
    <w:rsid w:val="54E46ED9"/>
    <w:rsid w:val="54EA19CC"/>
    <w:rsid w:val="54EA6368"/>
    <w:rsid w:val="54EB1352"/>
    <w:rsid w:val="54EB72AE"/>
    <w:rsid w:val="54EE1700"/>
    <w:rsid w:val="54F010B9"/>
    <w:rsid w:val="54F14BBA"/>
    <w:rsid w:val="54F16968"/>
    <w:rsid w:val="54F71AA5"/>
    <w:rsid w:val="54F86BA1"/>
    <w:rsid w:val="55050666"/>
    <w:rsid w:val="55052414"/>
    <w:rsid w:val="550A7A2A"/>
    <w:rsid w:val="550C37A2"/>
    <w:rsid w:val="550D751A"/>
    <w:rsid w:val="55116D87"/>
    <w:rsid w:val="55191A1B"/>
    <w:rsid w:val="551D57DB"/>
    <w:rsid w:val="55254864"/>
    <w:rsid w:val="552B0F6D"/>
    <w:rsid w:val="55384597"/>
    <w:rsid w:val="553D1BAE"/>
    <w:rsid w:val="553D6B7E"/>
    <w:rsid w:val="55424033"/>
    <w:rsid w:val="55432F3C"/>
    <w:rsid w:val="554967A4"/>
    <w:rsid w:val="554B0437"/>
    <w:rsid w:val="554B0F1D"/>
    <w:rsid w:val="554C7040"/>
    <w:rsid w:val="554E3DBB"/>
    <w:rsid w:val="554E7A8C"/>
    <w:rsid w:val="554F18E1"/>
    <w:rsid w:val="554F5B03"/>
    <w:rsid w:val="555313D1"/>
    <w:rsid w:val="5553570E"/>
    <w:rsid w:val="555869E7"/>
    <w:rsid w:val="555962BC"/>
    <w:rsid w:val="55620AD4"/>
    <w:rsid w:val="55652944"/>
    <w:rsid w:val="5566599F"/>
    <w:rsid w:val="556A671B"/>
    <w:rsid w:val="556C5FEF"/>
    <w:rsid w:val="557650C0"/>
    <w:rsid w:val="557C1FAA"/>
    <w:rsid w:val="557F21C6"/>
    <w:rsid w:val="55801A9A"/>
    <w:rsid w:val="558570B1"/>
    <w:rsid w:val="558772CD"/>
    <w:rsid w:val="55894DF3"/>
    <w:rsid w:val="558C6691"/>
    <w:rsid w:val="558F6A10"/>
    <w:rsid w:val="559106BB"/>
    <w:rsid w:val="55914F40"/>
    <w:rsid w:val="55935C72"/>
    <w:rsid w:val="559B174B"/>
    <w:rsid w:val="559D43FA"/>
    <w:rsid w:val="55A03EEB"/>
    <w:rsid w:val="55A27C63"/>
    <w:rsid w:val="55A41C2D"/>
    <w:rsid w:val="55A75279"/>
    <w:rsid w:val="55A9466F"/>
    <w:rsid w:val="55AC6D33"/>
    <w:rsid w:val="55AE6607"/>
    <w:rsid w:val="55B160F8"/>
    <w:rsid w:val="55B17EA6"/>
    <w:rsid w:val="55B856D8"/>
    <w:rsid w:val="55BF6A67"/>
    <w:rsid w:val="55C207CD"/>
    <w:rsid w:val="55C55AC1"/>
    <w:rsid w:val="55C67DF5"/>
    <w:rsid w:val="55C7591B"/>
    <w:rsid w:val="55C776C9"/>
    <w:rsid w:val="55C94D0E"/>
    <w:rsid w:val="55CE0CF4"/>
    <w:rsid w:val="55D02A22"/>
    <w:rsid w:val="55D3606E"/>
    <w:rsid w:val="55D41DE6"/>
    <w:rsid w:val="55D6790C"/>
    <w:rsid w:val="55D818D6"/>
    <w:rsid w:val="55DD6EED"/>
    <w:rsid w:val="55E6461A"/>
    <w:rsid w:val="55E93AE3"/>
    <w:rsid w:val="55EA33B8"/>
    <w:rsid w:val="55EA5788"/>
    <w:rsid w:val="55EB160A"/>
    <w:rsid w:val="55F304BE"/>
    <w:rsid w:val="55F54236"/>
    <w:rsid w:val="55FF3307"/>
    <w:rsid w:val="56002BDB"/>
    <w:rsid w:val="560921A1"/>
    <w:rsid w:val="560E52F8"/>
    <w:rsid w:val="56130B60"/>
    <w:rsid w:val="56140E4F"/>
    <w:rsid w:val="56156687"/>
    <w:rsid w:val="561641AD"/>
    <w:rsid w:val="561A1EEF"/>
    <w:rsid w:val="561A3C9D"/>
    <w:rsid w:val="561D19DF"/>
    <w:rsid w:val="56237FD6"/>
    <w:rsid w:val="562E14F6"/>
    <w:rsid w:val="562F67CA"/>
    <w:rsid w:val="563053E6"/>
    <w:rsid w:val="56332FB1"/>
    <w:rsid w:val="56356D29"/>
    <w:rsid w:val="563740DE"/>
    <w:rsid w:val="563A433F"/>
    <w:rsid w:val="563F3703"/>
    <w:rsid w:val="5641747C"/>
    <w:rsid w:val="56424FA2"/>
    <w:rsid w:val="564B02FA"/>
    <w:rsid w:val="564B654C"/>
    <w:rsid w:val="564C327E"/>
    <w:rsid w:val="56502E20"/>
    <w:rsid w:val="56505911"/>
    <w:rsid w:val="56513437"/>
    <w:rsid w:val="565151E5"/>
    <w:rsid w:val="56526D83"/>
    <w:rsid w:val="5666172C"/>
    <w:rsid w:val="56665134"/>
    <w:rsid w:val="56666EE2"/>
    <w:rsid w:val="56674A08"/>
    <w:rsid w:val="566D3E5D"/>
    <w:rsid w:val="566D52ED"/>
    <w:rsid w:val="56717635"/>
    <w:rsid w:val="567710EF"/>
    <w:rsid w:val="56794E67"/>
    <w:rsid w:val="567A6461"/>
    <w:rsid w:val="567F3F36"/>
    <w:rsid w:val="567F7FA4"/>
    <w:rsid w:val="56847368"/>
    <w:rsid w:val="56867584"/>
    <w:rsid w:val="56867733"/>
    <w:rsid w:val="568832FC"/>
    <w:rsid w:val="568A7075"/>
    <w:rsid w:val="568B06F7"/>
    <w:rsid w:val="568B6949"/>
    <w:rsid w:val="568D0913"/>
    <w:rsid w:val="56905D0D"/>
    <w:rsid w:val="5691462E"/>
    <w:rsid w:val="56925F29"/>
    <w:rsid w:val="56927CD7"/>
    <w:rsid w:val="56962345"/>
    <w:rsid w:val="569C0B56"/>
    <w:rsid w:val="569F0646"/>
    <w:rsid w:val="56A31EE4"/>
    <w:rsid w:val="56A93273"/>
    <w:rsid w:val="56A96DCF"/>
    <w:rsid w:val="56AE4F0A"/>
    <w:rsid w:val="56B0015D"/>
    <w:rsid w:val="56B13CD2"/>
    <w:rsid w:val="56B14607"/>
    <w:rsid w:val="56B22A9C"/>
    <w:rsid w:val="56BE6D1E"/>
    <w:rsid w:val="56C50A07"/>
    <w:rsid w:val="56C63515"/>
    <w:rsid w:val="56C67981"/>
    <w:rsid w:val="56C9121F"/>
    <w:rsid w:val="56CA3778"/>
    <w:rsid w:val="56CD6741"/>
    <w:rsid w:val="56CE62D0"/>
    <w:rsid w:val="56D54257"/>
    <w:rsid w:val="56D7393C"/>
    <w:rsid w:val="56D976B4"/>
    <w:rsid w:val="56D97F48"/>
    <w:rsid w:val="56DA167E"/>
    <w:rsid w:val="56DF0A43"/>
    <w:rsid w:val="56EE5B8F"/>
    <w:rsid w:val="56EF512A"/>
    <w:rsid w:val="56F42740"/>
    <w:rsid w:val="56F73FDE"/>
    <w:rsid w:val="56FC33A3"/>
    <w:rsid w:val="56FE35BF"/>
    <w:rsid w:val="57007337"/>
    <w:rsid w:val="570606C5"/>
    <w:rsid w:val="57064221"/>
    <w:rsid w:val="570A1F63"/>
    <w:rsid w:val="57106E4E"/>
    <w:rsid w:val="57122BC6"/>
    <w:rsid w:val="5714693E"/>
    <w:rsid w:val="57154464"/>
    <w:rsid w:val="57196706"/>
    <w:rsid w:val="571B7CCD"/>
    <w:rsid w:val="5721105B"/>
    <w:rsid w:val="57250B4B"/>
    <w:rsid w:val="57270A88"/>
    <w:rsid w:val="572C2786"/>
    <w:rsid w:val="572F127F"/>
    <w:rsid w:val="572F3778"/>
    <w:rsid w:val="57313A27"/>
    <w:rsid w:val="57325016"/>
    <w:rsid w:val="57364B06"/>
    <w:rsid w:val="573963A5"/>
    <w:rsid w:val="573E7E5F"/>
    <w:rsid w:val="573F15EA"/>
    <w:rsid w:val="57430FD1"/>
    <w:rsid w:val="57456BD3"/>
    <w:rsid w:val="57476652"/>
    <w:rsid w:val="57482A8C"/>
    <w:rsid w:val="574C257C"/>
    <w:rsid w:val="574F5BC8"/>
    <w:rsid w:val="57541431"/>
    <w:rsid w:val="575B27BF"/>
    <w:rsid w:val="575B456D"/>
    <w:rsid w:val="575B774B"/>
    <w:rsid w:val="575D644F"/>
    <w:rsid w:val="57601B83"/>
    <w:rsid w:val="57607DD5"/>
    <w:rsid w:val="57623B4D"/>
    <w:rsid w:val="57631674"/>
    <w:rsid w:val="57672F12"/>
    <w:rsid w:val="57680A38"/>
    <w:rsid w:val="57682711"/>
    <w:rsid w:val="57686C8A"/>
    <w:rsid w:val="576B22D6"/>
    <w:rsid w:val="576C64D8"/>
    <w:rsid w:val="576F0018"/>
    <w:rsid w:val="57727B09"/>
    <w:rsid w:val="5774562F"/>
    <w:rsid w:val="57762B00"/>
    <w:rsid w:val="57776ECD"/>
    <w:rsid w:val="577949F3"/>
    <w:rsid w:val="577B4C0F"/>
    <w:rsid w:val="577C44E3"/>
    <w:rsid w:val="577D0987"/>
    <w:rsid w:val="57833AC4"/>
    <w:rsid w:val="57882E88"/>
    <w:rsid w:val="578C0BCA"/>
    <w:rsid w:val="578F2469"/>
    <w:rsid w:val="578F4217"/>
    <w:rsid w:val="57904B13"/>
    <w:rsid w:val="579161E1"/>
    <w:rsid w:val="579B705F"/>
    <w:rsid w:val="579D05A5"/>
    <w:rsid w:val="579E26AC"/>
    <w:rsid w:val="579E445A"/>
    <w:rsid w:val="57A001D2"/>
    <w:rsid w:val="57A203EE"/>
    <w:rsid w:val="57AB72DA"/>
    <w:rsid w:val="57AC6B77"/>
    <w:rsid w:val="57AE6D93"/>
    <w:rsid w:val="57AF2B0B"/>
    <w:rsid w:val="57B65C47"/>
    <w:rsid w:val="57B72A76"/>
    <w:rsid w:val="57BB7557"/>
    <w:rsid w:val="57BC2B32"/>
    <w:rsid w:val="57BE194A"/>
    <w:rsid w:val="57C049B1"/>
    <w:rsid w:val="57C10AC3"/>
    <w:rsid w:val="57C2639A"/>
    <w:rsid w:val="57C96694"/>
    <w:rsid w:val="57CA524F"/>
    <w:rsid w:val="57CA7FC1"/>
    <w:rsid w:val="57CD4D3F"/>
    <w:rsid w:val="57D12A81"/>
    <w:rsid w:val="57D32355"/>
    <w:rsid w:val="57D4589F"/>
    <w:rsid w:val="57D86F9C"/>
    <w:rsid w:val="57D91936"/>
    <w:rsid w:val="57DA3E17"/>
    <w:rsid w:val="57DD31D4"/>
    <w:rsid w:val="57E427B4"/>
    <w:rsid w:val="57E502DB"/>
    <w:rsid w:val="57E52089"/>
    <w:rsid w:val="57E75E01"/>
    <w:rsid w:val="57EC3417"/>
    <w:rsid w:val="57F56CC7"/>
    <w:rsid w:val="57FD5624"/>
    <w:rsid w:val="57FE314A"/>
    <w:rsid w:val="58000703"/>
    <w:rsid w:val="58021527"/>
    <w:rsid w:val="58027680"/>
    <w:rsid w:val="58042493"/>
    <w:rsid w:val="580764A3"/>
    <w:rsid w:val="58077BB0"/>
    <w:rsid w:val="580F2368"/>
    <w:rsid w:val="581110D0"/>
    <w:rsid w:val="5814471C"/>
    <w:rsid w:val="581B5AAA"/>
    <w:rsid w:val="581F1A3E"/>
    <w:rsid w:val="58215A55"/>
    <w:rsid w:val="58256929"/>
    <w:rsid w:val="58273B30"/>
    <w:rsid w:val="5827444F"/>
    <w:rsid w:val="582B03E3"/>
    <w:rsid w:val="582B57B9"/>
    <w:rsid w:val="582E7AAF"/>
    <w:rsid w:val="582F7D68"/>
    <w:rsid w:val="583077A8"/>
    <w:rsid w:val="58315248"/>
    <w:rsid w:val="583542BF"/>
    <w:rsid w:val="583628E4"/>
    <w:rsid w:val="583E06A5"/>
    <w:rsid w:val="583F3E8F"/>
    <w:rsid w:val="584204B6"/>
    <w:rsid w:val="58421289"/>
    <w:rsid w:val="584274DB"/>
    <w:rsid w:val="58432AE1"/>
    <w:rsid w:val="58496ABB"/>
    <w:rsid w:val="584E019A"/>
    <w:rsid w:val="5851771E"/>
    <w:rsid w:val="585B059D"/>
    <w:rsid w:val="586438F5"/>
    <w:rsid w:val="586C27AA"/>
    <w:rsid w:val="586D5636"/>
    <w:rsid w:val="58704048"/>
    <w:rsid w:val="58737694"/>
    <w:rsid w:val="5875165E"/>
    <w:rsid w:val="5875340D"/>
    <w:rsid w:val="587753D7"/>
    <w:rsid w:val="58783407"/>
    <w:rsid w:val="58791C73"/>
    <w:rsid w:val="58816255"/>
    <w:rsid w:val="58847AF3"/>
    <w:rsid w:val="588E0972"/>
    <w:rsid w:val="589046EA"/>
    <w:rsid w:val="58923090"/>
    <w:rsid w:val="589870FB"/>
    <w:rsid w:val="589C1963"/>
    <w:rsid w:val="589C4E3D"/>
    <w:rsid w:val="589E10DE"/>
    <w:rsid w:val="58A106A5"/>
    <w:rsid w:val="58A3441E"/>
    <w:rsid w:val="58A610F9"/>
    <w:rsid w:val="58AB1524"/>
    <w:rsid w:val="58AB5080"/>
    <w:rsid w:val="58AD0727"/>
    <w:rsid w:val="58AE691E"/>
    <w:rsid w:val="58B303D9"/>
    <w:rsid w:val="58B57CAD"/>
    <w:rsid w:val="58B73A25"/>
    <w:rsid w:val="58B959EF"/>
    <w:rsid w:val="58BC54DF"/>
    <w:rsid w:val="58BE32CF"/>
    <w:rsid w:val="58CD2411"/>
    <w:rsid w:val="58D04AE7"/>
    <w:rsid w:val="58D2085F"/>
    <w:rsid w:val="58D345D7"/>
    <w:rsid w:val="58D42829"/>
    <w:rsid w:val="58D74519"/>
    <w:rsid w:val="58DA7713"/>
    <w:rsid w:val="58DF2F7C"/>
    <w:rsid w:val="58E14F46"/>
    <w:rsid w:val="58E16CF4"/>
    <w:rsid w:val="58E90251"/>
    <w:rsid w:val="58EE169B"/>
    <w:rsid w:val="58EE31BF"/>
    <w:rsid w:val="58F06F37"/>
    <w:rsid w:val="58F509F1"/>
    <w:rsid w:val="58F5279F"/>
    <w:rsid w:val="59044790"/>
    <w:rsid w:val="590649AC"/>
    <w:rsid w:val="59077622"/>
    <w:rsid w:val="590824D3"/>
    <w:rsid w:val="590A1848"/>
    <w:rsid w:val="590A49E9"/>
    <w:rsid w:val="590D5D3B"/>
    <w:rsid w:val="590D7AE9"/>
    <w:rsid w:val="590F3E15"/>
    <w:rsid w:val="591075D9"/>
    <w:rsid w:val="591250FF"/>
    <w:rsid w:val="59142C25"/>
    <w:rsid w:val="5915699E"/>
    <w:rsid w:val="591623EB"/>
    <w:rsid w:val="591946E0"/>
    <w:rsid w:val="591C2557"/>
    <w:rsid w:val="591C7D2C"/>
    <w:rsid w:val="591F6730"/>
    <w:rsid w:val="592310BA"/>
    <w:rsid w:val="59282B75"/>
    <w:rsid w:val="592D1D9B"/>
    <w:rsid w:val="593212FE"/>
    <w:rsid w:val="59350DEE"/>
    <w:rsid w:val="59352B9C"/>
    <w:rsid w:val="59372DB8"/>
    <w:rsid w:val="593A6404"/>
    <w:rsid w:val="593E7CA2"/>
    <w:rsid w:val="593F3A1A"/>
    <w:rsid w:val="59411DC7"/>
    <w:rsid w:val="5943350B"/>
    <w:rsid w:val="59464DA9"/>
    <w:rsid w:val="594A4899"/>
    <w:rsid w:val="59527BF2"/>
    <w:rsid w:val="59544FF5"/>
    <w:rsid w:val="595A2F5E"/>
    <w:rsid w:val="595B4CF8"/>
    <w:rsid w:val="595B6AA6"/>
    <w:rsid w:val="59653481"/>
    <w:rsid w:val="596A6FB5"/>
    <w:rsid w:val="596D0588"/>
    <w:rsid w:val="596D2336"/>
    <w:rsid w:val="596D67DA"/>
    <w:rsid w:val="597263D6"/>
    <w:rsid w:val="59796F2C"/>
    <w:rsid w:val="5980650D"/>
    <w:rsid w:val="59822285"/>
    <w:rsid w:val="598237B0"/>
    <w:rsid w:val="598633F7"/>
    <w:rsid w:val="5987789B"/>
    <w:rsid w:val="5988716F"/>
    <w:rsid w:val="598A738C"/>
    <w:rsid w:val="598B25B9"/>
    <w:rsid w:val="598B7AD8"/>
    <w:rsid w:val="598D29D8"/>
    <w:rsid w:val="5991071A"/>
    <w:rsid w:val="599124C8"/>
    <w:rsid w:val="5999312B"/>
    <w:rsid w:val="599B7E48"/>
    <w:rsid w:val="599C2C1B"/>
    <w:rsid w:val="599C4367"/>
    <w:rsid w:val="599E2524"/>
    <w:rsid w:val="59A246D5"/>
    <w:rsid w:val="59A541C5"/>
    <w:rsid w:val="59A57D21"/>
    <w:rsid w:val="59A850C5"/>
    <w:rsid w:val="59A87812"/>
    <w:rsid w:val="59A939DF"/>
    <w:rsid w:val="59AA453F"/>
    <w:rsid w:val="59AA5338"/>
    <w:rsid w:val="59AC7302"/>
    <w:rsid w:val="59AF6DF2"/>
    <w:rsid w:val="59B14918"/>
    <w:rsid w:val="59B2243E"/>
    <w:rsid w:val="59B526F2"/>
    <w:rsid w:val="59B63CDD"/>
    <w:rsid w:val="59BB5797"/>
    <w:rsid w:val="59BE231D"/>
    <w:rsid w:val="59BE7035"/>
    <w:rsid w:val="59C12681"/>
    <w:rsid w:val="59C3464B"/>
    <w:rsid w:val="59C77C98"/>
    <w:rsid w:val="59C82CB8"/>
    <w:rsid w:val="59C97EB4"/>
    <w:rsid w:val="59CA7788"/>
    <w:rsid w:val="59CF4D9E"/>
    <w:rsid w:val="59D03A04"/>
    <w:rsid w:val="59D12BC9"/>
    <w:rsid w:val="59D2488F"/>
    <w:rsid w:val="59D57095"/>
    <w:rsid w:val="59DD6583"/>
    <w:rsid w:val="59E051FD"/>
    <w:rsid w:val="59E51BA8"/>
    <w:rsid w:val="59E7658C"/>
    <w:rsid w:val="59EA1BD8"/>
    <w:rsid w:val="59EC3BA2"/>
    <w:rsid w:val="59EC5950"/>
    <w:rsid w:val="59EC76FE"/>
    <w:rsid w:val="59F6007B"/>
    <w:rsid w:val="59F73AC1"/>
    <w:rsid w:val="59F8263F"/>
    <w:rsid w:val="5A00764E"/>
    <w:rsid w:val="5A094754"/>
    <w:rsid w:val="5A0C5FF2"/>
    <w:rsid w:val="5A113609"/>
    <w:rsid w:val="5A1629CD"/>
    <w:rsid w:val="5A1E1882"/>
    <w:rsid w:val="5A2275C4"/>
    <w:rsid w:val="5A277C43"/>
    <w:rsid w:val="5A296BA4"/>
    <w:rsid w:val="5A2E1F00"/>
    <w:rsid w:val="5A306BA3"/>
    <w:rsid w:val="5A3115B5"/>
    <w:rsid w:val="5A380B96"/>
    <w:rsid w:val="5A3A490E"/>
    <w:rsid w:val="5A3C747D"/>
    <w:rsid w:val="5A3D61AC"/>
    <w:rsid w:val="5A3D7F5A"/>
    <w:rsid w:val="5A407A4A"/>
    <w:rsid w:val="5A4455DB"/>
    <w:rsid w:val="5A4532B2"/>
    <w:rsid w:val="5A490FF5"/>
    <w:rsid w:val="5A4A4609"/>
    <w:rsid w:val="5A50597F"/>
    <w:rsid w:val="5A5215F9"/>
    <w:rsid w:val="5A555C7D"/>
    <w:rsid w:val="5A6019BB"/>
    <w:rsid w:val="5A6730BD"/>
    <w:rsid w:val="5A6951F3"/>
    <w:rsid w:val="5A6E45B7"/>
    <w:rsid w:val="5A716D8E"/>
    <w:rsid w:val="5A72070E"/>
    <w:rsid w:val="5A7410C5"/>
    <w:rsid w:val="5A805270"/>
    <w:rsid w:val="5A875679"/>
    <w:rsid w:val="5A89083A"/>
    <w:rsid w:val="5A8913F1"/>
    <w:rsid w:val="5A8C2C8F"/>
    <w:rsid w:val="5A902780"/>
    <w:rsid w:val="5A951B44"/>
    <w:rsid w:val="5A971D60"/>
    <w:rsid w:val="5A9C7376"/>
    <w:rsid w:val="5AA13774"/>
    <w:rsid w:val="5AA1498D"/>
    <w:rsid w:val="5AA47FD9"/>
    <w:rsid w:val="5AB02E22"/>
    <w:rsid w:val="5AB3021C"/>
    <w:rsid w:val="5ABC3575"/>
    <w:rsid w:val="5ABE2233"/>
    <w:rsid w:val="5ABF12B7"/>
    <w:rsid w:val="5AC02939"/>
    <w:rsid w:val="5AC061CA"/>
    <w:rsid w:val="5AC81FAD"/>
    <w:rsid w:val="5ACD5782"/>
    <w:rsid w:val="5ACD7DA0"/>
    <w:rsid w:val="5AD22D98"/>
    <w:rsid w:val="5AD52888"/>
    <w:rsid w:val="5AD63B1B"/>
    <w:rsid w:val="5ADA1D1F"/>
    <w:rsid w:val="5AE55CE6"/>
    <w:rsid w:val="5AE605F2"/>
    <w:rsid w:val="5AEC41CD"/>
    <w:rsid w:val="5AF160F4"/>
    <w:rsid w:val="5AF30F60"/>
    <w:rsid w:val="5AF32C10"/>
    <w:rsid w:val="5AF56A87"/>
    <w:rsid w:val="5AFC6067"/>
    <w:rsid w:val="5AFC7E15"/>
    <w:rsid w:val="5AFE1DDF"/>
    <w:rsid w:val="5AFE3B8D"/>
    <w:rsid w:val="5B01542B"/>
    <w:rsid w:val="5B070568"/>
    <w:rsid w:val="5B0B62AA"/>
    <w:rsid w:val="5B1769FD"/>
    <w:rsid w:val="5B1909C7"/>
    <w:rsid w:val="5B1F079D"/>
    <w:rsid w:val="5B1F58B2"/>
    <w:rsid w:val="5B276D18"/>
    <w:rsid w:val="5B280C0A"/>
    <w:rsid w:val="5B297096"/>
    <w:rsid w:val="5B33135D"/>
    <w:rsid w:val="5B3550D5"/>
    <w:rsid w:val="5B363143"/>
    <w:rsid w:val="5B4D5DFB"/>
    <w:rsid w:val="5B535F4C"/>
    <w:rsid w:val="5B5437AD"/>
    <w:rsid w:val="5B57329D"/>
    <w:rsid w:val="5B597015"/>
    <w:rsid w:val="5B5A2D8E"/>
    <w:rsid w:val="5B5A4B3C"/>
    <w:rsid w:val="5B5B0FE0"/>
    <w:rsid w:val="5B5C08B4"/>
    <w:rsid w:val="5B5C7E50"/>
    <w:rsid w:val="5B5F2152"/>
    <w:rsid w:val="5B6065F6"/>
    <w:rsid w:val="5B61236E"/>
    <w:rsid w:val="5B6139D7"/>
    <w:rsid w:val="5B61411C"/>
    <w:rsid w:val="5B6C3CDC"/>
    <w:rsid w:val="5B7200D7"/>
    <w:rsid w:val="5B745BFD"/>
    <w:rsid w:val="5B765E19"/>
    <w:rsid w:val="5B7C0F56"/>
    <w:rsid w:val="5B7C4516"/>
    <w:rsid w:val="5B7E082A"/>
    <w:rsid w:val="5B800A46"/>
    <w:rsid w:val="5B804F69"/>
    <w:rsid w:val="5B8322E4"/>
    <w:rsid w:val="5B8C73EB"/>
    <w:rsid w:val="5B8D3163"/>
    <w:rsid w:val="5B8D6CBF"/>
    <w:rsid w:val="5B922527"/>
    <w:rsid w:val="5B9444F1"/>
    <w:rsid w:val="5B962018"/>
    <w:rsid w:val="5B9718EC"/>
    <w:rsid w:val="5B977B3E"/>
    <w:rsid w:val="5B9938B6"/>
    <w:rsid w:val="5B995664"/>
    <w:rsid w:val="5B9960CD"/>
    <w:rsid w:val="5B9C5154"/>
    <w:rsid w:val="5B9E711E"/>
    <w:rsid w:val="5BA04C44"/>
    <w:rsid w:val="5BAC15F8"/>
    <w:rsid w:val="5BAC2986"/>
    <w:rsid w:val="5BAC35E9"/>
    <w:rsid w:val="5BB02677"/>
    <w:rsid w:val="5BB22BCA"/>
    <w:rsid w:val="5BB5294E"/>
    <w:rsid w:val="5BB93F58"/>
    <w:rsid w:val="5BC00E43"/>
    <w:rsid w:val="5BC546AB"/>
    <w:rsid w:val="5BCD1E2F"/>
    <w:rsid w:val="5BCF72D8"/>
    <w:rsid w:val="5BD42B40"/>
    <w:rsid w:val="5BD67531"/>
    <w:rsid w:val="5BD75AB2"/>
    <w:rsid w:val="5BD91B0B"/>
    <w:rsid w:val="5BDF5D95"/>
    <w:rsid w:val="5BE00642"/>
    <w:rsid w:val="5BE03293"/>
    <w:rsid w:val="5BE70AC5"/>
    <w:rsid w:val="5BEA5EBF"/>
    <w:rsid w:val="5BEC1C38"/>
    <w:rsid w:val="5BED775E"/>
    <w:rsid w:val="5BF136F2"/>
    <w:rsid w:val="5BF31960"/>
    <w:rsid w:val="5BF40AEC"/>
    <w:rsid w:val="5BF64864"/>
    <w:rsid w:val="5BF8281F"/>
    <w:rsid w:val="5C0827EA"/>
    <w:rsid w:val="5C0A47B4"/>
    <w:rsid w:val="5C0E3BCB"/>
    <w:rsid w:val="5C0F5926"/>
    <w:rsid w:val="5C1271C4"/>
    <w:rsid w:val="5C142F3C"/>
    <w:rsid w:val="5C1B076F"/>
    <w:rsid w:val="5C2238AB"/>
    <w:rsid w:val="5C225659"/>
    <w:rsid w:val="5C2313D1"/>
    <w:rsid w:val="5C237623"/>
    <w:rsid w:val="5C2440E9"/>
    <w:rsid w:val="5C277114"/>
    <w:rsid w:val="5C2B0664"/>
    <w:rsid w:val="5C2D3FFE"/>
    <w:rsid w:val="5C2F421A"/>
    <w:rsid w:val="5C34538D"/>
    <w:rsid w:val="5C3559D8"/>
    <w:rsid w:val="5C361105"/>
    <w:rsid w:val="5C3933B5"/>
    <w:rsid w:val="5C485468"/>
    <w:rsid w:val="5C4952DC"/>
    <w:rsid w:val="5C4E28BC"/>
    <w:rsid w:val="5C4E28F2"/>
    <w:rsid w:val="5C5305C6"/>
    <w:rsid w:val="5C5617A7"/>
    <w:rsid w:val="5C58551F"/>
    <w:rsid w:val="5C594DF3"/>
    <w:rsid w:val="5C5C1087"/>
    <w:rsid w:val="5C62639E"/>
    <w:rsid w:val="5C65155C"/>
    <w:rsid w:val="5C663787"/>
    <w:rsid w:val="5C675762"/>
    <w:rsid w:val="5C6914DA"/>
    <w:rsid w:val="5C6E7D9F"/>
    <w:rsid w:val="5C702869"/>
    <w:rsid w:val="5C71213D"/>
    <w:rsid w:val="5C757E7F"/>
    <w:rsid w:val="5C7D31D8"/>
    <w:rsid w:val="5C7D4F86"/>
    <w:rsid w:val="5C7E4CC3"/>
    <w:rsid w:val="5C8509BC"/>
    <w:rsid w:val="5C853E3A"/>
    <w:rsid w:val="5C86208C"/>
    <w:rsid w:val="5C877BB2"/>
    <w:rsid w:val="5C8D1F38"/>
    <w:rsid w:val="5C9119F8"/>
    <w:rsid w:val="5C9E33F5"/>
    <w:rsid w:val="5C9F4EFC"/>
    <w:rsid w:val="5CA16EC6"/>
    <w:rsid w:val="5CA42512"/>
    <w:rsid w:val="5CA442C0"/>
    <w:rsid w:val="5CA64CDB"/>
    <w:rsid w:val="5CA93FCD"/>
    <w:rsid w:val="5CAB49EC"/>
    <w:rsid w:val="5CB47963"/>
    <w:rsid w:val="5CB85FBE"/>
    <w:rsid w:val="5CBC5AAE"/>
    <w:rsid w:val="5CBF10FA"/>
    <w:rsid w:val="5CC05F06"/>
    <w:rsid w:val="5CC26E3C"/>
    <w:rsid w:val="5CC606DB"/>
    <w:rsid w:val="5CC6692D"/>
    <w:rsid w:val="5CC932A2"/>
    <w:rsid w:val="5CCB3F43"/>
    <w:rsid w:val="5CCB7A9F"/>
    <w:rsid w:val="5CCD7CBB"/>
    <w:rsid w:val="5CCE758F"/>
    <w:rsid w:val="5CD1707F"/>
    <w:rsid w:val="5CD32DF8"/>
    <w:rsid w:val="5CD54DC2"/>
    <w:rsid w:val="5CD76373"/>
    <w:rsid w:val="5CDC7EFE"/>
    <w:rsid w:val="5CE172C2"/>
    <w:rsid w:val="5CEA4796"/>
    <w:rsid w:val="5CEB3BAF"/>
    <w:rsid w:val="5CEC5C67"/>
    <w:rsid w:val="5CEE378D"/>
    <w:rsid w:val="5CF54079"/>
    <w:rsid w:val="5CFB5EAA"/>
    <w:rsid w:val="5D042FB1"/>
    <w:rsid w:val="5D082FB3"/>
    <w:rsid w:val="5D096819"/>
    <w:rsid w:val="5D101956"/>
    <w:rsid w:val="5D1256CE"/>
    <w:rsid w:val="5D1551BE"/>
    <w:rsid w:val="5D170F36"/>
    <w:rsid w:val="5D1A6C78"/>
    <w:rsid w:val="5D1B2582"/>
    <w:rsid w:val="5D1D22C5"/>
    <w:rsid w:val="5D1D3926"/>
    <w:rsid w:val="5D1D77F0"/>
    <w:rsid w:val="5D1F428F"/>
    <w:rsid w:val="5D207DB2"/>
    <w:rsid w:val="5D224A06"/>
    <w:rsid w:val="5D235B2D"/>
    <w:rsid w:val="5D2D075A"/>
    <w:rsid w:val="5D2E6280"/>
    <w:rsid w:val="5D347D3A"/>
    <w:rsid w:val="5D35760E"/>
    <w:rsid w:val="5D395350"/>
    <w:rsid w:val="5D3A2E77"/>
    <w:rsid w:val="5D3C099D"/>
    <w:rsid w:val="5D3F223B"/>
    <w:rsid w:val="5D494E68"/>
    <w:rsid w:val="5D4E501B"/>
    <w:rsid w:val="5D526412"/>
    <w:rsid w:val="5D535812"/>
    <w:rsid w:val="5D564448"/>
    <w:rsid w:val="5D616655"/>
    <w:rsid w:val="5D641CA2"/>
    <w:rsid w:val="5D681B10"/>
    <w:rsid w:val="5D6A375C"/>
    <w:rsid w:val="5D6D7849"/>
    <w:rsid w:val="5D704AEA"/>
    <w:rsid w:val="5D7235D2"/>
    <w:rsid w:val="5D730D16"/>
    <w:rsid w:val="5D7C523D"/>
    <w:rsid w:val="5D7E0FB5"/>
    <w:rsid w:val="5D7F0889"/>
    <w:rsid w:val="5D814602"/>
    <w:rsid w:val="5D821189"/>
    <w:rsid w:val="5D883BE2"/>
    <w:rsid w:val="5D9200D4"/>
    <w:rsid w:val="5D92680F"/>
    <w:rsid w:val="5D94616F"/>
    <w:rsid w:val="5D955EEB"/>
    <w:rsid w:val="5D9A7B05"/>
    <w:rsid w:val="5DA86032"/>
    <w:rsid w:val="5DA87DE0"/>
    <w:rsid w:val="5DAF5613"/>
    <w:rsid w:val="5DB171DF"/>
    <w:rsid w:val="5DB577BD"/>
    <w:rsid w:val="5DB76275"/>
    <w:rsid w:val="5DB93D9B"/>
    <w:rsid w:val="5DBC6D53"/>
    <w:rsid w:val="5DC866D4"/>
    <w:rsid w:val="5DCA7D57"/>
    <w:rsid w:val="5DCD7847"/>
    <w:rsid w:val="5DD1456E"/>
    <w:rsid w:val="5DDB1F64"/>
    <w:rsid w:val="5DDD2180"/>
    <w:rsid w:val="5DE057CC"/>
    <w:rsid w:val="5DE0757A"/>
    <w:rsid w:val="5DEB5F1F"/>
    <w:rsid w:val="5DEB63BE"/>
    <w:rsid w:val="5DEC4171"/>
    <w:rsid w:val="5DF3340F"/>
    <w:rsid w:val="5DF41277"/>
    <w:rsid w:val="5DF64FF0"/>
    <w:rsid w:val="5DF87A0F"/>
    <w:rsid w:val="5DF87F7B"/>
    <w:rsid w:val="5DFF2729"/>
    <w:rsid w:val="5E044CCE"/>
    <w:rsid w:val="5E070FAB"/>
    <w:rsid w:val="5E0C4813"/>
    <w:rsid w:val="5E0F35C8"/>
    <w:rsid w:val="5E122843"/>
    <w:rsid w:val="5E145476"/>
    <w:rsid w:val="5E167440"/>
    <w:rsid w:val="5E176D14"/>
    <w:rsid w:val="5E18501A"/>
    <w:rsid w:val="5E1B4A56"/>
    <w:rsid w:val="5E2733FB"/>
    <w:rsid w:val="5E2B548C"/>
    <w:rsid w:val="5E2C6C63"/>
    <w:rsid w:val="5E337FF2"/>
    <w:rsid w:val="5E3E0745"/>
    <w:rsid w:val="5E3E24F3"/>
    <w:rsid w:val="5E40270F"/>
    <w:rsid w:val="5E40626B"/>
    <w:rsid w:val="5E473A9D"/>
    <w:rsid w:val="5E483371"/>
    <w:rsid w:val="5E4C10B3"/>
    <w:rsid w:val="5E512226"/>
    <w:rsid w:val="5E5341F0"/>
    <w:rsid w:val="5E541D16"/>
    <w:rsid w:val="5E547F68"/>
    <w:rsid w:val="5E56783C"/>
    <w:rsid w:val="5E5D506F"/>
    <w:rsid w:val="5E624433"/>
    <w:rsid w:val="5E653F23"/>
    <w:rsid w:val="5E6737F7"/>
    <w:rsid w:val="5E6774CF"/>
    <w:rsid w:val="5E68756F"/>
    <w:rsid w:val="5E695530"/>
    <w:rsid w:val="5E6C7060"/>
    <w:rsid w:val="5E710B1A"/>
    <w:rsid w:val="5E745F14"/>
    <w:rsid w:val="5E781EA8"/>
    <w:rsid w:val="5E7A1EB6"/>
    <w:rsid w:val="5E7A3283"/>
    <w:rsid w:val="5E7B278E"/>
    <w:rsid w:val="5E7D126D"/>
    <w:rsid w:val="5E7F4FE5"/>
    <w:rsid w:val="5E8048B9"/>
    <w:rsid w:val="5E806C53"/>
    <w:rsid w:val="5E8343A9"/>
    <w:rsid w:val="5E856373"/>
    <w:rsid w:val="5E892B2C"/>
    <w:rsid w:val="5E8B1BDC"/>
    <w:rsid w:val="5E8E347A"/>
    <w:rsid w:val="5E913942"/>
    <w:rsid w:val="5E916AC6"/>
    <w:rsid w:val="5E9842F9"/>
    <w:rsid w:val="5E987E55"/>
    <w:rsid w:val="5EA20CD3"/>
    <w:rsid w:val="5EA66A16"/>
    <w:rsid w:val="5EA92062"/>
    <w:rsid w:val="5EA92521"/>
    <w:rsid w:val="5EAB5E7A"/>
    <w:rsid w:val="5EAE58CA"/>
    <w:rsid w:val="5EB033F0"/>
    <w:rsid w:val="5EB4159E"/>
    <w:rsid w:val="5EB8071E"/>
    <w:rsid w:val="5EB80AF2"/>
    <w:rsid w:val="5EC073AC"/>
    <w:rsid w:val="5EC450EE"/>
    <w:rsid w:val="5EC7073A"/>
    <w:rsid w:val="5EC92704"/>
    <w:rsid w:val="5ECF37B3"/>
    <w:rsid w:val="5ECF75EF"/>
    <w:rsid w:val="5ED05ACE"/>
    <w:rsid w:val="5ED115B9"/>
    <w:rsid w:val="5ED6097D"/>
    <w:rsid w:val="5ED66BCF"/>
    <w:rsid w:val="5ED846F5"/>
    <w:rsid w:val="5ED97AB4"/>
    <w:rsid w:val="5EDC303D"/>
    <w:rsid w:val="5EE27322"/>
    <w:rsid w:val="5EE4753E"/>
    <w:rsid w:val="5EE65064"/>
    <w:rsid w:val="5EE66E12"/>
    <w:rsid w:val="5EE80859"/>
    <w:rsid w:val="5EE82168"/>
    <w:rsid w:val="5EEE5CC7"/>
    <w:rsid w:val="5EF4086E"/>
    <w:rsid w:val="5EF62DCD"/>
    <w:rsid w:val="5EF77271"/>
    <w:rsid w:val="5EF808F3"/>
    <w:rsid w:val="5EFC4888"/>
    <w:rsid w:val="5F0059FA"/>
    <w:rsid w:val="5F013C4C"/>
    <w:rsid w:val="5F061E42"/>
    <w:rsid w:val="5F08322C"/>
    <w:rsid w:val="5F092B01"/>
    <w:rsid w:val="5F0B0627"/>
    <w:rsid w:val="5F0B6879"/>
    <w:rsid w:val="5F0E0117"/>
    <w:rsid w:val="5F0E45BB"/>
    <w:rsid w:val="5F0E7E34"/>
    <w:rsid w:val="5F1576F7"/>
    <w:rsid w:val="5F182D44"/>
    <w:rsid w:val="5F1A2B43"/>
    <w:rsid w:val="5F1D035A"/>
    <w:rsid w:val="5F1F2324"/>
    <w:rsid w:val="5F21088D"/>
    <w:rsid w:val="5F245B8C"/>
    <w:rsid w:val="5F294F51"/>
    <w:rsid w:val="5F2C67EF"/>
    <w:rsid w:val="5F30008D"/>
    <w:rsid w:val="5F304531"/>
    <w:rsid w:val="5F3F4090"/>
    <w:rsid w:val="5F405364"/>
    <w:rsid w:val="5F4104EC"/>
    <w:rsid w:val="5F4A7642"/>
    <w:rsid w:val="5F5226F9"/>
    <w:rsid w:val="5F546472"/>
    <w:rsid w:val="5F577D10"/>
    <w:rsid w:val="5F5F4E16"/>
    <w:rsid w:val="5F630463"/>
    <w:rsid w:val="5F675A73"/>
    <w:rsid w:val="5F681F1D"/>
    <w:rsid w:val="5F685A79"/>
    <w:rsid w:val="5F6B7317"/>
    <w:rsid w:val="5F6D12E1"/>
    <w:rsid w:val="5F700DD2"/>
    <w:rsid w:val="5F702B80"/>
    <w:rsid w:val="5F75455E"/>
    <w:rsid w:val="5F761608"/>
    <w:rsid w:val="5F7D704B"/>
    <w:rsid w:val="5F7E34EF"/>
    <w:rsid w:val="5F8623A3"/>
    <w:rsid w:val="5F8D4DCC"/>
    <w:rsid w:val="5F8D54E0"/>
    <w:rsid w:val="5F8E1258"/>
    <w:rsid w:val="5F9024A8"/>
    <w:rsid w:val="5F926F9A"/>
    <w:rsid w:val="5F97010C"/>
    <w:rsid w:val="5F9F5213"/>
    <w:rsid w:val="5FA32F55"/>
    <w:rsid w:val="5FA34D03"/>
    <w:rsid w:val="5FA42829"/>
    <w:rsid w:val="5FA8056B"/>
    <w:rsid w:val="5FAA6092"/>
    <w:rsid w:val="5FAB1E0A"/>
    <w:rsid w:val="5FAD000C"/>
    <w:rsid w:val="5FB31BE9"/>
    <w:rsid w:val="5FB36ECE"/>
    <w:rsid w:val="5FB707AE"/>
    <w:rsid w:val="5FB837BB"/>
    <w:rsid w:val="5FBA204D"/>
    <w:rsid w:val="5FBD3482"/>
    <w:rsid w:val="5FBE38EB"/>
    <w:rsid w:val="5FC15189"/>
    <w:rsid w:val="5FC773F1"/>
    <w:rsid w:val="5FCB6008"/>
    <w:rsid w:val="5FCD1D80"/>
    <w:rsid w:val="5FD27396"/>
    <w:rsid w:val="5FD44EBD"/>
    <w:rsid w:val="5FDF3861"/>
    <w:rsid w:val="5FE23F34"/>
    <w:rsid w:val="5FE315A4"/>
    <w:rsid w:val="5FED41D0"/>
    <w:rsid w:val="5FEF1CF6"/>
    <w:rsid w:val="5FEF619A"/>
    <w:rsid w:val="5FF732A1"/>
    <w:rsid w:val="5FF7504F"/>
    <w:rsid w:val="60002155"/>
    <w:rsid w:val="60017C7C"/>
    <w:rsid w:val="600357A2"/>
    <w:rsid w:val="60065E0F"/>
    <w:rsid w:val="600D44FB"/>
    <w:rsid w:val="60125EE4"/>
    <w:rsid w:val="6017124D"/>
    <w:rsid w:val="601A63AB"/>
    <w:rsid w:val="602045A6"/>
    <w:rsid w:val="602A0F80"/>
    <w:rsid w:val="602A71D2"/>
    <w:rsid w:val="602F2A3B"/>
    <w:rsid w:val="603242D9"/>
    <w:rsid w:val="603911C4"/>
    <w:rsid w:val="603F3EAD"/>
    <w:rsid w:val="603F6369"/>
    <w:rsid w:val="60402552"/>
    <w:rsid w:val="6042276E"/>
    <w:rsid w:val="60432479"/>
    <w:rsid w:val="6044257D"/>
    <w:rsid w:val="60477D84"/>
    <w:rsid w:val="604D4C6F"/>
    <w:rsid w:val="604E1113"/>
    <w:rsid w:val="6051475F"/>
    <w:rsid w:val="60520CB5"/>
    <w:rsid w:val="60593614"/>
    <w:rsid w:val="60594A54"/>
    <w:rsid w:val="606A75CF"/>
    <w:rsid w:val="607D004F"/>
    <w:rsid w:val="607E307A"/>
    <w:rsid w:val="60805044"/>
    <w:rsid w:val="60870181"/>
    <w:rsid w:val="608F34D9"/>
    <w:rsid w:val="60910B83"/>
    <w:rsid w:val="60912DAE"/>
    <w:rsid w:val="60917251"/>
    <w:rsid w:val="6098413C"/>
    <w:rsid w:val="60997EB4"/>
    <w:rsid w:val="609D069B"/>
    <w:rsid w:val="609D11F2"/>
    <w:rsid w:val="609D79A4"/>
    <w:rsid w:val="609E371C"/>
    <w:rsid w:val="60A056E7"/>
    <w:rsid w:val="60A07495"/>
    <w:rsid w:val="60A56859"/>
    <w:rsid w:val="60A76A75"/>
    <w:rsid w:val="60A96349"/>
    <w:rsid w:val="60AC1FF9"/>
    <w:rsid w:val="60AE14F9"/>
    <w:rsid w:val="60B13450"/>
    <w:rsid w:val="60B13610"/>
    <w:rsid w:val="60B30F76"/>
    <w:rsid w:val="60B46A9C"/>
    <w:rsid w:val="60B66CA1"/>
    <w:rsid w:val="60B66CB8"/>
    <w:rsid w:val="60C677C2"/>
    <w:rsid w:val="60C969EB"/>
    <w:rsid w:val="60D55390"/>
    <w:rsid w:val="60D64C64"/>
    <w:rsid w:val="60D84E80"/>
    <w:rsid w:val="60DF1D6B"/>
    <w:rsid w:val="60E37E0A"/>
    <w:rsid w:val="60E76E71"/>
    <w:rsid w:val="60E94998"/>
    <w:rsid w:val="60E9572D"/>
    <w:rsid w:val="60EE1FAE"/>
    <w:rsid w:val="60EF48AF"/>
    <w:rsid w:val="60F34B93"/>
    <w:rsid w:val="60F872D1"/>
    <w:rsid w:val="60F9034D"/>
    <w:rsid w:val="60F90953"/>
    <w:rsid w:val="60FD6695"/>
    <w:rsid w:val="60FF41BB"/>
    <w:rsid w:val="61016185"/>
    <w:rsid w:val="610417D1"/>
    <w:rsid w:val="61045C75"/>
    <w:rsid w:val="6109328C"/>
    <w:rsid w:val="61094D17"/>
    <w:rsid w:val="610C68D8"/>
    <w:rsid w:val="610D1BF1"/>
    <w:rsid w:val="610E08A2"/>
    <w:rsid w:val="610F7301"/>
    <w:rsid w:val="61165902"/>
    <w:rsid w:val="611759A9"/>
    <w:rsid w:val="611834CF"/>
    <w:rsid w:val="611A2DA3"/>
    <w:rsid w:val="6129748A"/>
    <w:rsid w:val="612B4CC9"/>
    <w:rsid w:val="612B4FB0"/>
    <w:rsid w:val="612F6F8F"/>
    <w:rsid w:val="613025C6"/>
    <w:rsid w:val="6139071C"/>
    <w:rsid w:val="613F0A5C"/>
    <w:rsid w:val="6144421A"/>
    <w:rsid w:val="615053A3"/>
    <w:rsid w:val="6151253D"/>
    <w:rsid w:val="6152204F"/>
    <w:rsid w:val="61595DDF"/>
    <w:rsid w:val="615A3AE7"/>
    <w:rsid w:val="615D7134"/>
    <w:rsid w:val="615F10FE"/>
    <w:rsid w:val="61602923"/>
    <w:rsid w:val="6162299C"/>
    <w:rsid w:val="61652C96"/>
    <w:rsid w:val="61677FB2"/>
    <w:rsid w:val="61693D2A"/>
    <w:rsid w:val="616B7AA3"/>
    <w:rsid w:val="61700C15"/>
    <w:rsid w:val="6170768E"/>
    <w:rsid w:val="617701F5"/>
    <w:rsid w:val="61783F6D"/>
    <w:rsid w:val="6178408E"/>
    <w:rsid w:val="617A7CE6"/>
    <w:rsid w:val="617E77D6"/>
    <w:rsid w:val="61834DEC"/>
    <w:rsid w:val="618446C0"/>
    <w:rsid w:val="61897F29"/>
    <w:rsid w:val="618B5A4F"/>
    <w:rsid w:val="618C6A88"/>
    <w:rsid w:val="618D23D7"/>
    <w:rsid w:val="61907509"/>
    <w:rsid w:val="61A15272"/>
    <w:rsid w:val="61A170E7"/>
    <w:rsid w:val="61A42FB4"/>
    <w:rsid w:val="61A66D2D"/>
    <w:rsid w:val="61A905CB"/>
    <w:rsid w:val="61AD3C17"/>
    <w:rsid w:val="61B2122D"/>
    <w:rsid w:val="61B551C2"/>
    <w:rsid w:val="61B56F70"/>
    <w:rsid w:val="61B96A60"/>
    <w:rsid w:val="61BE4076"/>
    <w:rsid w:val="61BF1B9C"/>
    <w:rsid w:val="61C80A51"/>
    <w:rsid w:val="61CA2A1B"/>
    <w:rsid w:val="61CB46C0"/>
    <w:rsid w:val="61CB62CF"/>
    <w:rsid w:val="61D373F6"/>
    <w:rsid w:val="61D70C94"/>
    <w:rsid w:val="61D86D49"/>
    <w:rsid w:val="61DA619C"/>
    <w:rsid w:val="61E03976"/>
    <w:rsid w:val="61E32DD8"/>
    <w:rsid w:val="61E37639"/>
    <w:rsid w:val="61E57855"/>
    <w:rsid w:val="61E84C4F"/>
    <w:rsid w:val="61EB473F"/>
    <w:rsid w:val="61ED04B8"/>
    <w:rsid w:val="61EF4230"/>
    <w:rsid w:val="61F01D56"/>
    <w:rsid w:val="61F950AE"/>
    <w:rsid w:val="61F96E5C"/>
    <w:rsid w:val="61FE26C5"/>
    <w:rsid w:val="62020581"/>
    <w:rsid w:val="62033E14"/>
    <w:rsid w:val="620A72BB"/>
    <w:rsid w:val="62145A44"/>
    <w:rsid w:val="621D3F2C"/>
    <w:rsid w:val="6220263B"/>
    <w:rsid w:val="622A5268"/>
    <w:rsid w:val="6232236E"/>
    <w:rsid w:val="62364782"/>
    <w:rsid w:val="62366C04"/>
    <w:rsid w:val="62375AF0"/>
    <w:rsid w:val="62375BD7"/>
    <w:rsid w:val="62397551"/>
    <w:rsid w:val="623A66C4"/>
    <w:rsid w:val="623E47E2"/>
    <w:rsid w:val="623E6F65"/>
    <w:rsid w:val="623F6839"/>
    <w:rsid w:val="62426A55"/>
    <w:rsid w:val="62483940"/>
    <w:rsid w:val="624A1848"/>
    <w:rsid w:val="624C78D4"/>
    <w:rsid w:val="624D53FA"/>
    <w:rsid w:val="62540537"/>
    <w:rsid w:val="625422E5"/>
    <w:rsid w:val="625B18C5"/>
    <w:rsid w:val="625B3673"/>
    <w:rsid w:val="625C563D"/>
    <w:rsid w:val="62636AC5"/>
    <w:rsid w:val="62647CEB"/>
    <w:rsid w:val="626B762E"/>
    <w:rsid w:val="626F35C2"/>
    <w:rsid w:val="626F778E"/>
    <w:rsid w:val="627012E0"/>
    <w:rsid w:val="62726C0F"/>
    <w:rsid w:val="62740BD9"/>
    <w:rsid w:val="62764951"/>
    <w:rsid w:val="62783599"/>
    <w:rsid w:val="62791D4B"/>
    <w:rsid w:val="627D7A8D"/>
    <w:rsid w:val="627E3805"/>
    <w:rsid w:val="62830581"/>
    <w:rsid w:val="6286301C"/>
    <w:rsid w:val="62864468"/>
    <w:rsid w:val="628662A2"/>
    <w:rsid w:val="628801E0"/>
    <w:rsid w:val="62881A95"/>
    <w:rsid w:val="62890576"/>
    <w:rsid w:val="62894684"/>
    <w:rsid w:val="628A21AA"/>
    <w:rsid w:val="628C7CD0"/>
    <w:rsid w:val="62946DCA"/>
    <w:rsid w:val="62950184"/>
    <w:rsid w:val="62975F54"/>
    <w:rsid w:val="629F3071"/>
    <w:rsid w:val="62A052B7"/>
    <w:rsid w:val="62A27CA7"/>
    <w:rsid w:val="62A327BB"/>
    <w:rsid w:val="62A768B8"/>
    <w:rsid w:val="62AA63A9"/>
    <w:rsid w:val="62AC2121"/>
    <w:rsid w:val="62AE5E99"/>
    <w:rsid w:val="62B2525D"/>
    <w:rsid w:val="62B47227"/>
    <w:rsid w:val="62B66AFB"/>
    <w:rsid w:val="62B80AC5"/>
    <w:rsid w:val="62BD2580"/>
    <w:rsid w:val="62BF7FA3"/>
    <w:rsid w:val="62C05BCC"/>
    <w:rsid w:val="62C0797A"/>
    <w:rsid w:val="62C236F2"/>
    <w:rsid w:val="62C456BC"/>
    <w:rsid w:val="62C751AC"/>
    <w:rsid w:val="62CC4571"/>
    <w:rsid w:val="62CE3B87"/>
    <w:rsid w:val="62D022B3"/>
    <w:rsid w:val="62D376AD"/>
    <w:rsid w:val="62D84CC4"/>
    <w:rsid w:val="62D94DD2"/>
    <w:rsid w:val="62DB155F"/>
    <w:rsid w:val="62DE6052"/>
    <w:rsid w:val="62E23D94"/>
    <w:rsid w:val="62E418BB"/>
    <w:rsid w:val="62E551E2"/>
    <w:rsid w:val="62EC4C13"/>
    <w:rsid w:val="62F0280B"/>
    <w:rsid w:val="62F5014F"/>
    <w:rsid w:val="62FD297C"/>
    <w:rsid w:val="63021D41"/>
    <w:rsid w:val="6308735D"/>
    <w:rsid w:val="630A6E47"/>
    <w:rsid w:val="630B4F5E"/>
    <w:rsid w:val="630E06E5"/>
    <w:rsid w:val="630E4B89"/>
    <w:rsid w:val="631101D6"/>
    <w:rsid w:val="63185A08"/>
    <w:rsid w:val="631A1780"/>
    <w:rsid w:val="631B1054"/>
    <w:rsid w:val="631B69F2"/>
    <w:rsid w:val="631F28F3"/>
    <w:rsid w:val="63205C13"/>
    <w:rsid w:val="63225184"/>
    <w:rsid w:val="63235063"/>
    <w:rsid w:val="6324615B"/>
    <w:rsid w:val="63260125"/>
    <w:rsid w:val="63286F28"/>
    <w:rsid w:val="632A1297"/>
    <w:rsid w:val="63332842"/>
    <w:rsid w:val="633914DA"/>
    <w:rsid w:val="633D18C0"/>
    <w:rsid w:val="633D2BD8"/>
    <w:rsid w:val="63416D0D"/>
    <w:rsid w:val="63436152"/>
    <w:rsid w:val="63446617"/>
    <w:rsid w:val="634632A4"/>
    <w:rsid w:val="63471E49"/>
    <w:rsid w:val="63473653"/>
    <w:rsid w:val="63493E13"/>
    <w:rsid w:val="634C7460"/>
    <w:rsid w:val="634E142A"/>
    <w:rsid w:val="63554566"/>
    <w:rsid w:val="63556314"/>
    <w:rsid w:val="635D78BF"/>
    <w:rsid w:val="63650337"/>
    <w:rsid w:val="6367429A"/>
    <w:rsid w:val="636B1FDC"/>
    <w:rsid w:val="636C365E"/>
    <w:rsid w:val="637013A0"/>
    <w:rsid w:val="6370314E"/>
    <w:rsid w:val="63711839"/>
    <w:rsid w:val="637349EC"/>
    <w:rsid w:val="637644DD"/>
    <w:rsid w:val="637864A7"/>
    <w:rsid w:val="637C31BE"/>
    <w:rsid w:val="637C7D45"/>
    <w:rsid w:val="637D1D0F"/>
    <w:rsid w:val="63811F35"/>
    <w:rsid w:val="63881DBD"/>
    <w:rsid w:val="63883103"/>
    <w:rsid w:val="638D4E7E"/>
    <w:rsid w:val="638E7A78"/>
    <w:rsid w:val="639130C5"/>
    <w:rsid w:val="63952BB5"/>
    <w:rsid w:val="639808F7"/>
    <w:rsid w:val="639A466F"/>
    <w:rsid w:val="639B1A12"/>
    <w:rsid w:val="63A252D2"/>
    <w:rsid w:val="63A46FFC"/>
    <w:rsid w:val="63A849D2"/>
    <w:rsid w:val="63AB4186"/>
    <w:rsid w:val="63B03E93"/>
    <w:rsid w:val="63B05C41"/>
    <w:rsid w:val="63B3128D"/>
    <w:rsid w:val="63B76FCF"/>
    <w:rsid w:val="63B948A0"/>
    <w:rsid w:val="63C419B3"/>
    <w:rsid w:val="63C4349A"/>
    <w:rsid w:val="63C811DC"/>
    <w:rsid w:val="63C86A2B"/>
    <w:rsid w:val="63D054A9"/>
    <w:rsid w:val="63D40BE9"/>
    <w:rsid w:val="63D47F9E"/>
    <w:rsid w:val="63D86F45"/>
    <w:rsid w:val="63DD455C"/>
    <w:rsid w:val="63E0211F"/>
    <w:rsid w:val="63E1404C"/>
    <w:rsid w:val="63E37DC4"/>
    <w:rsid w:val="63E678B4"/>
    <w:rsid w:val="63E8362C"/>
    <w:rsid w:val="63EB4ECB"/>
    <w:rsid w:val="63EC4EF3"/>
    <w:rsid w:val="63ED29F1"/>
    <w:rsid w:val="63FE69AC"/>
    <w:rsid w:val="64032214"/>
    <w:rsid w:val="6405643E"/>
    <w:rsid w:val="64061D04"/>
    <w:rsid w:val="640815D9"/>
    <w:rsid w:val="6408782B"/>
    <w:rsid w:val="640A35A3"/>
    <w:rsid w:val="640F0BB9"/>
    <w:rsid w:val="640F2D98"/>
    <w:rsid w:val="6410048D"/>
    <w:rsid w:val="64137F7D"/>
    <w:rsid w:val="64144421"/>
    <w:rsid w:val="64191A38"/>
    <w:rsid w:val="64195594"/>
    <w:rsid w:val="641C5084"/>
    <w:rsid w:val="641E704E"/>
    <w:rsid w:val="64210077"/>
    <w:rsid w:val="642167B4"/>
    <w:rsid w:val="642A77A1"/>
    <w:rsid w:val="642B3519"/>
    <w:rsid w:val="642F125B"/>
    <w:rsid w:val="643028DD"/>
    <w:rsid w:val="64337E72"/>
    <w:rsid w:val="64370110"/>
    <w:rsid w:val="64393E88"/>
    <w:rsid w:val="643C5726"/>
    <w:rsid w:val="643E0E5C"/>
    <w:rsid w:val="643E5117"/>
    <w:rsid w:val="64432611"/>
    <w:rsid w:val="64485E79"/>
    <w:rsid w:val="6449399F"/>
    <w:rsid w:val="644B034C"/>
    <w:rsid w:val="644B15DB"/>
    <w:rsid w:val="644C3BBB"/>
    <w:rsid w:val="644E3D19"/>
    <w:rsid w:val="644F0FB6"/>
    <w:rsid w:val="64524F4A"/>
    <w:rsid w:val="64534785"/>
    <w:rsid w:val="64552344"/>
    <w:rsid w:val="645667E8"/>
    <w:rsid w:val="645B3DFE"/>
    <w:rsid w:val="645C7B76"/>
    <w:rsid w:val="645E38EF"/>
    <w:rsid w:val="645F0A48"/>
    <w:rsid w:val="64654C7D"/>
    <w:rsid w:val="64684E3B"/>
    <w:rsid w:val="646A2293"/>
    <w:rsid w:val="647535D9"/>
    <w:rsid w:val="647640BA"/>
    <w:rsid w:val="647C1FC7"/>
    <w:rsid w:val="647C3D75"/>
    <w:rsid w:val="647F4AE8"/>
    <w:rsid w:val="6483767E"/>
    <w:rsid w:val="6487551C"/>
    <w:rsid w:val="648917D7"/>
    <w:rsid w:val="648A46E4"/>
    <w:rsid w:val="648A7941"/>
    <w:rsid w:val="649308CA"/>
    <w:rsid w:val="649317EA"/>
    <w:rsid w:val="64933ABF"/>
    <w:rsid w:val="649B069F"/>
    <w:rsid w:val="649E3CEB"/>
    <w:rsid w:val="64A4355C"/>
    <w:rsid w:val="64AD3F2E"/>
    <w:rsid w:val="64AF414A"/>
    <w:rsid w:val="64B41760"/>
    <w:rsid w:val="64B452BD"/>
    <w:rsid w:val="64B55F14"/>
    <w:rsid w:val="64BD6E3E"/>
    <w:rsid w:val="64BE438D"/>
    <w:rsid w:val="64C00105"/>
    <w:rsid w:val="64C45AF8"/>
    <w:rsid w:val="64C574CA"/>
    <w:rsid w:val="64C64FF0"/>
    <w:rsid w:val="64C84907"/>
    <w:rsid w:val="64C97967"/>
    <w:rsid w:val="64CA0F84"/>
    <w:rsid w:val="64CB5679"/>
    <w:rsid w:val="64CC2606"/>
    <w:rsid w:val="64D836A1"/>
    <w:rsid w:val="64DB6CED"/>
    <w:rsid w:val="64DF43D9"/>
    <w:rsid w:val="64E060B2"/>
    <w:rsid w:val="64E41150"/>
    <w:rsid w:val="64E75692"/>
    <w:rsid w:val="64EA33D4"/>
    <w:rsid w:val="64EC08CE"/>
    <w:rsid w:val="64EC2CA8"/>
    <w:rsid w:val="64EC4A56"/>
    <w:rsid w:val="64EF09EB"/>
    <w:rsid w:val="64F66EBC"/>
    <w:rsid w:val="64FB738F"/>
    <w:rsid w:val="64FD4EB5"/>
    <w:rsid w:val="64FF0C2E"/>
    <w:rsid w:val="6502071E"/>
    <w:rsid w:val="65085608"/>
    <w:rsid w:val="650B6F5C"/>
    <w:rsid w:val="650C50F9"/>
    <w:rsid w:val="650F65D3"/>
    <w:rsid w:val="65110961"/>
    <w:rsid w:val="65136487"/>
    <w:rsid w:val="651569E0"/>
    <w:rsid w:val="651D5558"/>
    <w:rsid w:val="6522491C"/>
    <w:rsid w:val="65230BB9"/>
    <w:rsid w:val="6525705F"/>
    <w:rsid w:val="652B54CB"/>
    <w:rsid w:val="652C16E9"/>
    <w:rsid w:val="652C579B"/>
    <w:rsid w:val="652E1513"/>
    <w:rsid w:val="65332685"/>
    <w:rsid w:val="653463FD"/>
    <w:rsid w:val="65373578"/>
    <w:rsid w:val="65384140"/>
    <w:rsid w:val="653A02CF"/>
    <w:rsid w:val="653D52B2"/>
    <w:rsid w:val="65427699"/>
    <w:rsid w:val="65436640"/>
    <w:rsid w:val="65442AE4"/>
    <w:rsid w:val="65494C94"/>
    <w:rsid w:val="654C3747"/>
    <w:rsid w:val="654E74BF"/>
    <w:rsid w:val="65532D27"/>
    <w:rsid w:val="655467D1"/>
    <w:rsid w:val="6560179B"/>
    <w:rsid w:val="65624D19"/>
    <w:rsid w:val="65652A5B"/>
    <w:rsid w:val="65654809"/>
    <w:rsid w:val="656B0D13"/>
    <w:rsid w:val="656D4024"/>
    <w:rsid w:val="65705687"/>
    <w:rsid w:val="65711400"/>
    <w:rsid w:val="65711DFC"/>
    <w:rsid w:val="65717652"/>
    <w:rsid w:val="65747D87"/>
    <w:rsid w:val="65756075"/>
    <w:rsid w:val="657809E0"/>
    <w:rsid w:val="657A4758"/>
    <w:rsid w:val="657A6A22"/>
    <w:rsid w:val="657F1404"/>
    <w:rsid w:val="657F3B1C"/>
    <w:rsid w:val="65835ADB"/>
    <w:rsid w:val="65856C59"/>
    <w:rsid w:val="658630FD"/>
    <w:rsid w:val="65896749"/>
    <w:rsid w:val="658C6239"/>
    <w:rsid w:val="65921AA2"/>
    <w:rsid w:val="65943D2E"/>
    <w:rsid w:val="65960165"/>
    <w:rsid w:val="65997102"/>
    <w:rsid w:val="659D21F5"/>
    <w:rsid w:val="659F5F6D"/>
    <w:rsid w:val="65A05841"/>
    <w:rsid w:val="65A101C8"/>
    <w:rsid w:val="65A11CE5"/>
    <w:rsid w:val="65A307FF"/>
    <w:rsid w:val="65A45331"/>
    <w:rsid w:val="65A610A9"/>
    <w:rsid w:val="65A74E21"/>
    <w:rsid w:val="65AB2B63"/>
    <w:rsid w:val="65B4371E"/>
    <w:rsid w:val="65B5753E"/>
    <w:rsid w:val="65BD4645"/>
    <w:rsid w:val="65C038BF"/>
    <w:rsid w:val="65C459D3"/>
    <w:rsid w:val="65C47781"/>
    <w:rsid w:val="65C71020"/>
    <w:rsid w:val="65C94D98"/>
    <w:rsid w:val="65CC6636"/>
    <w:rsid w:val="65D025CA"/>
    <w:rsid w:val="65D16249"/>
    <w:rsid w:val="65D8147F"/>
    <w:rsid w:val="65E25E59"/>
    <w:rsid w:val="65E472BA"/>
    <w:rsid w:val="65E6594A"/>
    <w:rsid w:val="65EB7404"/>
    <w:rsid w:val="65F004D2"/>
    <w:rsid w:val="65F067C8"/>
    <w:rsid w:val="65F57307"/>
    <w:rsid w:val="65F71905"/>
    <w:rsid w:val="65F938CF"/>
    <w:rsid w:val="65FC516D"/>
    <w:rsid w:val="65FD2C93"/>
    <w:rsid w:val="65FE1159"/>
    <w:rsid w:val="65FF6A0B"/>
    <w:rsid w:val="66017C1F"/>
    <w:rsid w:val="6603474E"/>
    <w:rsid w:val="66063C4D"/>
    <w:rsid w:val="660B1854"/>
    <w:rsid w:val="660C375D"/>
    <w:rsid w:val="66122D27"/>
    <w:rsid w:val="6612673F"/>
    <w:rsid w:val="66140709"/>
    <w:rsid w:val="66154481"/>
    <w:rsid w:val="661C3F42"/>
    <w:rsid w:val="661F2C0A"/>
    <w:rsid w:val="662045C9"/>
    <w:rsid w:val="66217D5A"/>
    <w:rsid w:val="66236B9E"/>
    <w:rsid w:val="6624697A"/>
    <w:rsid w:val="66280D11"/>
    <w:rsid w:val="662841B4"/>
    <w:rsid w:val="662A1D70"/>
    <w:rsid w:val="662D5327"/>
    <w:rsid w:val="663027F3"/>
    <w:rsid w:val="66342B59"/>
    <w:rsid w:val="66377F53"/>
    <w:rsid w:val="663E0BF4"/>
    <w:rsid w:val="663E5786"/>
    <w:rsid w:val="663F0955"/>
    <w:rsid w:val="66434B4A"/>
    <w:rsid w:val="66476DEF"/>
    <w:rsid w:val="66482160"/>
    <w:rsid w:val="664B1C51"/>
    <w:rsid w:val="664B7EA3"/>
    <w:rsid w:val="664D7777"/>
    <w:rsid w:val="66544FA9"/>
    <w:rsid w:val="6655487D"/>
    <w:rsid w:val="66564873"/>
    <w:rsid w:val="665E3732"/>
    <w:rsid w:val="665E7BD6"/>
    <w:rsid w:val="66660838"/>
    <w:rsid w:val="666F1DE3"/>
    <w:rsid w:val="66703465"/>
    <w:rsid w:val="667967BE"/>
    <w:rsid w:val="667B0788"/>
    <w:rsid w:val="667B2536"/>
    <w:rsid w:val="667F5A9A"/>
    <w:rsid w:val="6680501B"/>
    <w:rsid w:val="668313EA"/>
    <w:rsid w:val="66833198"/>
    <w:rsid w:val="668533B4"/>
    <w:rsid w:val="66854445"/>
    <w:rsid w:val="668A09CB"/>
    <w:rsid w:val="668D2269"/>
    <w:rsid w:val="668D7512"/>
    <w:rsid w:val="668E3573"/>
    <w:rsid w:val="668F5FE1"/>
    <w:rsid w:val="669B2BD8"/>
    <w:rsid w:val="669B6734"/>
    <w:rsid w:val="669E7FD2"/>
    <w:rsid w:val="669F1927"/>
    <w:rsid w:val="66A15D14"/>
    <w:rsid w:val="66A23F66"/>
    <w:rsid w:val="66A3383B"/>
    <w:rsid w:val="66A6332B"/>
    <w:rsid w:val="66A870A3"/>
    <w:rsid w:val="66AB0941"/>
    <w:rsid w:val="66AF3F8D"/>
    <w:rsid w:val="66B141AA"/>
    <w:rsid w:val="66B772E6"/>
    <w:rsid w:val="66BB7D21"/>
    <w:rsid w:val="66C51A03"/>
    <w:rsid w:val="66C57C55"/>
    <w:rsid w:val="66CD4D5B"/>
    <w:rsid w:val="66CF4630"/>
    <w:rsid w:val="66CF63DE"/>
    <w:rsid w:val="66D165FA"/>
    <w:rsid w:val="66D439F4"/>
    <w:rsid w:val="66D63C10"/>
    <w:rsid w:val="66DD63E5"/>
    <w:rsid w:val="66DF76D4"/>
    <w:rsid w:val="66E16111"/>
    <w:rsid w:val="66E225B5"/>
    <w:rsid w:val="66EA76BB"/>
    <w:rsid w:val="66EC6F90"/>
    <w:rsid w:val="66F01F82"/>
    <w:rsid w:val="66F05F34"/>
    <w:rsid w:val="66F26570"/>
    <w:rsid w:val="66F26971"/>
    <w:rsid w:val="66F4477F"/>
    <w:rsid w:val="66F85A07"/>
    <w:rsid w:val="66FD73EF"/>
    <w:rsid w:val="67000C8D"/>
    <w:rsid w:val="67006EDF"/>
    <w:rsid w:val="67145898"/>
    <w:rsid w:val="671A2875"/>
    <w:rsid w:val="671B1623"/>
    <w:rsid w:val="672030DD"/>
    <w:rsid w:val="67211A19"/>
    <w:rsid w:val="67220C03"/>
    <w:rsid w:val="6723497B"/>
    <w:rsid w:val="67295A58"/>
    <w:rsid w:val="672A5D0A"/>
    <w:rsid w:val="672C6851"/>
    <w:rsid w:val="672D4457"/>
    <w:rsid w:val="672F1572"/>
    <w:rsid w:val="67380715"/>
    <w:rsid w:val="673D77EB"/>
    <w:rsid w:val="673F2C7A"/>
    <w:rsid w:val="673F7A07"/>
    <w:rsid w:val="674072DB"/>
    <w:rsid w:val="674A094A"/>
    <w:rsid w:val="675016C2"/>
    <w:rsid w:val="67522FB5"/>
    <w:rsid w:val="67530DBD"/>
    <w:rsid w:val="67540894"/>
    <w:rsid w:val="67566EED"/>
    <w:rsid w:val="67580AC9"/>
    <w:rsid w:val="67584625"/>
    <w:rsid w:val="676254A4"/>
    <w:rsid w:val="6765041B"/>
    <w:rsid w:val="676E3E49"/>
    <w:rsid w:val="676F196F"/>
    <w:rsid w:val="6773320D"/>
    <w:rsid w:val="67746F85"/>
    <w:rsid w:val="677551D7"/>
    <w:rsid w:val="677671A1"/>
    <w:rsid w:val="67786A75"/>
    <w:rsid w:val="67790AF4"/>
    <w:rsid w:val="677B6565"/>
    <w:rsid w:val="677F5452"/>
    <w:rsid w:val="677F6056"/>
    <w:rsid w:val="6780592A"/>
    <w:rsid w:val="678278F4"/>
    <w:rsid w:val="678418BE"/>
    <w:rsid w:val="67841F6B"/>
    <w:rsid w:val="6784366C"/>
    <w:rsid w:val="67883798"/>
    <w:rsid w:val="67896ED4"/>
    <w:rsid w:val="678B49FB"/>
    <w:rsid w:val="678C0773"/>
    <w:rsid w:val="678E0047"/>
    <w:rsid w:val="678E6299"/>
    <w:rsid w:val="67900263"/>
    <w:rsid w:val="67915D89"/>
    <w:rsid w:val="679413D5"/>
    <w:rsid w:val="67982C74"/>
    <w:rsid w:val="679A2E90"/>
    <w:rsid w:val="679B1BC9"/>
    <w:rsid w:val="67A05409"/>
    <w:rsid w:val="67A20640"/>
    <w:rsid w:val="67A21D44"/>
    <w:rsid w:val="67A26575"/>
    <w:rsid w:val="67AC2BC3"/>
    <w:rsid w:val="67B33F51"/>
    <w:rsid w:val="67B75622"/>
    <w:rsid w:val="67BD72E9"/>
    <w:rsid w:val="67BF46A4"/>
    <w:rsid w:val="67C5088E"/>
    <w:rsid w:val="67C63C85"/>
    <w:rsid w:val="67CB3049"/>
    <w:rsid w:val="67CC0B6F"/>
    <w:rsid w:val="67CF2049"/>
    <w:rsid w:val="67D11A4E"/>
    <w:rsid w:val="67D22629"/>
    <w:rsid w:val="67D411EB"/>
    <w:rsid w:val="67DD4B2A"/>
    <w:rsid w:val="67E1286C"/>
    <w:rsid w:val="67E301C9"/>
    <w:rsid w:val="67E4235D"/>
    <w:rsid w:val="67E660D5"/>
    <w:rsid w:val="67E97973"/>
    <w:rsid w:val="67EB7247"/>
    <w:rsid w:val="67EC1211"/>
    <w:rsid w:val="67F51E74"/>
    <w:rsid w:val="67F84BAC"/>
    <w:rsid w:val="67F87BB6"/>
    <w:rsid w:val="67FF2CF3"/>
    <w:rsid w:val="68012F0F"/>
    <w:rsid w:val="68016A6B"/>
    <w:rsid w:val="6804655B"/>
    <w:rsid w:val="680622D3"/>
    <w:rsid w:val="68071BA7"/>
    <w:rsid w:val="680B5B3B"/>
    <w:rsid w:val="680E1188"/>
    <w:rsid w:val="68106CAE"/>
    <w:rsid w:val="6818054C"/>
    <w:rsid w:val="68183DB4"/>
    <w:rsid w:val="68191A91"/>
    <w:rsid w:val="681A7B2C"/>
    <w:rsid w:val="681B464D"/>
    <w:rsid w:val="681F15E7"/>
    <w:rsid w:val="681F5143"/>
    <w:rsid w:val="681F6961"/>
    <w:rsid w:val="682054F9"/>
    <w:rsid w:val="68240B89"/>
    <w:rsid w:val="6826136B"/>
    <w:rsid w:val="68297D70"/>
    <w:rsid w:val="682B1D3A"/>
    <w:rsid w:val="682B7F8C"/>
    <w:rsid w:val="683F3A37"/>
    <w:rsid w:val="683F7593"/>
    <w:rsid w:val="684352D5"/>
    <w:rsid w:val="685017A0"/>
    <w:rsid w:val="68541CB5"/>
    <w:rsid w:val="68570199"/>
    <w:rsid w:val="68570D81"/>
    <w:rsid w:val="685B53D9"/>
    <w:rsid w:val="68610A2F"/>
    <w:rsid w:val="686A0AB4"/>
    <w:rsid w:val="686A5863"/>
    <w:rsid w:val="686F7E78"/>
    <w:rsid w:val="68721717"/>
    <w:rsid w:val="687F3E33"/>
    <w:rsid w:val="68805514"/>
    <w:rsid w:val="6881195A"/>
    <w:rsid w:val="688171D5"/>
    <w:rsid w:val="688B0A2A"/>
    <w:rsid w:val="688C138F"/>
    <w:rsid w:val="68905759"/>
    <w:rsid w:val="68953657"/>
    <w:rsid w:val="689A15B9"/>
    <w:rsid w:val="68A13DAA"/>
    <w:rsid w:val="68A36A6C"/>
    <w:rsid w:val="68A45648"/>
    <w:rsid w:val="68A839E0"/>
    <w:rsid w:val="68A84B24"/>
    <w:rsid w:val="68AA7FC8"/>
    <w:rsid w:val="68AE0E91"/>
    <w:rsid w:val="68AF296B"/>
    <w:rsid w:val="68B03FED"/>
    <w:rsid w:val="68B2355C"/>
    <w:rsid w:val="68BA52A2"/>
    <w:rsid w:val="68BE2BAE"/>
    <w:rsid w:val="68BE495C"/>
    <w:rsid w:val="68C006D4"/>
    <w:rsid w:val="68C1444C"/>
    <w:rsid w:val="68C55CEA"/>
    <w:rsid w:val="68D43ED1"/>
    <w:rsid w:val="68D979E8"/>
    <w:rsid w:val="68DB72BC"/>
    <w:rsid w:val="68E31C7D"/>
    <w:rsid w:val="68E343C2"/>
    <w:rsid w:val="68E36170"/>
    <w:rsid w:val="68E57D0D"/>
    <w:rsid w:val="68EC771B"/>
    <w:rsid w:val="68ED5241"/>
    <w:rsid w:val="68F00A95"/>
    <w:rsid w:val="68F465CF"/>
    <w:rsid w:val="68F55EA4"/>
    <w:rsid w:val="68F760C0"/>
    <w:rsid w:val="68FB795E"/>
    <w:rsid w:val="68FC5484"/>
    <w:rsid w:val="68FE744E"/>
    <w:rsid w:val="6905258B"/>
    <w:rsid w:val="69076303"/>
    <w:rsid w:val="690D040B"/>
    <w:rsid w:val="691643B3"/>
    <w:rsid w:val="69180510"/>
    <w:rsid w:val="69196036"/>
    <w:rsid w:val="691F4FA3"/>
    <w:rsid w:val="692549DB"/>
    <w:rsid w:val="692F717A"/>
    <w:rsid w:val="69310AF9"/>
    <w:rsid w:val="693654E7"/>
    <w:rsid w:val="69382960"/>
    <w:rsid w:val="693C5C0C"/>
    <w:rsid w:val="693D7F76"/>
    <w:rsid w:val="694110E9"/>
    <w:rsid w:val="69431305"/>
    <w:rsid w:val="69450BD9"/>
    <w:rsid w:val="69490210"/>
    <w:rsid w:val="694C1F68"/>
    <w:rsid w:val="694E2071"/>
    <w:rsid w:val="69535A05"/>
    <w:rsid w:val="69561038"/>
    <w:rsid w:val="69562DE6"/>
    <w:rsid w:val="69586B5E"/>
    <w:rsid w:val="695B21AB"/>
    <w:rsid w:val="695E1C9B"/>
    <w:rsid w:val="695E7B16"/>
    <w:rsid w:val="69603C65"/>
    <w:rsid w:val="69603DA2"/>
    <w:rsid w:val="69683798"/>
    <w:rsid w:val="69690D6B"/>
    <w:rsid w:val="696A6E60"/>
    <w:rsid w:val="69715E72"/>
    <w:rsid w:val="69747710"/>
    <w:rsid w:val="697A3B33"/>
    <w:rsid w:val="697E40EB"/>
    <w:rsid w:val="69852275"/>
    <w:rsid w:val="69855479"/>
    <w:rsid w:val="69881641"/>
    <w:rsid w:val="698A0CE2"/>
    <w:rsid w:val="698C6808"/>
    <w:rsid w:val="698E2580"/>
    <w:rsid w:val="69912070"/>
    <w:rsid w:val="69993B96"/>
    <w:rsid w:val="699D238C"/>
    <w:rsid w:val="699D6C67"/>
    <w:rsid w:val="699E2456"/>
    <w:rsid w:val="69A200AE"/>
    <w:rsid w:val="69A2602B"/>
    <w:rsid w:val="69A26117"/>
    <w:rsid w:val="69AA3132"/>
    <w:rsid w:val="69AB0181"/>
    <w:rsid w:val="69AE2C22"/>
    <w:rsid w:val="69AE49D0"/>
    <w:rsid w:val="69B0699A"/>
    <w:rsid w:val="69B144C0"/>
    <w:rsid w:val="69B33D95"/>
    <w:rsid w:val="69B47B0D"/>
    <w:rsid w:val="69BA15C7"/>
    <w:rsid w:val="69BA59A8"/>
    <w:rsid w:val="69BD4C2B"/>
    <w:rsid w:val="69BE2739"/>
    <w:rsid w:val="69C441F4"/>
    <w:rsid w:val="69C46CC3"/>
    <w:rsid w:val="69C97A5C"/>
    <w:rsid w:val="69CC12FA"/>
    <w:rsid w:val="69CE5072"/>
    <w:rsid w:val="69D0459A"/>
    <w:rsid w:val="69D16911"/>
    <w:rsid w:val="69D361E5"/>
    <w:rsid w:val="69D72179"/>
    <w:rsid w:val="69D97A59"/>
    <w:rsid w:val="69DB153D"/>
    <w:rsid w:val="69DD7064"/>
    <w:rsid w:val="69DF4B8A"/>
    <w:rsid w:val="69E46644"/>
    <w:rsid w:val="69E525A6"/>
    <w:rsid w:val="69E84666"/>
    <w:rsid w:val="69ED735F"/>
    <w:rsid w:val="69EE301F"/>
    <w:rsid w:val="69F30635"/>
    <w:rsid w:val="69F66377"/>
    <w:rsid w:val="69FA5E67"/>
    <w:rsid w:val="69FC345A"/>
    <w:rsid w:val="69FC398E"/>
    <w:rsid w:val="69FF522C"/>
    <w:rsid w:val="6A0A597F"/>
    <w:rsid w:val="6A0C7949"/>
    <w:rsid w:val="6A143C4B"/>
    <w:rsid w:val="6A19173C"/>
    <w:rsid w:val="6A197154"/>
    <w:rsid w:val="6A25348F"/>
    <w:rsid w:val="6A2627B9"/>
    <w:rsid w:val="6A2904FB"/>
    <w:rsid w:val="6A294057"/>
    <w:rsid w:val="6A2B4273"/>
    <w:rsid w:val="6A2C58F8"/>
    <w:rsid w:val="6A2E78BF"/>
    <w:rsid w:val="6A2F590D"/>
    <w:rsid w:val="6A30161E"/>
    <w:rsid w:val="6A330AD1"/>
    <w:rsid w:val="6A356EA0"/>
    <w:rsid w:val="6A372C18"/>
    <w:rsid w:val="6A386990"/>
    <w:rsid w:val="6A3C3973"/>
    <w:rsid w:val="6A42336B"/>
    <w:rsid w:val="6A481A52"/>
    <w:rsid w:val="6A4B0471"/>
    <w:rsid w:val="6A4B06F6"/>
    <w:rsid w:val="6A575068"/>
    <w:rsid w:val="6A5A06B4"/>
    <w:rsid w:val="6A611A43"/>
    <w:rsid w:val="6A624A2F"/>
    <w:rsid w:val="6A627569"/>
    <w:rsid w:val="6A640209"/>
    <w:rsid w:val="6A652FD8"/>
    <w:rsid w:val="6A6534F3"/>
    <w:rsid w:val="6A682DD1"/>
    <w:rsid w:val="6A6921D7"/>
    <w:rsid w:val="6A696B49"/>
    <w:rsid w:val="6A6A3122"/>
    <w:rsid w:val="6A731776"/>
    <w:rsid w:val="6A796A9F"/>
    <w:rsid w:val="6A7A2B04"/>
    <w:rsid w:val="6A7E25F5"/>
    <w:rsid w:val="6A813E93"/>
    <w:rsid w:val="6A883473"/>
    <w:rsid w:val="6A90057A"/>
    <w:rsid w:val="6A9260A0"/>
    <w:rsid w:val="6A9516EC"/>
    <w:rsid w:val="6A995680"/>
    <w:rsid w:val="6A9E0AB3"/>
    <w:rsid w:val="6AA302AD"/>
    <w:rsid w:val="6AA72412"/>
    <w:rsid w:val="6AAB7162"/>
    <w:rsid w:val="6AAD2EDA"/>
    <w:rsid w:val="6AB06526"/>
    <w:rsid w:val="6AB627B0"/>
    <w:rsid w:val="6AB75B07"/>
    <w:rsid w:val="6AB9362D"/>
    <w:rsid w:val="6ABA7372"/>
    <w:rsid w:val="6ABC577D"/>
    <w:rsid w:val="6AC326FD"/>
    <w:rsid w:val="6AC344AB"/>
    <w:rsid w:val="6ACA583A"/>
    <w:rsid w:val="6ACF10A2"/>
    <w:rsid w:val="6AD05952"/>
    <w:rsid w:val="6AD12861"/>
    <w:rsid w:val="6AD246EE"/>
    <w:rsid w:val="6AD77F57"/>
    <w:rsid w:val="6ADA2581"/>
    <w:rsid w:val="6AEB755E"/>
    <w:rsid w:val="6AF02DC7"/>
    <w:rsid w:val="6AF86168"/>
    <w:rsid w:val="6AFA64AC"/>
    <w:rsid w:val="6AFE54E3"/>
    <w:rsid w:val="6B00125C"/>
    <w:rsid w:val="6B0E1E52"/>
    <w:rsid w:val="6B0F4184"/>
    <w:rsid w:val="6B0F71E2"/>
    <w:rsid w:val="6B170353"/>
    <w:rsid w:val="6B1747F7"/>
    <w:rsid w:val="6B1B42E7"/>
    <w:rsid w:val="6B1E5B86"/>
    <w:rsid w:val="6B1F5FA9"/>
    <w:rsid w:val="6B217424"/>
    <w:rsid w:val="6B2A277C"/>
    <w:rsid w:val="6B322639"/>
    <w:rsid w:val="6B347157"/>
    <w:rsid w:val="6B364C7D"/>
    <w:rsid w:val="6B413622"/>
    <w:rsid w:val="6B427C02"/>
    <w:rsid w:val="6B43739A"/>
    <w:rsid w:val="6B4C48E8"/>
    <w:rsid w:val="6B5363CE"/>
    <w:rsid w:val="6B5430AF"/>
    <w:rsid w:val="6B56531F"/>
    <w:rsid w:val="6B572E46"/>
    <w:rsid w:val="6B572E49"/>
    <w:rsid w:val="6B581098"/>
    <w:rsid w:val="6B59096C"/>
    <w:rsid w:val="6B5949F9"/>
    <w:rsid w:val="6B5B2936"/>
    <w:rsid w:val="6B5C220A"/>
    <w:rsid w:val="6B637A3C"/>
    <w:rsid w:val="6B6932A5"/>
    <w:rsid w:val="6B6A2B79"/>
    <w:rsid w:val="6B6C3431"/>
    <w:rsid w:val="6B7439F8"/>
    <w:rsid w:val="6B76151E"/>
    <w:rsid w:val="6B7B4D86"/>
    <w:rsid w:val="6B7E5284"/>
    <w:rsid w:val="6B824366"/>
    <w:rsid w:val="6B881251"/>
    <w:rsid w:val="6B8D6867"/>
    <w:rsid w:val="6B8F438D"/>
    <w:rsid w:val="6B8F513C"/>
    <w:rsid w:val="6B910106"/>
    <w:rsid w:val="6B930322"/>
    <w:rsid w:val="6B952F78"/>
    <w:rsid w:val="6B981494"/>
    <w:rsid w:val="6B9A16B0"/>
    <w:rsid w:val="6B9B2D32"/>
    <w:rsid w:val="6B9D2F4E"/>
    <w:rsid w:val="6B9F6CC6"/>
    <w:rsid w:val="6BAC3191"/>
    <w:rsid w:val="6BB40298"/>
    <w:rsid w:val="6BB43DF4"/>
    <w:rsid w:val="6BB81B36"/>
    <w:rsid w:val="6BB838E4"/>
    <w:rsid w:val="6BB9765C"/>
    <w:rsid w:val="6BBA3B00"/>
    <w:rsid w:val="6BBD0EFB"/>
    <w:rsid w:val="6BBF1117"/>
    <w:rsid w:val="6BCE3108"/>
    <w:rsid w:val="6BCE4EB6"/>
    <w:rsid w:val="6BD12AD1"/>
    <w:rsid w:val="6BD526E8"/>
    <w:rsid w:val="6BDD7547"/>
    <w:rsid w:val="6BE40B7D"/>
    <w:rsid w:val="6BEA5A68"/>
    <w:rsid w:val="6BF3491C"/>
    <w:rsid w:val="6BF5165A"/>
    <w:rsid w:val="6BF568E6"/>
    <w:rsid w:val="6BF8342F"/>
    <w:rsid w:val="6BF95CAB"/>
    <w:rsid w:val="6BFB3FCD"/>
    <w:rsid w:val="6BFD1C3F"/>
    <w:rsid w:val="6BFF1513"/>
    <w:rsid w:val="6C005EAC"/>
    <w:rsid w:val="6C0528A2"/>
    <w:rsid w:val="6C0E1756"/>
    <w:rsid w:val="6C0E79A8"/>
    <w:rsid w:val="6C0F54CE"/>
    <w:rsid w:val="6C101972"/>
    <w:rsid w:val="6C117498"/>
    <w:rsid w:val="6C136D6D"/>
    <w:rsid w:val="6C155E31"/>
    <w:rsid w:val="6C165A05"/>
    <w:rsid w:val="6C170751"/>
    <w:rsid w:val="6C1F3963"/>
    <w:rsid w:val="6C214EA2"/>
    <w:rsid w:val="6C223454"/>
    <w:rsid w:val="6C264CF2"/>
    <w:rsid w:val="6C2B2308"/>
    <w:rsid w:val="6C2B3654"/>
    <w:rsid w:val="6C2B67AC"/>
    <w:rsid w:val="6C2C6080"/>
    <w:rsid w:val="6C2E004A"/>
    <w:rsid w:val="6C30791F"/>
    <w:rsid w:val="6C33740F"/>
    <w:rsid w:val="6C3513D9"/>
    <w:rsid w:val="6C376EFF"/>
    <w:rsid w:val="6C3867D3"/>
    <w:rsid w:val="6C3D028D"/>
    <w:rsid w:val="6C3F7B62"/>
    <w:rsid w:val="6C417D7E"/>
    <w:rsid w:val="6C496C32"/>
    <w:rsid w:val="6C4C0AD1"/>
    <w:rsid w:val="6C4C5516"/>
    <w:rsid w:val="6C4E140D"/>
    <w:rsid w:val="6C4E742C"/>
    <w:rsid w:val="6C537AB1"/>
    <w:rsid w:val="6C5B1319"/>
    <w:rsid w:val="6C5B6D25"/>
    <w:rsid w:val="6C5C0714"/>
    <w:rsid w:val="6C5E2E70"/>
    <w:rsid w:val="6C621AA2"/>
    <w:rsid w:val="6C636C38"/>
    <w:rsid w:val="6C6677E4"/>
    <w:rsid w:val="6C731F01"/>
    <w:rsid w:val="6C733CAF"/>
    <w:rsid w:val="6C757A27"/>
    <w:rsid w:val="6C7A503E"/>
    <w:rsid w:val="6C7C1405"/>
    <w:rsid w:val="6C7C2B64"/>
    <w:rsid w:val="6C7F4402"/>
    <w:rsid w:val="6C804DEF"/>
    <w:rsid w:val="6C81017A"/>
    <w:rsid w:val="6C847C6A"/>
    <w:rsid w:val="6C8639E2"/>
    <w:rsid w:val="6C8E6D3B"/>
    <w:rsid w:val="6C9102FF"/>
    <w:rsid w:val="6C92218A"/>
    <w:rsid w:val="6C937EAD"/>
    <w:rsid w:val="6C9500C9"/>
    <w:rsid w:val="6C960867"/>
    <w:rsid w:val="6C97174C"/>
    <w:rsid w:val="6C9D2ADA"/>
    <w:rsid w:val="6CA125CA"/>
    <w:rsid w:val="6CA34594"/>
    <w:rsid w:val="6CA9147F"/>
    <w:rsid w:val="6CAE6A95"/>
    <w:rsid w:val="6CB06CB1"/>
    <w:rsid w:val="6CBC3901"/>
    <w:rsid w:val="6CBC5656"/>
    <w:rsid w:val="6CBD4F2A"/>
    <w:rsid w:val="6CC16DF1"/>
    <w:rsid w:val="6CC462B9"/>
    <w:rsid w:val="6CC664D5"/>
    <w:rsid w:val="6CC81212"/>
    <w:rsid w:val="6CD26C28"/>
    <w:rsid w:val="6CD3474E"/>
    <w:rsid w:val="6CE26D5D"/>
    <w:rsid w:val="6CE32BE3"/>
    <w:rsid w:val="6CE4695B"/>
    <w:rsid w:val="6CE60925"/>
    <w:rsid w:val="6CE81FA7"/>
    <w:rsid w:val="6CEB0E5F"/>
    <w:rsid w:val="6CEB120D"/>
    <w:rsid w:val="6CED5810"/>
    <w:rsid w:val="6CF22E26"/>
    <w:rsid w:val="6CF52916"/>
    <w:rsid w:val="6CF63A92"/>
    <w:rsid w:val="6CF941B4"/>
    <w:rsid w:val="6CFC32B8"/>
    <w:rsid w:val="6CFC4F20"/>
    <w:rsid w:val="6CFC5A53"/>
    <w:rsid w:val="6CFF0B45"/>
    <w:rsid w:val="6D0112BB"/>
    <w:rsid w:val="6D013776"/>
    <w:rsid w:val="6D026DC6"/>
    <w:rsid w:val="6D0512FF"/>
    <w:rsid w:val="6D0B038C"/>
    <w:rsid w:val="6D0B4F67"/>
    <w:rsid w:val="6D154D66"/>
    <w:rsid w:val="6D194857"/>
    <w:rsid w:val="6D1B05CF"/>
    <w:rsid w:val="6D1C7EA3"/>
    <w:rsid w:val="6D1E1E6D"/>
    <w:rsid w:val="6D205BE5"/>
    <w:rsid w:val="6D2154B9"/>
    <w:rsid w:val="6D267B26"/>
    <w:rsid w:val="6D2A6A64"/>
    <w:rsid w:val="6D2C27DC"/>
    <w:rsid w:val="6D34343E"/>
    <w:rsid w:val="6D372F2F"/>
    <w:rsid w:val="6D3A657B"/>
    <w:rsid w:val="6D3C1731"/>
    <w:rsid w:val="6D3E42BD"/>
    <w:rsid w:val="6D435308"/>
    <w:rsid w:val="6D4573FA"/>
    <w:rsid w:val="6D4A2C62"/>
    <w:rsid w:val="6D4A4A10"/>
    <w:rsid w:val="6D4B3F19"/>
    <w:rsid w:val="6D515941"/>
    <w:rsid w:val="6D543AE1"/>
    <w:rsid w:val="6D5910F7"/>
    <w:rsid w:val="6D602485"/>
    <w:rsid w:val="6D605FE2"/>
    <w:rsid w:val="6D617FAC"/>
    <w:rsid w:val="6D667370"/>
    <w:rsid w:val="6D673814"/>
    <w:rsid w:val="6D6A6E60"/>
    <w:rsid w:val="6D6C0E2A"/>
    <w:rsid w:val="6D6E6E45"/>
    <w:rsid w:val="6D723F67"/>
    <w:rsid w:val="6D741A8D"/>
    <w:rsid w:val="6D7766CE"/>
    <w:rsid w:val="6D7970A3"/>
    <w:rsid w:val="6D7D4DE5"/>
    <w:rsid w:val="6D7E290C"/>
    <w:rsid w:val="6D836174"/>
    <w:rsid w:val="6D864791"/>
    <w:rsid w:val="6D8A7502"/>
    <w:rsid w:val="6D8C14BB"/>
    <w:rsid w:val="6D8D2B4F"/>
    <w:rsid w:val="6D8F4B19"/>
    <w:rsid w:val="6D967C55"/>
    <w:rsid w:val="6D997745"/>
    <w:rsid w:val="6D9A2D85"/>
    <w:rsid w:val="6D9C0FE4"/>
    <w:rsid w:val="6DA265FA"/>
    <w:rsid w:val="6DA34120"/>
    <w:rsid w:val="6DA41B00"/>
    <w:rsid w:val="6DAA1953"/>
    <w:rsid w:val="6DB157EC"/>
    <w:rsid w:val="6DB225B5"/>
    <w:rsid w:val="6DB34098"/>
    <w:rsid w:val="6DB545B6"/>
    <w:rsid w:val="6DB93944"/>
    <w:rsid w:val="6DBC594E"/>
    <w:rsid w:val="6DBE0F5A"/>
    <w:rsid w:val="6DC02C1E"/>
    <w:rsid w:val="6DC04CD2"/>
    <w:rsid w:val="6DC16B04"/>
    <w:rsid w:val="6DC42A14"/>
    <w:rsid w:val="6DC9627D"/>
    <w:rsid w:val="6DCA3DA3"/>
    <w:rsid w:val="6DD038D1"/>
    <w:rsid w:val="6DD51ED2"/>
    <w:rsid w:val="6DD54C21"/>
    <w:rsid w:val="6DD86E68"/>
    <w:rsid w:val="6DD9192B"/>
    <w:rsid w:val="6DDA1931"/>
    <w:rsid w:val="6DDA2238"/>
    <w:rsid w:val="6DDD7632"/>
    <w:rsid w:val="6DDF4286"/>
    <w:rsid w:val="6DE07122"/>
    <w:rsid w:val="6DE309C1"/>
    <w:rsid w:val="6DE50BDD"/>
    <w:rsid w:val="6DE9247B"/>
    <w:rsid w:val="6DE94229"/>
    <w:rsid w:val="6DEE2714"/>
    <w:rsid w:val="6DF130DE"/>
    <w:rsid w:val="6DF350A8"/>
    <w:rsid w:val="6DF80910"/>
    <w:rsid w:val="6DF826BE"/>
    <w:rsid w:val="6DF901E4"/>
    <w:rsid w:val="6DFA4688"/>
    <w:rsid w:val="6DFB1424"/>
    <w:rsid w:val="6E04380A"/>
    <w:rsid w:val="6E072901"/>
    <w:rsid w:val="6E0948CB"/>
    <w:rsid w:val="6E0A6EA2"/>
    <w:rsid w:val="6E0B4EFC"/>
    <w:rsid w:val="6E0F17B6"/>
    <w:rsid w:val="6E13574A"/>
    <w:rsid w:val="6E1B281B"/>
    <w:rsid w:val="6E22598D"/>
    <w:rsid w:val="6E22773B"/>
    <w:rsid w:val="6E2407C0"/>
    <w:rsid w:val="6E2434B3"/>
    <w:rsid w:val="6E245261"/>
    <w:rsid w:val="6E2A4841"/>
    <w:rsid w:val="6E2B2A93"/>
    <w:rsid w:val="6E2C2368"/>
    <w:rsid w:val="6E3336F6"/>
    <w:rsid w:val="6E3F02ED"/>
    <w:rsid w:val="6E430122"/>
    <w:rsid w:val="6E4375A0"/>
    <w:rsid w:val="6E46167B"/>
    <w:rsid w:val="6E4771A1"/>
    <w:rsid w:val="6E493F8C"/>
    <w:rsid w:val="6E496F01"/>
    <w:rsid w:val="6E4E6782"/>
    <w:rsid w:val="6E5024FA"/>
    <w:rsid w:val="6E514CED"/>
    <w:rsid w:val="6E5518BE"/>
    <w:rsid w:val="6E565636"/>
    <w:rsid w:val="6E587601"/>
    <w:rsid w:val="6E597DC9"/>
    <w:rsid w:val="6E5D4C17"/>
    <w:rsid w:val="6E5D6D8A"/>
    <w:rsid w:val="6E625D89"/>
    <w:rsid w:val="6E650E15"/>
    <w:rsid w:val="6E6623CD"/>
    <w:rsid w:val="6E663ACB"/>
    <w:rsid w:val="6E6C7882"/>
    <w:rsid w:val="6E755ABD"/>
    <w:rsid w:val="6E76798E"/>
    <w:rsid w:val="6E786E93"/>
    <w:rsid w:val="6E79491A"/>
    <w:rsid w:val="6E82467D"/>
    <w:rsid w:val="6E8E6B7E"/>
    <w:rsid w:val="6E906D9A"/>
    <w:rsid w:val="6E91666F"/>
    <w:rsid w:val="6E941144"/>
    <w:rsid w:val="6E985C4F"/>
    <w:rsid w:val="6E9C573F"/>
    <w:rsid w:val="6E9F6FDD"/>
    <w:rsid w:val="6EA37E3E"/>
    <w:rsid w:val="6EA445F4"/>
    <w:rsid w:val="6EA510B2"/>
    <w:rsid w:val="6EA6211A"/>
    <w:rsid w:val="6EB1286D"/>
    <w:rsid w:val="6EB20ABF"/>
    <w:rsid w:val="6EB41E64"/>
    <w:rsid w:val="6EB563D5"/>
    <w:rsid w:val="6EBA6F09"/>
    <w:rsid w:val="6EBD7464"/>
    <w:rsid w:val="6EC30F1E"/>
    <w:rsid w:val="6EC407F2"/>
    <w:rsid w:val="6EC425A0"/>
    <w:rsid w:val="6EC46A44"/>
    <w:rsid w:val="6EC66318"/>
    <w:rsid w:val="6EC72090"/>
    <w:rsid w:val="6EC86534"/>
    <w:rsid w:val="6ECA1007"/>
    <w:rsid w:val="6ED21161"/>
    <w:rsid w:val="6ED50C51"/>
    <w:rsid w:val="6EDA0016"/>
    <w:rsid w:val="6EDC0332"/>
    <w:rsid w:val="6EDE1721"/>
    <w:rsid w:val="6EDF562C"/>
    <w:rsid w:val="6EE127E5"/>
    <w:rsid w:val="6EE3336E"/>
    <w:rsid w:val="6EED1FF5"/>
    <w:rsid w:val="6EED5F9B"/>
    <w:rsid w:val="6EF235B1"/>
    <w:rsid w:val="6EF54E4F"/>
    <w:rsid w:val="6EFF182A"/>
    <w:rsid w:val="6EFF440A"/>
    <w:rsid w:val="6EFF7A7C"/>
    <w:rsid w:val="6F0137F4"/>
    <w:rsid w:val="6F082DD5"/>
    <w:rsid w:val="6F086931"/>
    <w:rsid w:val="6F0D03EB"/>
    <w:rsid w:val="6F0F7D5C"/>
    <w:rsid w:val="6F1144B0"/>
    <w:rsid w:val="6F126B79"/>
    <w:rsid w:val="6F152DFC"/>
    <w:rsid w:val="6F1C1F3D"/>
    <w:rsid w:val="6F225983"/>
    <w:rsid w:val="6F2319BD"/>
    <w:rsid w:val="6F287F6F"/>
    <w:rsid w:val="6F2D45E9"/>
    <w:rsid w:val="6F2F65B3"/>
    <w:rsid w:val="6F345978"/>
    <w:rsid w:val="6F394D3C"/>
    <w:rsid w:val="6F3C2A7E"/>
    <w:rsid w:val="6F3E67F6"/>
    <w:rsid w:val="6F433E0D"/>
    <w:rsid w:val="6F481423"/>
    <w:rsid w:val="6F490CF7"/>
    <w:rsid w:val="6F4A519B"/>
    <w:rsid w:val="6F4B0F13"/>
    <w:rsid w:val="6F4B2CC1"/>
    <w:rsid w:val="6F4D07E7"/>
    <w:rsid w:val="6F4D4C8B"/>
    <w:rsid w:val="6F4D6F96"/>
    <w:rsid w:val="6F4F630E"/>
    <w:rsid w:val="6F5007E2"/>
    <w:rsid w:val="6F5A4CB2"/>
    <w:rsid w:val="6F5D2C01"/>
    <w:rsid w:val="6F5E0C47"/>
    <w:rsid w:val="6F60676D"/>
    <w:rsid w:val="6F6124E5"/>
    <w:rsid w:val="6F644787"/>
    <w:rsid w:val="6F673B85"/>
    <w:rsid w:val="6F6D491A"/>
    <w:rsid w:val="6F72517F"/>
    <w:rsid w:val="6F725BBB"/>
    <w:rsid w:val="6F745D74"/>
    <w:rsid w:val="6F751AEC"/>
    <w:rsid w:val="6F7904EA"/>
    <w:rsid w:val="6F795A80"/>
    <w:rsid w:val="6F7F743C"/>
    <w:rsid w:val="6F885CC3"/>
    <w:rsid w:val="6F8F1B70"/>
    <w:rsid w:val="6F901390"/>
    <w:rsid w:val="6F934682"/>
    <w:rsid w:val="6F9B1553"/>
    <w:rsid w:val="6FA279E0"/>
    <w:rsid w:val="6FA34A20"/>
    <w:rsid w:val="6FA80114"/>
    <w:rsid w:val="6FAA3E8C"/>
    <w:rsid w:val="6FAC19B2"/>
    <w:rsid w:val="6FAD74D8"/>
    <w:rsid w:val="6FB03B79"/>
    <w:rsid w:val="6FB12BB4"/>
    <w:rsid w:val="6FB371D3"/>
    <w:rsid w:val="6FB66A33"/>
    <w:rsid w:val="6FB70357"/>
    <w:rsid w:val="6FC247B9"/>
    <w:rsid w:val="6FC30AAA"/>
    <w:rsid w:val="6FC50CC6"/>
    <w:rsid w:val="6FC82564"/>
    <w:rsid w:val="6FCA62DC"/>
    <w:rsid w:val="6FD11419"/>
    <w:rsid w:val="6FD20CED"/>
    <w:rsid w:val="6FD311BE"/>
    <w:rsid w:val="6FD35191"/>
    <w:rsid w:val="6FD809F9"/>
    <w:rsid w:val="6FD9207B"/>
    <w:rsid w:val="6FDF69AC"/>
    <w:rsid w:val="6FE27A2C"/>
    <w:rsid w:val="6FE3114C"/>
    <w:rsid w:val="6FE50A20"/>
    <w:rsid w:val="6FE543B9"/>
    <w:rsid w:val="6FE7243C"/>
    <w:rsid w:val="6FE85244"/>
    <w:rsid w:val="6FEA072C"/>
    <w:rsid w:val="6FEA4288"/>
    <w:rsid w:val="6FED3D79"/>
    <w:rsid w:val="6FED5B27"/>
    <w:rsid w:val="6FEE1FCA"/>
    <w:rsid w:val="6FEF2BB1"/>
    <w:rsid w:val="6FF5548D"/>
    <w:rsid w:val="6FF70753"/>
    <w:rsid w:val="6FF84BF7"/>
    <w:rsid w:val="6FF869A5"/>
    <w:rsid w:val="6FFA3B3C"/>
    <w:rsid w:val="6FFB0243"/>
    <w:rsid w:val="6FFC5590"/>
    <w:rsid w:val="6FFD3FBC"/>
    <w:rsid w:val="6FFE7D34"/>
    <w:rsid w:val="70003AAC"/>
    <w:rsid w:val="7003534A"/>
    <w:rsid w:val="7003546C"/>
    <w:rsid w:val="70111815"/>
    <w:rsid w:val="701337DF"/>
    <w:rsid w:val="70141305"/>
    <w:rsid w:val="70144C09"/>
    <w:rsid w:val="70175A87"/>
    <w:rsid w:val="70186826"/>
    <w:rsid w:val="701B08E6"/>
    <w:rsid w:val="701B2694"/>
    <w:rsid w:val="701D640C"/>
    <w:rsid w:val="70221C74"/>
    <w:rsid w:val="70231548"/>
    <w:rsid w:val="702459EC"/>
    <w:rsid w:val="702754DC"/>
    <w:rsid w:val="7029639C"/>
    <w:rsid w:val="702C664F"/>
    <w:rsid w:val="702E0844"/>
    <w:rsid w:val="702E3539"/>
    <w:rsid w:val="702E686B"/>
    <w:rsid w:val="702F4391"/>
    <w:rsid w:val="702F4530"/>
    <w:rsid w:val="70301DA3"/>
    <w:rsid w:val="7036571F"/>
    <w:rsid w:val="70383246"/>
    <w:rsid w:val="70384FF4"/>
    <w:rsid w:val="704240C4"/>
    <w:rsid w:val="70473489"/>
    <w:rsid w:val="70497201"/>
    <w:rsid w:val="704C0A9F"/>
    <w:rsid w:val="70531E2E"/>
    <w:rsid w:val="70567B70"/>
    <w:rsid w:val="70585696"/>
    <w:rsid w:val="70593891"/>
    <w:rsid w:val="705F4C76"/>
    <w:rsid w:val="70666005"/>
    <w:rsid w:val="70691651"/>
    <w:rsid w:val="70696F3D"/>
    <w:rsid w:val="706A63CD"/>
    <w:rsid w:val="706D1DD0"/>
    <w:rsid w:val="706D7810"/>
    <w:rsid w:val="706E6C67"/>
    <w:rsid w:val="7075449A"/>
    <w:rsid w:val="70765B1C"/>
    <w:rsid w:val="707A560C"/>
    <w:rsid w:val="707A59BC"/>
    <w:rsid w:val="707B3132"/>
    <w:rsid w:val="708244C1"/>
    <w:rsid w:val="70840239"/>
    <w:rsid w:val="70856B87"/>
    <w:rsid w:val="70877D29"/>
    <w:rsid w:val="70891CF3"/>
    <w:rsid w:val="708C752D"/>
    <w:rsid w:val="708E25E0"/>
    <w:rsid w:val="708E730A"/>
    <w:rsid w:val="708F6BDE"/>
    <w:rsid w:val="70935816"/>
    <w:rsid w:val="70974410"/>
    <w:rsid w:val="70986DE0"/>
    <w:rsid w:val="709A5CAE"/>
    <w:rsid w:val="709B291A"/>
    <w:rsid w:val="709D754D"/>
    <w:rsid w:val="709E4AA2"/>
    <w:rsid w:val="709E5582"/>
    <w:rsid w:val="70A00DEB"/>
    <w:rsid w:val="70A32137"/>
    <w:rsid w:val="70AC7790"/>
    <w:rsid w:val="70B328CC"/>
    <w:rsid w:val="70B34FC2"/>
    <w:rsid w:val="70B54896"/>
    <w:rsid w:val="70B623BC"/>
    <w:rsid w:val="70BF74C3"/>
    <w:rsid w:val="70C42D2B"/>
    <w:rsid w:val="70C660AD"/>
    <w:rsid w:val="70C8281B"/>
    <w:rsid w:val="70CC398E"/>
    <w:rsid w:val="70D171F6"/>
    <w:rsid w:val="70D2369A"/>
    <w:rsid w:val="70D527EE"/>
    <w:rsid w:val="70DF5DB7"/>
    <w:rsid w:val="70E1568B"/>
    <w:rsid w:val="70E231B1"/>
    <w:rsid w:val="70E7115A"/>
    <w:rsid w:val="70F30C50"/>
    <w:rsid w:val="70F3716D"/>
    <w:rsid w:val="70F80C27"/>
    <w:rsid w:val="70F829D5"/>
    <w:rsid w:val="70F84783"/>
    <w:rsid w:val="70FF5B11"/>
    <w:rsid w:val="71025602"/>
    <w:rsid w:val="7104581E"/>
    <w:rsid w:val="71053EA6"/>
    <w:rsid w:val="710851C5"/>
    <w:rsid w:val="710A276A"/>
    <w:rsid w:val="710E3140"/>
    <w:rsid w:val="71105F71"/>
    <w:rsid w:val="7113780F"/>
    <w:rsid w:val="71186BD3"/>
    <w:rsid w:val="711C66C3"/>
    <w:rsid w:val="71213CDA"/>
    <w:rsid w:val="71285068"/>
    <w:rsid w:val="71311217"/>
    <w:rsid w:val="71347EB1"/>
    <w:rsid w:val="7137174F"/>
    <w:rsid w:val="713A4D9B"/>
    <w:rsid w:val="713F0604"/>
    <w:rsid w:val="714025F2"/>
    <w:rsid w:val="71410FFA"/>
    <w:rsid w:val="714125CE"/>
    <w:rsid w:val="7141612A"/>
    <w:rsid w:val="714479C8"/>
    <w:rsid w:val="71494FDF"/>
    <w:rsid w:val="714E77C7"/>
    <w:rsid w:val="7150636D"/>
    <w:rsid w:val="71542301"/>
    <w:rsid w:val="715A71EC"/>
    <w:rsid w:val="715B3690"/>
    <w:rsid w:val="715B5300"/>
    <w:rsid w:val="715D3781"/>
    <w:rsid w:val="715F4BD7"/>
    <w:rsid w:val="71685DAD"/>
    <w:rsid w:val="71692DEE"/>
    <w:rsid w:val="71695F16"/>
    <w:rsid w:val="716A5681"/>
    <w:rsid w:val="716B764B"/>
    <w:rsid w:val="716C66CF"/>
    <w:rsid w:val="71702252"/>
    <w:rsid w:val="717958C4"/>
    <w:rsid w:val="717C41F3"/>
    <w:rsid w:val="718524BB"/>
    <w:rsid w:val="71864485"/>
    <w:rsid w:val="718E4C5A"/>
    <w:rsid w:val="71946BA2"/>
    <w:rsid w:val="71950224"/>
    <w:rsid w:val="71956476"/>
    <w:rsid w:val="71985ADC"/>
    <w:rsid w:val="71995F66"/>
    <w:rsid w:val="719E357C"/>
    <w:rsid w:val="719E474F"/>
    <w:rsid w:val="71A52274"/>
    <w:rsid w:val="71A67840"/>
    <w:rsid w:val="71A861A9"/>
    <w:rsid w:val="71AB48B1"/>
    <w:rsid w:val="71B132B0"/>
    <w:rsid w:val="71B52674"/>
    <w:rsid w:val="71BC7EA6"/>
    <w:rsid w:val="71BD7E79"/>
    <w:rsid w:val="71C56D5B"/>
    <w:rsid w:val="71C6373E"/>
    <w:rsid w:val="71C72AD3"/>
    <w:rsid w:val="71CD3E62"/>
    <w:rsid w:val="71CD79BE"/>
    <w:rsid w:val="71D27F8A"/>
    <w:rsid w:val="71E13469"/>
    <w:rsid w:val="71E511AB"/>
    <w:rsid w:val="71EC078C"/>
    <w:rsid w:val="71ED21B3"/>
    <w:rsid w:val="71EF202A"/>
    <w:rsid w:val="71F413EE"/>
    <w:rsid w:val="71F744C6"/>
    <w:rsid w:val="71F92EA9"/>
    <w:rsid w:val="71F960CF"/>
    <w:rsid w:val="71FE04BF"/>
    <w:rsid w:val="71FE0CFF"/>
    <w:rsid w:val="72037883"/>
    <w:rsid w:val="72084E9A"/>
    <w:rsid w:val="72090091"/>
    <w:rsid w:val="720F4AB6"/>
    <w:rsid w:val="72113D47"/>
    <w:rsid w:val="72135089"/>
    <w:rsid w:val="7214383E"/>
    <w:rsid w:val="72144E11"/>
    <w:rsid w:val="72165809"/>
    <w:rsid w:val="72190E55"/>
    <w:rsid w:val="72203F91"/>
    <w:rsid w:val="72206F55"/>
    <w:rsid w:val="72226347"/>
    <w:rsid w:val="72232B8E"/>
    <w:rsid w:val="722515A8"/>
    <w:rsid w:val="722577FA"/>
    <w:rsid w:val="722717C4"/>
    <w:rsid w:val="722A3062"/>
    <w:rsid w:val="722D2858"/>
    <w:rsid w:val="72330169"/>
    <w:rsid w:val="723B526F"/>
    <w:rsid w:val="7243340D"/>
    <w:rsid w:val="72435ED2"/>
    <w:rsid w:val="72442376"/>
    <w:rsid w:val="72457E9C"/>
    <w:rsid w:val="72483C2E"/>
    <w:rsid w:val="7249040E"/>
    <w:rsid w:val="7249798C"/>
    <w:rsid w:val="724A3704"/>
    <w:rsid w:val="724C2FD8"/>
    <w:rsid w:val="724C4D86"/>
    <w:rsid w:val="724C706C"/>
    <w:rsid w:val="724D0AFE"/>
    <w:rsid w:val="724F7474"/>
    <w:rsid w:val="72516841"/>
    <w:rsid w:val="72563E57"/>
    <w:rsid w:val="725E2D0C"/>
    <w:rsid w:val="72620A4E"/>
    <w:rsid w:val="7264459B"/>
    <w:rsid w:val="72646574"/>
    <w:rsid w:val="72655E48"/>
    <w:rsid w:val="726B1116"/>
    <w:rsid w:val="726F6CC7"/>
    <w:rsid w:val="7275721E"/>
    <w:rsid w:val="727A5D97"/>
    <w:rsid w:val="72800ED4"/>
    <w:rsid w:val="72842772"/>
    <w:rsid w:val="728564EA"/>
    <w:rsid w:val="72862DE7"/>
    <w:rsid w:val="728E091D"/>
    <w:rsid w:val="72914E8F"/>
    <w:rsid w:val="72930C07"/>
    <w:rsid w:val="729329B5"/>
    <w:rsid w:val="729606F7"/>
    <w:rsid w:val="72966949"/>
    <w:rsid w:val="7297664B"/>
    <w:rsid w:val="7298446F"/>
    <w:rsid w:val="72A03324"/>
    <w:rsid w:val="72A44BC2"/>
    <w:rsid w:val="72A46970"/>
    <w:rsid w:val="72A9418F"/>
    <w:rsid w:val="72A9667D"/>
    <w:rsid w:val="72AF5690"/>
    <w:rsid w:val="72B172DF"/>
    <w:rsid w:val="72B56DCF"/>
    <w:rsid w:val="72BB015E"/>
    <w:rsid w:val="72C131B2"/>
    <w:rsid w:val="72C214EC"/>
    <w:rsid w:val="72C76912"/>
    <w:rsid w:val="72C963D7"/>
    <w:rsid w:val="72CC236B"/>
    <w:rsid w:val="72CC4119"/>
    <w:rsid w:val="72CE60E3"/>
    <w:rsid w:val="72CE7E91"/>
    <w:rsid w:val="72D00517"/>
    <w:rsid w:val="72D644DE"/>
    <w:rsid w:val="72D73968"/>
    <w:rsid w:val="72D80D10"/>
    <w:rsid w:val="72DA3A73"/>
    <w:rsid w:val="72DD00D4"/>
    <w:rsid w:val="72DD5F01"/>
    <w:rsid w:val="72E75119"/>
    <w:rsid w:val="72E94CCB"/>
    <w:rsid w:val="72E96A79"/>
    <w:rsid w:val="72EB27F1"/>
    <w:rsid w:val="72F258C2"/>
    <w:rsid w:val="72F31907"/>
    <w:rsid w:val="72FA0C86"/>
    <w:rsid w:val="72FA74C9"/>
    <w:rsid w:val="72FB055A"/>
    <w:rsid w:val="72FD42D3"/>
    <w:rsid w:val="73027B3B"/>
    <w:rsid w:val="730613D9"/>
    <w:rsid w:val="7306762B"/>
    <w:rsid w:val="73076EFF"/>
    <w:rsid w:val="730833A3"/>
    <w:rsid w:val="73117D7E"/>
    <w:rsid w:val="73142E27"/>
    <w:rsid w:val="7316181C"/>
    <w:rsid w:val="731A30D6"/>
    <w:rsid w:val="731C2459"/>
    <w:rsid w:val="731F5D5E"/>
    <w:rsid w:val="73216213"/>
    <w:rsid w:val="73221F8B"/>
    <w:rsid w:val="73263829"/>
    <w:rsid w:val="7327064F"/>
    <w:rsid w:val="732C5510"/>
    <w:rsid w:val="733817AF"/>
    <w:rsid w:val="7338355D"/>
    <w:rsid w:val="73397A01"/>
    <w:rsid w:val="733F2B3D"/>
    <w:rsid w:val="73426189"/>
    <w:rsid w:val="7346211D"/>
    <w:rsid w:val="73465C7A"/>
    <w:rsid w:val="734A7BDE"/>
    <w:rsid w:val="734E2D80"/>
    <w:rsid w:val="734E4B2E"/>
    <w:rsid w:val="73530396"/>
    <w:rsid w:val="735465E8"/>
    <w:rsid w:val="735635E4"/>
    <w:rsid w:val="7359395E"/>
    <w:rsid w:val="735D79A5"/>
    <w:rsid w:val="735E1215"/>
    <w:rsid w:val="735E1E53"/>
    <w:rsid w:val="736305DA"/>
    <w:rsid w:val="736A5E0C"/>
    <w:rsid w:val="736D76AA"/>
    <w:rsid w:val="73700F48"/>
    <w:rsid w:val="73702CF6"/>
    <w:rsid w:val="737062B6"/>
    <w:rsid w:val="737462E1"/>
    <w:rsid w:val="737819FB"/>
    <w:rsid w:val="7379604F"/>
    <w:rsid w:val="737F73DD"/>
    <w:rsid w:val="7382588D"/>
    <w:rsid w:val="7383282E"/>
    <w:rsid w:val="73840550"/>
    <w:rsid w:val="7386076C"/>
    <w:rsid w:val="73886292"/>
    <w:rsid w:val="738F520D"/>
    <w:rsid w:val="7398711B"/>
    <w:rsid w:val="739C1D3D"/>
    <w:rsid w:val="739C3AEB"/>
    <w:rsid w:val="73A115C0"/>
    <w:rsid w:val="73A3131E"/>
    <w:rsid w:val="73A40BF2"/>
    <w:rsid w:val="73AB01D2"/>
    <w:rsid w:val="73AB1F81"/>
    <w:rsid w:val="73B726D3"/>
    <w:rsid w:val="73BB1DFB"/>
    <w:rsid w:val="73BE3A62"/>
    <w:rsid w:val="73BF31E9"/>
    <w:rsid w:val="73C13552"/>
    <w:rsid w:val="73C179F6"/>
    <w:rsid w:val="73C60B68"/>
    <w:rsid w:val="73CC2623"/>
    <w:rsid w:val="73CC79FC"/>
    <w:rsid w:val="73D028F7"/>
    <w:rsid w:val="73D03795"/>
    <w:rsid w:val="73D2575F"/>
    <w:rsid w:val="73D72D76"/>
    <w:rsid w:val="73DB0AB8"/>
    <w:rsid w:val="73DB2866"/>
    <w:rsid w:val="73DC213A"/>
    <w:rsid w:val="73DC4E36"/>
    <w:rsid w:val="73DE4104"/>
    <w:rsid w:val="73DE5EB2"/>
    <w:rsid w:val="73DF2727"/>
    <w:rsid w:val="73E01C2A"/>
    <w:rsid w:val="73E32748"/>
    <w:rsid w:val="73EA3012"/>
    <w:rsid w:val="73EF4563"/>
    <w:rsid w:val="73F2195D"/>
    <w:rsid w:val="73F27BAF"/>
    <w:rsid w:val="73F61F09"/>
    <w:rsid w:val="73F676A0"/>
    <w:rsid w:val="73F819A5"/>
    <w:rsid w:val="73F97190"/>
    <w:rsid w:val="74017DF2"/>
    <w:rsid w:val="74024296"/>
    <w:rsid w:val="74031DBD"/>
    <w:rsid w:val="740718AD"/>
    <w:rsid w:val="74082FD3"/>
    <w:rsid w:val="740C48D9"/>
    <w:rsid w:val="7416564C"/>
    <w:rsid w:val="741915E0"/>
    <w:rsid w:val="741E793C"/>
    <w:rsid w:val="74213FF1"/>
    <w:rsid w:val="742400E9"/>
    <w:rsid w:val="74275AAB"/>
    <w:rsid w:val="74277E3A"/>
    <w:rsid w:val="742C30C1"/>
    <w:rsid w:val="74324450"/>
    <w:rsid w:val="743326A2"/>
    <w:rsid w:val="74381A66"/>
    <w:rsid w:val="743C0E2B"/>
    <w:rsid w:val="743D707D"/>
    <w:rsid w:val="74410A17"/>
    <w:rsid w:val="744523D5"/>
    <w:rsid w:val="74457850"/>
    <w:rsid w:val="74471CA9"/>
    <w:rsid w:val="7447614D"/>
    <w:rsid w:val="74487DCD"/>
    <w:rsid w:val="744C3764"/>
    <w:rsid w:val="744C5512"/>
    <w:rsid w:val="744C72C0"/>
    <w:rsid w:val="744E128A"/>
    <w:rsid w:val="744F4C3F"/>
    <w:rsid w:val="744F5FE5"/>
    <w:rsid w:val="74566390"/>
    <w:rsid w:val="74575798"/>
    <w:rsid w:val="745B5755"/>
    <w:rsid w:val="74604B19"/>
    <w:rsid w:val="74631ADE"/>
    <w:rsid w:val="74640AAD"/>
    <w:rsid w:val="746565D3"/>
    <w:rsid w:val="746740F9"/>
    <w:rsid w:val="74675EA7"/>
    <w:rsid w:val="746A5998"/>
    <w:rsid w:val="746C7962"/>
    <w:rsid w:val="746D092B"/>
    <w:rsid w:val="74734539"/>
    <w:rsid w:val="74746816"/>
    <w:rsid w:val="7476301D"/>
    <w:rsid w:val="74784559"/>
    <w:rsid w:val="74793E2D"/>
    <w:rsid w:val="747B5DF7"/>
    <w:rsid w:val="747C2324"/>
    <w:rsid w:val="74806E03"/>
    <w:rsid w:val="748527D2"/>
    <w:rsid w:val="748C0004"/>
    <w:rsid w:val="748C2B39"/>
    <w:rsid w:val="748C590E"/>
    <w:rsid w:val="748D49CD"/>
    <w:rsid w:val="748F1AFC"/>
    <w:rsid w:val="74934EEE"/>
    <w:rsid w:val="74980757"/>
    <w:rsid w:val="7499002B"/>
    <w:rsid w:val="749B0247"/>
    <w:rsid w:val="749B1FF5"/>
    <w:rsid w:val="749B5C86"/>
    <w:rsid w:val="749D6880"/>
    <w:rsid w:val="749D7B1B"/>
    <w:rsid w:val="74A4534E"/>
    <w:rsid w:val="74A50BEC"/>
    <w:rsid w:val="74A52E74"/>
    <w:rsid w:val="74AC35B3"/>
    <w:rsid w:val="74AE3AD6"/>
    <w:rsid w:val="74AE4B4E"/>
    <w:rsid w:val="74B135C7"/>
    <w:rsid w:val="74B314A3"/>
    <w:rsid w:val="74B64406"/>
    <w:rsid w:val="74BA31C7"/>
    <w:rsid w:val="74BE7A92"/>
    <w:rsid w:val="74C351B8"/>
    <w:rsid w:val="74C4154C"/>
    <w:rsid w:val="74C432FA"/>
    <w:rsid w:val="74C4779E"/>
    <w:rsid w:val="74CC2B9D"/>
    <w:rsid w:val="74CC7FCC"/>
    <w:rsid w:val="74D97E42"/>
    <w:rsid w:val="74DA6907"/>
    <w:rsid w:val="74DB6895"/>
    <w:rsid w:val="74DD6779"/>
    <w:rsid w:val="74DE2DFA"/>
    <w:rsid w:val="74E03EAC"/>
    <w:rsid w:val="74E05C5A"/>
    <w:rsid w:val="74E221F2"/>
    <w:rsid w:val="74E25E76"/>
    <w:rsid w:val="74E90AEC"/>
    <w:rsid w:val="74E97204"/>
    <w:rsid w:val="74EC45FF"/>
    <w:rsid w:val="74EF50AE"/>
    <w:rsid w:val="74F636CF"/>
    <w:rsid w:val="74F87447"/>
    <w:rsid w:val="74FC2045"/>
    <w:rsid w:val="74FD4A5E"/>
    <w:rsid w:val="75022074"/>
    <w:rsid w:val="75022368"/>
    <w:rsid w:val="7503583D"/>
    <w:rsid w:val="75061B64"/>
    <w:rsid w:val="75071439"/>
    <w:rsid w:val="750B09B8"/>
    <w:rsid w:val="750D643F"/>
    <w:rsid w:val="7513602F"/>
    <w:rsid w:val="7524023C"/>
    <w:rsid w:val="75241FEA"/>
    <w:rsid w:val="752975C2"/>
    <w:rsid w:val="752C70F1"/>
    <w:rsid w:val="752D5343"/>
    <w:rsid w:val="752D7D55"/>
    <w:rsid w:val="752F1C88"/>
    <w:rsid w:val="7532211D"/>
    <w:rsid w:val="75363ACC"/>
    <w:rsid w:val="75394CD8"/>
    <w:rsid w:val="753B10E2"/>
    <w:rsid w:val="753F0BD2"/>
    <w:rsid w:val="753F6E24"/>
    <w:rsid w:val="75410DEE"/>
    <w:rsid w:val="75412B9C"/>
    <w:rsid w:val="7544268D"/>
    <w:rsid w:val="75461F61"/>
    <w:rsid w:val="75491A51"/>
    <w:rsid w:val="754B7577"/>
    <w:rsid w:val="75530B22"/>
    <w:rsid w:val="7553467E"/>
    <w:rsid w:val="755521A4"/>
    <w:rsid w:val="755A5A0C"/>
    <w:rsid w:val="75616E6D"/>
    <w:rsid w:val="75630D65"/>
    <w:rsid w:val="75662603"/>
    <w:rsid w:val="756B19C7"/>
    <w:rsid w:val="75703448"/>
    <w:rsid w:val="75734D20"/>
    <w:rsid w:val="75752846"/>
    <w:rsid w:val="75792336"/>
    <w:rsid w:val="757B16F4"/>
    <w:rsid w:val="757C3BD5"/>
    <w:rsid w:val="757C5983"/>
    <w:rsid w:val="757F36C5"/>
    <w:rsid w:val="7581743D"/>
    <w:rsid w:val="75874327"/>
    <w:rsid w:val="75894543"/>
    <w:rsid w:val="758D193E"/>
    <w:rsid w:val="758D75E2"/>
    <w:rsid w:val="758F1B5A"/>
    <w:rsid w:val="7590669F"/>
    <w:rsid w:val="75986327"/>
    <w:rsid w:val="75994786"/>
    <w:rsid w:val="759A04FF"/>
    <w:rsid w:val="759C7DD3"/>
    <w:rsid w:val="759F4EC0"/>
    <w:rsid w:val="75AA17D7"/>
    <w:rsid w:val="75AD1FE0"/>
    <w:rsid w:val="75AE7B06"/>
    <w:rsid w:val="75B415C0"/>
    <w:rsid w:val="75BC0475"/>
    <w:rsid w:val="75BE0ADD"/>
    <w:rsid w:val="75C31803"/>
    <w:rsid w:val="75C630A2"/>
    <w:rsid w:val="75C67E24"/>
    <w:rsid w:val="75C8506C"/>
    <w:rsid w:val="75CA04F1"/>
    <w:rsid w:val="75CB4B5C"/>
    <w:rsid w:val="75CF008B"/>
    <w:rsid w:val="75D25EEA"/>
    <w:rsid w:val="75D752AF"/>
    <w:rsid w:val="75DF5F11"/>
    <w:rsid w:val="75E33C54"/>
    <w:rsid w:val="75E8126A"/>
    <w:rsid w:val="75EA6D90"/>
    <w:rsid w:val="75EF0F06"/>
    <w:rsid w:val="75F06371"/>
    <w:rsid w:val="75F25C45"/>
    <w:rsid w:val="75F93477"/>
    <w:rsid w:val="75FE45EA"/>
    <w:rsid w:val="75FE6CDF"/>
    <w:rsid w:val="760140DA"/>
    <w:rsid w:val="76024A7F"/>
    <w:rsid w:val="760C31AA"/>
    <w:rsid w:val="7610431D"/>
    <w:rsid w:val="76120323"/>
    <w:rsid w:val="761262E7"/>
    <w:rsid w:val="7613626B"/>
    <w:rsid w:val="76157B85"/>
    <w:rsid w:val="761734C3"/>
    <w:rsid w:val="761C7166"/>
    <w:rsid w:val="76200A04"/>
    <w:rsid w:val="76206C56"/>
    <w:rsid w:val="762229CE"/>
    <w:rsid w:val="76263B40"/>
    <w:rsid w:val="76311FF8"/>
    <w:rsid w:val="76312C11"/>
    <w:rsid w:val="76341118"/>
    <w:rsid w:val="7634625D"/>
    <w:rsid w:val="763E532E"/>
    <w:rsid w:val="76465F91"/>
    <w:rsid w:val="76472434"/>
    <w:rsid w:val="764865EB"/>
    <w:rsid w:val="764A5A81"/>
    <w:rsid w:val="764A782F"/>
    <w:rsid w:val="764D19B8"/>
    <w:rsid w:val="765C7562"/>
    <w:rsid w:val="765E777E"/>
    <w:rsid w:val="765F7301"/>
    <w:rsid w:val="76673004"/>
    <w:rsid w:val="766823AB"/>
    <w:rsid w:val="766E5C13"/>
    <w:rsid w:val="76736211"/>
    <w:rsid w:val="76746FA2"/>
    <w:rsid w:val="76760624"/>
    <w:rsid w:val="767945B8"/>
    <w:rsid w:val="767A350B"/>
    <w:rsid w:val="767D197B"/>
    <w:rsid w:val="767E008B"/>
    <w:rsid w:val="767E397C"/>
    <w:rsid w:val="76880357"/>
    <w:rsid w:val="7688510D"/>
    <w:rsid w:val="768C7E47"/>
    <w:rsid w:val="768E0063"/>
    <w:rsid w:val="76927701"/>
    <w:rsid w:val="76937428"/>
    <w:rsid w:val="769413F2"/>
    <w:rsid w:val="76960CC6"/>
    <w:rsid w:val="76984A3E"/>
    <w:rsid w:val="769A6A08"/>
    <w:rsid w:val="769B008A"/>
    <w:rsid w:val="76A258BD"/>
    <w:rsid w:val="76A333E3"/>
    <w:rsid w:val="76A553AD"/>
    <w:rsid w:val="76A71125"/>
    <w:rsid w:val="76AA651F"/>
    <w:rsid w:val="76AB19E8"/>
    <w:rsid w:val="76AE24B4"/>
    <w:rsid w:val="76AE6010"/>
    <w:rsid w:val="76BD44A5"/>
    <w:rsid w:val="76BD6253"/>
    <w:rsid w:val="76C269AB"/>
    <w:rsid w:val="76C27D0D"/>
    <w:rsid w:val="76C37C6F"/>
    <w:rsid w:val="76CE1B2D"/>
    <w:rsid w:val="76D206BD"/>
    <w:rsid w:val="76D31F1A"/>
    <w:rsid w:val="76D33CC8"/>
    <w:rsid w:val="76D717A6"/>
    <w:rsid w:val="76D90FCE"/>
    <w:rsid w:val="76DA32A9"/>
    <w:rsid w:val="76DA5057"/>
    <w:rsid w:val="76DB2B7D"/>
    <w:rsid w:val="76DD06A3"/>
    <w:rsid w:val="76DE441B"/>
    <w:rsid w:val="76E131F8"/>
    <w:rsid w:val="76E45ED5"/>
    <w:rsid w:val="76E6765B"/>
    <w:rsid w:val="76E77774"/>
    <w:rsid w:val="76E97048"/>
    <w:rsid w:val="76EA1012"/>
    <w:rsid w:val="76ED1FB3"/>
    <w:rsid w:val="76F61765"/>
    <w:rsid w:val="76F62D49"/>
    <w:rsid w:val="76F65C09"/>
    <w:rsid w:val="76F679B7"/>
    <w:rsid w:val="76FB4FCD"/>
    <w:rsid w:val="76FD2AF3"/>
    <w:rsid w:val="770220A6"/>
    <w:rsid w:val="77043E82"/>
    <w:rsid w:val="77101B8D"/>
    <w:rsid w:val="771542E1"/>
    <w:rsid w:val="771A18F7"/>
    <w:rsid w:val="771C566F"/>
    <w:rsid w:val="771D36E6"/>
    <w:rsid w:val="771F319A"/>
    <w:rsid w:val="77274014"/>
    <w:rsid w:val="77274B25"/>
    <w:rsid w:val="772766B1"/>
    <w:rsid w:val="772938E8"/>
    <w:rsid w:val="77297EB7"/>
    <w:rsid w:val="772C33D8"/>
    <w:rsid w:val="772C5186"/>
    <w:rsid w:val="772D6C40"/>
    <w:rsid w:val="772E7150"/>
    <w:rsid w:val="77324E93"/>
    <w:rsid w:val="773504DF"/>
    <w:rsid w:val="7735567E"/>
    <w:rsid w:val="77364257"/>
    <w:rsid w:val="77387FCF"/>
    <w:rsid w:val="77426B90"/>
    <w:rsid w:val="774271E1"/>
    <w:rsid w:val="774C75D7"/>
    <w:rsid w:val="774D25F6"/>
    <w:rsid w:val="774E334F"/>
    <w:rsid w:val="775947BB"/>
    <w:rsid w:val="77597468"/>
    <w:rsid w:val="775A7F45"/>
    <w:rsid w:val="775D17E4"/>
    <w:rsid w:val="775F555C"/>
    <w:rsid w:val="77613082"/>
    <w:rsid w:val="77652D5E"/>
    <w:rsid w:val="77664B3C"/>
    <w:rsid w:val="776D5ECB"/>
    <w:rsid w:val="77707E71"/>
    <w:rsid w:val="77723F18"/>
    <w:rsid w:val="77735147"/>
    <w:rsid w:val="77762421"/>
    <w:rsid w:val="77784870"/>
    <w:rsid w:val="77796881"/>
    <w:rsid w:val="778154D2"/>
    <w:rsid w:val="7783749C"/>
    <w:rsid w:val="77846CDF"/>
    <w:rsid w:val="77846D70"/>
    <w:rsid w:val="778B00FF"/>
    <w:rsid w:val="778E33FA"/>
    <w:rsid w:val="778E7BEF"/>
    <w:rsid w:val="779276DF"/>
    <w:rsid w:val="77935205"/>
    <w:rsid w:val="779571D0"/>
    <w:rsid w:val="779A6594"/>
    <w:rsid w:val="779E0807"/>
    <w:rsid w:val="779F004E"/>
    <w:rsid w:val="77A15B74"/>
    <w:rsid w:val="77A45665"/>
    <w:rsid w:val="77AB69F3"/>
    <w:rsid w:val="77AD4519"/>
    <w:rsid w:val="77B6195A"/>
    <w:rsid w:val="77B95E16"/>
    <w:rsid w:val="77BA0F87"/>
    <w:rsid w:val="77BC475C"/>
    <w:rsid w:val="77C27899"/>
    <w:rsid w:val="77CB499F"/>
    <w:rsid w:val="77CC444C"/>
    <w:rsid w:val="77CD6969"/>
    <w:rsid w:val="77CF345E"/>
    <w:rsid w:val="77D53A70"/>
    <w:rsid w:val="77D655BF"/>
    <w:rsid w:val="77D777E8"/>
    <w:rsid w:val="77D96FB3"/>
    <w:rsid w:val="77E048EF"/>
    <w:rsid w:val="77E37AD6"/>
    <w:rsid w:val="77E421DC"/>
    <w:rsid w:val="77E77FA4"/>
    <w:rsid w:val="77EA751B"/>
    <w:rsid w:val="77ED2B68"/>
    <w:rsid w:val="77F32090"/>
    <w:rsid w:val="780103C1"/>
    <w:rsid w:val="78016613"/>
    <w:rsid w:val="78042A17"/>
    <w:rsid w:val="780600CD"/>
    <w:rsid w:val="78063C29"/>
    <w:rsid w:val="7808174F"/>
    <w:rsid w:val="78085BF3"/>
    <w:rsid w:val="780B1240"/>
    <w:rsid w:val="780D4FB8"/>
    <w:rsid w:val="780F09F4"/>
    <w:rsid w:val="78153E6C"/>
    <w:rsid w:val="78186399"/>
    <w:rsid w:val="781A1483"/>
    <w:rsid w:val="781C169F"/>
    <w:rsid w:val="782B18E2"/>
    <w:rsid w:val="782D565A"/>
    <w:rsid w:val="782F1C1A"/>
    <w:rsid w:val="7831514A"/>
    <w:rsid w:val="78324A1E"/>
    <w:rsid w:val="78342545"/>
    <w:rsid w:val="78397B5B"/>
    <w:rsid w:val="783C1535"/>
    <w:rsid w:val="78435FB8"/>
    <w:rsid w:val="78454752"/>
    <w:rsid w:val="784F02E1"/>
    <w:rsid w:val="7851759A"/>
    <w:rsid w:val="785229A8"/>
    <w:rsid w:val="785901FD"/>
    <w:rsid w:val="785E75C1"/>
    <w:rsid w:val="785F0F7A"/>
    <w:rsid w:val="7860333A"/>
    <w:rsid w:val="7866354D"/>
    <w:rsid w:val="786B1CDE"/>
    <w:rsid w:val="78760DAF"/>
    <w:rsid w:val="78793171"/>
    <w:rsid w:val="787943FB"/>
    <w:rsid w:val="787D20B0"/>
    <w:rsid w:val="787E5EB6"/>
    <w:rsid w:val="78810287"/>
    <w:rsid w:val="78824593"/>
    <w:rsid w:val="788860C0"/>
    <w:rsid w:val="788A6608"/>
    <w:rsid w:val="788D434B"/>
    <w:rsid w:val="788F1E71"/>
    <w:rsid w:val="788F3C1F"/>
    <w:rsid w:val="789254BD"/>
    <w:rsid w:val="78964FAD"/>
    <w:rsid w:val="789C4F47"/>
    <w:rsid w:val="789C633C"/>
    <w:rsid w:val="78A11715"/>
    <w:rsid w:val="78A37DFC"/>
    <w:rsid w:val="78A551F0"/>
    <w:rsid w:val="78A90480"/>
    <w:rsid w:val="78AC0BE6"/>
    <w:rsid w:val="78B1554E"/>
    <w:rsid w:val="78B35B5F"/>
    <w:rsid w:val="78B43685"/>
    <w:rsid w:val="78BD69DE"/>
    <w:rsid w:val="78C31B1A"/>
    <w:rsid w:val="78C57641"/>
    <w:rsid w:val="78C7785D"/>
    <w:rsid w:val="78CA4586"/>
    <w:rsid w:val="78CC351E"/>
    <w:rsid w:val="78D35BBD"/>
    <w:rsid w:val="78D36201"/>
    <w:rsid w:val="78D37FAF"/>
    <w:rsid w:val="78D646F6"/>
    <w:rsid w:val="78D67AA0"/>
    <w:rsid w:val="78DA7590"/>
    <w:rsid w:val="78E0447A"/>
    <w:rsid w:val="78E163DA"/>
    <w:rsid w:val="78E20A03"/>
    <w:rsid w:val="78E26444"/>
    <w:rsid w:val="78E30EC4"/>
    <w:rsid w:val="78E8315E"/>
    <w:rsid w:val="78F10436"/>
    <w:rsid w:val="78F36279"/>
    <w:rsid w:val="78F65A4C"/>
    <w:rsid w:val="78F817C4"/>
    <w:rsid w:val="78F9201C"/>
    <w:rsid w:val="78F92F18"/>
    <w:rsid w:val="78FD0B56"/>
    <w:rsid w:val="7904104F"/>
    <w:rsid w:val="790463BB"/>
    <w:rsid w:val="7906211F"/>
    <w:rsid w:val="790939D1"/>
    <w:rsid w:val="790A14F7"/>
    <w:rsid w:val="790D1571"/>
    <w:rsid w:val="79122B54"/>
    <w:rsid w:val="791650FE"/>
    <w:rsid w:val="791660EE"/>
    <w:rsid w:val="79175833"/>
    <w:rsid w:val="7919798C"/>
    <w:rsid w:val="791B3704"/>
    <w:rsid w:val="791D747D"/>
    <w:rsid w:val="791F1447"/>
    <w:rsid w:val="79246A5D"/>
    <w:rsid w:val="79297BCF"/>
    <w:rsid w:val="792A1B99"/>
    <w:rsid w:val="792C4CC9"/>
    <w:rsid w:val="792F0F5E"/>
    <w:rsid w:val="79312F28"/>
    <w:rsid w:val="79330A4E"/>
    <w:rsid w:val="79350C82"/>
    <w:rsid w:val="79352A18"/>
    <w:rsid w:val="7936053E"/>
    <w:rsid w:val="79394A97"/>
    <w:rsid w:val="793B7903"/>
    <w:rsid w:val="7940316B"/>
    <w:rsid w:val="79404F19"/>
    <w:rsid w:val="79426EE3"/>
    <w:rsid w:val="79442C5B"/>
    <w:rsid w:val="79483B47"/>
    <w:rsid w:val="79490AB5"/>
    <w:rsid w:val="794C38BE"/>
    <w:rsid w:val="794E7636"/>
    <w:rsid w:val="79507900"/>
    <w:rsid w:val="79594081"/>
    <w:rsid w:val="7967694A"/>
    <w:rsid w:val="796B49DC"/>
    <w:rsid w:val="796D289A"/>
    <w:rsid w:val="796E46DA"/>
    <w:rsid w:val="797057FE"/>
    <w:rsid w:val="79717E77"/>
    <w:rsid w:val="7973484F"/>
    <w:rsid w:val="7973709D"/>
    <w:rsid w:val="79752E15"/>
    <w:rsid w:val="79761652"/>
    <w:rsid w:val="79780B57"/>
    <w:rsid w:val="797A042B"/>
    <w:rsid w:val="797C0647"/>
    <w:rsid w:val="797C23F5"/>
    <w:rsid w:val="79811327"/>
    <w:rsid w:val="798219D5"/>
    <w:rsid w:val="79863274"/>
    <w:rsid w:val="79876FEC"/>
    <w:rsid w:val="798C63B0"/>
    <w:rsid w:val="798D4602"/>
    <w:rsid w:val="798E3ED6"/>
    <w:rsid w:val="798E437D"/>
    <w:rsid w:val="79905EA0"/>
    <w:rsid w:val="799314ED"/>
    <w:rsid w:val="79935991"/>
    <w:rsid w:val="79951709"/>
    <w:rsid w:val="79974728"/>
    <w:rsid w:val="79983E20"/>
    <w:rsid w:val="799D236B"/>
    <w:rsid w:val="79A11E5C"/>
    <w:rsid w:val="79A8143C"/>
    <w:rsid w:val="79A90CAB"/>
    <w:rsid w:val="79AC0800"/>
    <w:rsid w:val="79B0209F"/>
    <w:rsid w:val="79B43D9D"/>
    <w:rsid w:val="79B74AA6"/>
    <w:rsid w:val="79B778D1"/>
    <w:rsid w:val="79B86634"/>
    <w:rsid w:val="79BE0C60"/>
    <w:rsid w:val="79C03F87"/>
    <w:rsid w:val="79C124FE"/>
    <w:rsid w:val="79C7027F"/>
    <w:rsid w:val="79CE69C9"/>
    <w:rsid w:val="79D02741"/>
    <w:rsid w:val="79D33FDF"/>
    <w:rsid w:val="79D42231"/>
    <w:rsid w:val="79D45972"/>
    <w:rsid w:val="79D7587D"/>
    <w:rsid w:val="79DB76E8"/>
    <w:rsid w:val="79DC2E94"/>
    <w:rsid w:val="79DE4E5E"/>
    <w:rsid w:val="79DF4732"/>
    <w:rsid w:val="79E104AA"/>
    <w:rsid w:val="79E24222"/>
    <w:rsid w:val="79E838CA"/>
    <w:rsid w:val="79E93803"/>
    <w:rsid w:val="79ED50A1"/>
    <w:rsid w:val="79EE0E19"/>
    <w:rsid w:val="79F24465"/>
    <w:rsid w:val="79F62EF9"/>
    <w:rsid w:val="79F703FC"/>
    <w:rsid w:val="79F71A7C"/>
    <w:rsid w:val="79FC52E4"/>
    <w:rsid w:val="79FE72AE"/>
    <w:rsid w:val="7A0A5C53"/>
    <w:rsid w:val="7A137FC7"/>
    <w:rsid w:val="7A1C7734"/>
    <w:rsid w:val="7A1E16FE"/>
    <w:rsid w:val="7A1F0FD2"/>
    <w:rsid w:val="7A22231A"/>
    <w:rsid w:val="7A24780B"/>
    <w:rsid w:val="7A252A8D"/>
    <w:rsid w:val="7A274CFC"/>
    <w:rsid w:val="7A2A3180"/>
    <w:rsid w:val="7A2B5BC9"/>
    <w:rsid w:val="7A2D7B93"/>
    <w:rsid w:val="7A2F56B9"/>
    <w:rsid w:val="7A316DFD"/>
    <w:rsid w:val="7A364017"/>
    <w:rsid w:val="7A3A5144"/>
    <w:rsid w:val="7A3B22B0"/>
    <w:rsid w:val="7A3E3B4E"/>
    <w:rsid w:val="7A41719B"/>
    <w:rsid w:val="7A4647B1"/>
    <w:rsid w:val="7A4656A2"/>
    <w:rsid w:val="7A48677B"/>
    <w:rsid w:val="7A4B626B"/>
    <w:rsid w:val="7A505630"/>
    <w:rsid w:val="7A5E1AFB"/>
    <w:rsid w:val="7A665F33"/>
    <w:rsid w:val="7A6660F8"/>
    <w:rsid w:val="7A680BCB"/>
    <w:rsid w:val="7A6A426A"/>
    <w:rsid w:val="7A6B1967"/>
    <w:rsid w:val="7A6D48C0"/>
    <w:rsid w:val="7A6F3D08"/>
    <w:rsid w:val="7A70182E"/>
    <w:rsid w:val="7A715CD2"/>
    <w:rsid w:val="7A7C3632"/>
    <w:rsid w:val="7A7C6425"/>
    <w:rsid w:val="7A8265E1"/>
    <w:rsid w:val="7A886347"/>
    <w:rsid w:val="7A903C7E"/>
    <w:rsid w:val="7A9574D4"/>
    <w:rsid w:val="7A9B4AFD"/>
    <w:rsid w:val="7AA240DD"/>
    <w:rsid w:val="7AAA2F92"/>
    <w:rsid w:val="7AAC11BF"/>
    <w:rsid w:val="7AB07CD4"/>
    <w:rsid w:val="7AB21E46"/>
    <w:rsid w:val="7AB94F83"/>
    <w:rsid w:val="7ABE0549"/>
    <w:rsid w:val="7AC04563"/>
    <w:rsid w:val="7AC314BE"/>
    <w:rsid w:val="7AC322A6"/>
    <w:rsid w:val="7AC57DCC"/>
    <w:rsid w:val="7ACF0C4A"/>
    <w:rsid w:val="7AD65B35"/>
    <w:rsid w:val="7AD7365B"/>
    <w:rsid w:val="7AD86316"/>
    <w:rsid w:val="7ADB75EF"/>
    <w:rsid w:val="7ADF6323"/>
    <w:rsid w:val="7AE475C4"/>
    <w:rsid w:val="7AE9497B"/>
    <w:rsid w:val="7AF10BC1"/>
    <w:rsid w:val="7AF4245F"/>
    <w:rsid w:val="7AF91C89"/>
    <w:rsid w:val="7AFA2D33"/>
    <w:rsid w:val="7B002BB2"/>
    <w:rsid w:val="7B007056"/>
    <w:rsid w:val="7B0613DB"/>
    <w:rsid w:val="7B09415C"/>
    <w:rsid w:val="7B0A57DF"/>
    <w:rsid w:val="7B14665D"/>
    <w:rsid w:val="7B1B3E90"/>
    <w:rsid w:val="7B1B5C3E"/>
    <w:rsid w:val="7B1D5512"/>
    <w:rsid w:val="7B1E49F7"/>
    <w:rsid w:val="7B1F572E"/>
    <w:rsid w:val="7B205002"/>
    <w:rsid w:val="7B222BFA"/>
    <w:rsid w:val="7B29035B"/>
    <w:rsid w:val="7B2A7C2F"/>
    <w:rsid w:val="7B2C3224"/>
    <w:rsid w:val="7B3650A3"/>
    <w:rsid w:val="7B3B410F"/>
    <w:rsid w:val="7B42766E"/>
    <w:rsid w:val="7B43689E"/>
    <w:rsid w:val="7B4738E3"/>
    <w:rsid w:val="7B486307"/>
    <w:rsid w:val="7B4E1B6F"/>
    <w:rsid w:val="7B4E6013"/>
    <w:rsid w:val="7B537186"/>
    <w:rsid w:val="7B5770BD"/>
    <w:rsid w:val="7B5829EE"/>
    <w:rsid w:val="7B58479C"/>
    <w:rsid w:val="7B5E1E17"/>
    <w:rsid w:val="7B5E43AD"/>
    <w:rsid w:val="7B6018A2"/>
    <w:rsid w:val="7B6249F8"/>
    <w:rsid w:val="7B6479E6"/>
    <w:rsid w:val="7B686D42"/>
    <w:rsid w:val="7B6969A9"/>
    <w:rsid w:val="7B6A54D9"/>
    <w:rsid w:val="7B6C0247"/>
    <w:rsid w:val="7B727A53"/>
    <w:rsid w:val="7B74267B"/>
    <w:rsid w:val="7B7470FC"/>
    <w:rsid w:val="7B7A0FC8"/>
    <w:rsid w:val="7B7A2A36"/>
    <w:rsid w:val="7B7D06A6"/>
    <w:rsid w:val="7B7F61CD"/>
    <w:rsid w:val="7B811F45"/>
    <w:rsid w:val="7B841746"/>
    <w:rsid w:val="7B86755B"/>
    <w:rsid w:val="7B8B207E"/>
    <w:rsid w:val="7B8B4B71"/>
    <w:rsid w:val="7B8D7AD7"/>
    <w:rsid w:val="7B901128"/>
    <w:rsid w:val="7B917878"/>
    <w:rsid w:val="7B925FE7"/>
    <w:rsid w:val="7B98103C"/>
    <w:rsid w:val="7B9A3A6E"/>
    <w:rsid w:val="7B9A4DB4"/>
    <w:rsid w:val="7B9A4F9A"/>
    <w:rsid w:val="7B9D6653"/>
    <w:rsid w:val="7BA14395"/>
    <w:rsid w:val="7BA53E28"/>
    <w:rsid w:val="7BA63759"/>
    <w:rsid w:val="7BA93249"/>
    <w:rsid w:val="7BA94FF8"/>
    <w:rsid w:val="7BAE0225"/>
    <w:rsid w:val="7BB16806"/>
    <w:rsid w:val="7BBD0AA3"/>
    <w:rsid w:val="7BBD7749"/>
    <w:rsid w:val="7BC72716"/>
    <w:rsid w:val="7BCE0F02"/>
    <w:rsid w:val="7BD3786A"/>
    <w:rsid w:val="7BD37981"/>
    <w:rsid w:val="7BD5403F"/>
    <w:rsid w:val="7BD55DED"/>
    <w:rsid w:val="7BD61B65"/>
    <w:rsid w:val="7BD8369B"/>
    <w:rsid w:val="7BD858DD"/>
    <w:rsid w:val="7BDA78A7"/>
    <w:rsid w:val="7BDC717B"/>
    <w:rsid w:val="7BDE5DCC"/>
    <w:rsid w:val="7BE01E2D"/>
    <w:rsid w:val="7BE55C9F"/>
    <w:rsid w:val="7BE6624C"/>
    <w:rsid w:val="7BEB1AB4"/>
    <w:rsid w:val="7BF6580F"/>
    <w:rsid w:val="7BFA3C79"/>
    <w:rsid w:val="7C00348C"/>
    <w:rsid w:val="7C0045FA"/>
    <w:rsid w:val="7C013085"/>
    <w:rsid w:val="7C04545E"/>
    <w:rsid w:val="7C0473F0"/>
    <w:rsid w:val="7C06069C"/>
    <w:rsid w:val="7C0641F8"/>
    <w:rsid w:val="7C075F3B"/>
    <w:rsid w:val="7C1032C9"/>
    <w:rsid w:val="7C120DEF"/>
    <w:rsid w:val="7C1508DF"/>
    <w:rsid w:val="7C1B0ED7"/>
    <w:rsid w:val="7C1C3A1B"/>
    <w:rsid w:val="7C1F350C"/>
    <w:rsid w:val="7C2154D6"/>
    <w:rsid w:val="7C246915"/>
    <w:rsid w:val="7C2823C0"/>
    <w:rsid w:val="7C2B1EB0"/>
    <w:rsid w:val="7C31692C"/>
    <w:rsid w:val="7C330D65"/>
    <w:rsid w:val="7C3F3BAE"/>
    <w:rsid w:val="7C464F3C"/>
    <w:rsid w:val="7C484810"/>
    <w:rsid w:val="7C4A67DB"/>
    <w:rsid w:val="7C4B4301"/>
    <w:rsid w:val="7C4B60AF"/>
    <w:rsid w:val="7C4C69A8"/>
    <w:rsid w:val="7C4F3DF1"/>
    <w:rsid w:val="7C5076B5"/>
    <w:rsid w:val="7C5A2FCC"/>
    <w:rsid w:val="7C5E5DE2"/>
    <w:rsid w:val="7C611D76"/>
    <w:rsid w:val="7C63789C"/>
    <w:rsid w:val="7C644183"/>
    <w:rsid w:val="7C644564"/>
    <w:rsid w:val="7C653614"/>
    <w:rsid w:val="7C6929D9"/>
    <w:rsid w:val="7C6F6241"/>
    <w:rsid w:val="7C701FB9"/>
    <w:rsid w:val="7C705B15"/>
    <w:rsid w:val="7C730E76"/>
    <w:rsid w:val="7C743857"/>
    <w:rsid w:val="7C773348"/>
    <w:rsid w:val="7C7F3FAA"/>
    <w:rsid w:val="7C857813"/>
    <w:rsid w:val="7C896BD7"/>
    <w:rsid w:val="7C8D3F98"/>
    <w:rsid w:val="7C943EFA"/>
    <w:rsid w:val="7C950E2A"/>
    <w:rsid w:val="7C952014"/>
    <w:rsid w:val="7C961A20"/>
    <w:rsid w:val="7C9663A3"/>
    <w:rsid w:val="7C9712F4"/>
    <w:rsid w:val="7C98391B"/>
    <w:rsid w:val="7C9C6796"/>
    <w:rsid w:val="7C9E6B26"/>
    <w:rsid w:val="7CA103C5"/>
    <w:rsid w:val="7CA52E86"/>
    <w:rsid w:val="7CA67789"/>
    <w:rsid w:val="7CA83501"/>
    <w:rsid w:val="7CAA1027"/>
    <w:rsid w:val="7CAF0FCF"/>
    <w:rsid w:val="7CAF2E0F"/>
    <w:rsid w:val="7CB00608"/>
    <w:rsid w:val="7CB579CC"/>
    <w:rsid w:val="7CB9570E"/>
    <w:rsid w:val="7CBC0D5A"/>
    <w:rsid w:val="7CBC51FE"/>
    <w:rsid w:val="7CCA3477"/>
    <w:rsid w:val="7CCC5441"/>
    <w:rsid w:val="7CCF0A8E"/>
    <w:rsid w:val="7CCF4C6B"/>
    <w:rsid w:val="7CD10CAA"/>
    <w:rsid w:val="7CD2057E"/>
    <w:rsid w:val="7CD20D82"/>
    <w:rsid w:val="7CDE5175"/>
    <w:rsid w:val="7CE00EED"/>
    <w:rsid w:val="7CE26411"/>
    <w:rsid w:val="7CE309DD"/>
    <w:rsid w:val="7CE342B8"/>
    <w:rsid w:val="7CE34539"/>
    <w:rsid w:val="7CE502B1"/>
    <w:rsid w:val="7CE7227B"/>
    <w:rsid w:val="7CEA3B1A"/>
    <w:rsid w:val="7CED7B72"/>
    <w:rsid w:val="7CF36423"/>
    <w:rsid w:val="7CF46746"/>
    <w:rsid w:val="7CF93D5D"/>
    <w:rsid w:val="7CFB7AD5"/>
    <w:rsid w:val="7D020AEB"/>
    <w:rsid w:val="7D0239FF"/>
    <w:rsid w:val="7D027841"/>
    <w:rsid w:val="7D034BDB"/>
    <w:rsid w:val="7D0428EB"/>
    <w:rsid w:val="7D0467C0"/>
    <w:rsid w:val="7D0A41BC"/>
    <w:rsid w:val="7D0A66E9"/>
    <w:rsid w:val="7D0D15B6"/>
    <w:rsid w:val="7D0E1EA7"/>
    <w:rsid w:val="7D11554A"/>
    <w:rsid w:val="7D115EA6"/>
    <w:rsid w:val="7D142945"/>
    <w:rsid w:val="7D146DE8"/>
    <w:rsid w:val="7D180687"/>
    <w:rsid w:val="7D1F7C67"/>
    <w:rsid w:val="7D21405B"/>
    <w:rsid w:val="7D225061"/>
    <w:rsid w:val="7D23702C"/>
    <w:rsid w:val="7D252DA4"/>
    <w:rsid w:val="7D284642"/>
    <w:rsid w:val="7D311CF4"/>
    <w:rsid w:val="7D33726F"/>
    <w:rsid w:val="7D342FE7"/>
    <w:rsid w:val="7D344D95"/>
    <w:rsid w:val="7D37575A"/>
    <w:rsid w:val="7D3905FD"/>
    <w:rsid w:val="7D3D2AA8"/>
    <w:rsid w:val="7D3F0F24"/>
    <w:rsid w:val="7D4274B2"/>
    <w:rsid w:val="7D450D50"/>
    <w:rsid w:val="7D472D1A"/>
    <w:rsid w:val="7D513B99"/>
    <w:rsid w:val="7D515947"/>
    <w:rsid w:val="7D52346D"/>
    <w:rsid w:val="7D580A83"/>
    <w:rsid w:val="7D5B67C5"/>
    <w:rsid w:val="7D5E40CD"/>
    <w:rsid w:val="7D605B8A"/>
    <w:rsid w:val="7D637428"/>
    <w:rsid w:val="7D6438CC"/>
    <w:rsid w:val="7D645601"/>
    <w:rsid w:val="7D6500F5"/>
    <w:rsid w:val="7D6505FA"/>
    <w:rsid w:val="7D6531A0"/>
    <w:rsid w:val="7D693BED"/>
    <w:rsid w:val="7D694C7C"/>
    <w:rsid w:val="7D6C2781"/>
    <w:rsid w:val="7D7004C3"/>
    <w:rsid w:val="7D705BFF"/>
    <w:rsid w:val="7D711B45"/>
    <w:rsid w:val="7D761851"/>
    <w:rsid w:val="7D781125"/>
    <w:rsid w:val="7D7D04EA"/>
    <w:rsid w:val="7D824B7F"/>
    <w:rsid w:val="7D8950E1"/>
    <w:rsid w:val="7D8E7BDF"/>
    <w:rsid w:val="7D8F0799"/>
    <w:rsid w:val="7D944F65"/>
    <w:rsid w:val="7D9558DE"/>
    <w:rsid w:val="7D957F29"/>
    <w:rsid w:val="7D983576"/>
    <w:rsid w:val="7D9B2E98"/>
    <w:rsid w:val="7D9B3066"/>
    <w:rsid w:val="7D9D6DDE"/>
    <w:rsid w:val="7D9F0BCB"/>
    <w:rsid w:val="7DA0067C"/>
    <w:rsid w:val="7DA61F6B"/>
    <w:rsid w:val="7DAC3C93"/>
    <w:rsid w:val="7DB06B11"/>
    <w:rsid w:val="7DB3215D"/>
    <w:rsid w:val="7DB859C6"/>
    <w:rsid w:val="7DB92447"/>
    <w:rsid w:val="7DBA7990"/>
    <w:rsid w:val="7DC10D1E"/>
    <w:rsid w:val="7DC51888"/>
    <w:rsid w:val="7DC600E3"/>
    <w:rsid w:val="7DC92BE0"/>
    <w:rsid w:val="7DCB394B"/>
    <w:rsid w:val="7DCE51E9"/>
    <w:rsid w:val="7DD37B87"/>
    <w:rsid w:val="7DD44EEC"/>
    <w:rsid w:val="7DD722F0"/>
    <w:rsid w:val="7DD81BC4"/>
    <w:rsid w:val="7DD86068"/>
    <w:rsid w:val="7DDE34B5"/>
    <w:rsid w:val="7DDF2F52"/>
    <w:rsid w:val="7DEB7B49"/>
    <w:rsid w:val="7DF10ED8"/>
    <w:rsid w:val="7DF12C86"/>
    <w:rsid w:val="7DF34C50"/>
    <w:rsid w:val="7DFA5FDE"/>
    <w:rsid w:val="7E024E93"/>
    <w:rsid w:val="7E040C0B"/>
    <w:rsid w:val="7E052BDE"/>
    <w:rsid w:val="7E057D7A"/>
    <w:rsid w:val="7E094473"/>
    <w:rsid w:val="7E0B440B"/>
    <w:rsid w:val="7E0D5D12"/>
    <w:rsid w:val="7E0E55E6"/>
    <w:rsid w:val="7E132BFC"/>
    <w:rsid w:val="7E1532BF"/>
    <w:rsid w:val="7E156974"/>
    <w:rsid w:val="7E1846B6"/>
    <w:rsid w:val="7E186CB2"/>
    <w:rsid w:val="7E1A042F"/>
    <w:rsid w:val="7E1A6BBD"/>
    <w:rsid w:val="7E1B52D0"/>
    <w:rsid w:val="7E1D118B"/>
    <w:rsid w:val="7E1D624C"/>
    <w:rsid w:val="7E2117BD"/>
    <w:rsid w:val="7E24305B"/>
    <w:rsid w:val="7E246BF6"/>
    <w:rsid w:val="7E2E3EDA"/>
    <w:rsid w:val="7E2E5C88"/>
    <w:rsid w:val="7E301A00"/>
    <w:rsid w:val="7E371D41"/>
    <w:rsid w:val="7E3C666E"/>
    <w:rsid w:val="7E3D5ECB"/>
    <w:rsid w:val="7E3E411D"/>
    <w:rsid w:val="7E462FD2"/>
    <w:rsid w:val="7E4D6024"/>
    <w:rsid w:val="7E4E04C2"/>
    <w:rsid w:val="7E50377C"/>
    <w:rsid w:val="7E5356EF"/>
    <w:rsid w:val="7E5637D7"/>
    <w:rsid w:val="7E58122B"/>
    <w:rsid w:val="7E5A4CCF"/>
    <w:rsid w:val="7E5D031B"/>
    <w:rsid w:val="7E5F4093"/>
    <w:rsid w:val="7E5F7640"/>
    <w:rsid w:val="7E6873EC"/>
    <w:rsid w:val="7E6D1E3F"/>
    <w:rsid w:val="7E6D67B0"/>
    <w:rsid w:val="7E722019"/>
    <w:rsid w:val="7E7358D0"/>
    <w:rsid w:val="7E762DB4"/>
    <w:rsid w:val="7E7A0ECD"/>
    <w:rsid w:val="7E7B3C1E"/>
    <w:rsid w:val="7E7C69F3"/>
    <w:rsid w:val="7E7F64E4"/>
    <w:rsid w:val="7E8104AE"/>
    <w:rsid w:val="7E81225C"/>
    <w:rsid w:val="7E8458A8"/>
    <w:rsid w:val="7E865AC4"/>
    <w:rsid w:val="7E891110"/>
    <w:rsid w:val="7E8A1149"/>
    <w:rsid w:val="7E8A55B4"/>
    <w:rsid w:val="7E8B30DA"/>
    <w:rsid w:val="7E8D6E52"/>
    <w:rsid w:val="7E8E4F55"/>
    <w:rsid w:val="7E9401E1"/>
    <w:rsid w:val="7E97382D"/>
    <w:rsid w:val="7E99373B"/>
    <w:rsid w:val="7E9D1B2B"/>
    <w:rsid w:val="7EA30424"/>
    <w:rsid w:val="7EA33FDE"/>
    <w:rsid w:val="7EA40AE0"/>
    <w:rsid w:val="7EA45F4A"/>
    <w:rsid w:val="7EA5419C"/>
    <w:rsid w:val="7EAB552B"/>
    <w:rsid w:val="7EB264E4"/>
    <w:rsid w:val="7EB27693"/>
    <w:rsid w:val="7EB42631"/>
    <w:rsid w:val="7EB56F67"/>
    <w:rsid w:val="7EB837A6"/>
    <w:rsid w:val="7EBB6578"/>
    <w:rsid w:val="7EC02D84"/>
    <w:rsid w:val="7EC64112"/>
    <w:rsid w:val="7EC65EC0"/>
    <w:rsid w:val="7EC860DC"/>
    <w:rsid w:val="7ECD36F3"/>
    <w:rsid w:val="7ECD54A1"/>
    <w:rsid w:val="7ED455CC"/>
    <w:rsid w:val="7ED4682F"/>
    <w:rsid w:val="7ED71E7C"/>
    <w:rsid w:val="7ED92098"/>
    <w:rsid w:val="7ED92904"/>
    <w:rsid w:val="7EE527EB"/>
    <w:rsid w:val="7EEF18BB"/>
    <w:rsid w:val="7EF42A2E"/>
    <w:rsid w:val="7EF961DF"/>
    <w:rsid w:val="7EFE1AFE"/>
    <w:rsid w:val="7F0215EE"/>
    <w:rsid w:val="7F0709B3"/>
    <w:rsid w:val="7F076C05"/>
    <w:rsid w:val="7F0A6D29"/>
    <w:rsid w:val="7F0B7D77"/>
    <w:rsid w:val="7F10538E"/>
    <w:rsid w:val="7F1135E0"/>
    <w:rsid w:val="7F1429AC"/>
    <w:rsid w:val="7F1629A4"/>
    <w:rsid w:val="7F1950C0"/>
    <w:rsid w:val="7F196938"/>
    <w:rsid w:val="7F231565"/>
    <w:rsid w:val="7F236931"/>
    <w:rsid w:val="7F250E39"/>
    <w:rsid w:val="7F264BB1"/>
    <w:rsid w:val="7F2A28F3"/>
    <w:rsid w:val="7F2D4191"/>
    <w:rsid w:val="7F2D7CEE"/>
    <w:rsid w:val="7F3124A9"/>
    <w:rsid w:val="7F3217A8"/>
    <w:rsid w:val="7F364DF4"/>
    <w:rsid w:val="7F3E639F"/>
    <w:rsid w:val="7F405C73"/>
    <w:rsid w:val="7F4219EB"/>
    <w:rsid w:val="7F435763"/>
    <w:rsid w:val="7F437511"/>
    <w:rsid w:val="7F4A08A0"/>
    <w:rsid w:val="7F4C0ABC"/>
    <w:rsid w:val="7F4C4618"/>
    <w:rsid w:val="7F57023D"/>
    <w:rsid w:val="7F597551"/>
    <w:rsid w:val="7F5C7D12"/>
    <w:rsid w:val="7F604567"/>
    <w:rsid w:val="7F607B23"/>
    <w:rsid w:val="7F625BE9"/>
    <w:rsid w:val="7F686F78"/>
    <w:rsid w:val="7F6A7224"/>
    <w:rsid w:val="7F6C6A68"/>
    <w:rsid w:val="7F6F0306"/>
    <w:rsid w:val="7F7A0869"/>
    <w:rsid w:val="7F7D0C75"/>
    <w:rsid w:val="7F7D2A23"/>
    <w:rsid w:val="7F7E49ED"/>
    <w:rsid w:val="7F7F7177"/>
    <w:rsid w:val="7F800765"/>
    <w:rsid w:val="7F89586C"/>
    <w:rsid w:val="7F916650"/>
    <w:rsid w:val="7F9D1317"/>
    <w:rsid w:val="7F9F508F"/>
    <w:rsid w:val="7F9F6E3D"/>
    <w:rsid w:val="7FA12C09"/>
    <w:rsid w:val="7FA1658D"/>
    <w:rsid w:val="7FA206DC"/>
    <w:rsid w:val="7FA2692E"/>
    <w:rsid w:val="7FA44454"/>
    <w:rsid w:val="7FA44DC6"/>
    <w:rsid w:val="7FA53D28"/>
    <w:rsid w:val="7FA91A6A"/>
    <w:rsid w:val="7FA96067"/>
    <w:rsid w:val="7FB34697"/>
    <w:rsid w:val="7FB421BD"/>
    <w:rsid w:val="7FB83A5B"/>
    <w:rsid w:val="7FB87EFF"/>
    <w:rsid w:val="7FBA05E0"/>
    <w:rsid w:val="7FBB179D"/>
    <w:rsid w:val="7FBD3767"/>
    <w:rsid w:val="7FBE40A5"/>
    <w:rsid w:val="7FBE43E0"/>
    <w:rsid w:val="7FC37379"/>
    <w:rsid w:val="7FC44AF6"/>
    <w:rsid w:val="7FC66CD0"/>
    <w:rsid w:val="7FCC39AA"/>
    <w:rsid w:val="7FD5285F"/>
    <w:rsid w:val="7FD64829"/>
    <w:rsid w:val="7FD85EAB"/>
    <w:rsid w:val="7FDB04BF"/>
    <w:rsid w:val="7FDC1E3F"/>
    <w:rsid w:val="7FDF527F"/>
    <w:rsid w:val="7FE24F7C"/>
    <w:rsid w:val="7FE42AA2"/>
    <w:rsid w:val="7FE47E50"/>
    <w:rsid w:val="7FE76BED"/>
    <w:rsid w:val="7FE80AE4"/>
    <w:rsid w:val="7FE9630A"/>
    <w:rsid w:val="7FEE3921"/>
    <w:rsid w:val="7FF57F11"/>
    <w:rsid w:val="7FF75AFE"/>
    <w:rsid w:val="7FFE7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qFormat="1"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136"/>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137"/>
    <w:autoRedefine/>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autoRedefine/>
    <w:qFormat/>
    <w:locked/>
    <w:uiPriority w:val="0"/>
    <w:pPr>
      <w:numPr>
        <w:ilvl w:val="2"/>
        <w:numId w:val="1"/>
      </w:numPr>
      <w:spacing w:before="50" w:beforeLines="50"/>
      <w:ind w:left="0" w:firstLine="0"/>
      <w:jc w:val="left"/>
      <w:outlineLvl w:val="2"/>
    </w:pPr>
    <w:rPr>
      <w:b/>
      <w:sz w:val="28"/>
    </w:rPr>
  </w:style>
  <w:style w:type="paragraph" w:styleId="8">
    <w:name w:val="heading 4"/>
    <w:basedOn w:val="1"/>
    <w:next w:val="1"/>
    <w:autoRedefine/>
    <w:qFormat/>
    <w:locked/>
    <w:uiPriority w:val="99"/>
    <w:pPr>
      <w:keepNext/>
      <w:keepLines/>
      <w:numPr>
        <w:ilvl w:val="3"/>
        <w:numId w:val="1"/>
      </w:numPr>
      <w:ind w:left="0" w:firstLine="0"/>
      <w:jc w:val="left"/>
      <w:outlineLvl w:val="3"/>
    </w:pPr>
    <w:rPr>
      <w:b/>
      <w:bCs/>
      <w:szCs w:val="28"/>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50"/>
    <w:autoRedefine/>
    <w:qFormat/>
    <w:uiPriority w:val="0"/>
    <w:pPr>
      <w:widowControl/>
      <w:snapToGrid w:val="0"/>
      <w:spacing w:before="60" w:after="160" w:line="259" w:lineRule="auto"/>
      <w:ind w:right="113"/>
    </w:pPr>
    <w:rPr>
      <w:kern w:val="0"/>
      <w:sz w:val="18"/>
      <w:szCs w:val="18"/>
    </w:rPr>
  </w:style>
  <w:style w:type="paragraph" w:customStyle="1" w:styleId="3">
    <w:name w:val="Normal (Web)1"/>
    <w:basedOn w:val="1"/>
    <w:next w:val="4"/>
    <w:autoRedefine/>
    <w:qFormat/>
    <w:uiPriority w:val="0"/>
    <w:pPr>
      <w:widowControl/>
    </w:pPr>
    <w:rPr>
      <w:rFonts w:ascii="宋体"/>
      <w:sz w:val="24"/>
      <w:szCs w:val="21"/>
    </w:rPr>
  </w:style>
  <w:style w:type="paragraph" w:customStyle="1" w:styleId="4">
    <w:name w:val="Date1"/>
    <w:basedOn w:val="1"/>
    <w:next w:val="1"/>
    <w:autoRedefine/>
    <w:qFormat/>
    <w:uiPriority w:val="0"/>
    <w:pPr>
      <w:ind w:left="2500" w:leftChars="2500"/>
    </w:pPr>
  </w:style>
  <w:style w:type="paragraph" w:styleId="9">
    <w:name w:val="Normal Indent"/>
    <w:basedOn w:val="1"/>
    <w:next w:val="1"/>
    <w:autoRedefine/>
    <w:qFormat/>
    <w:uiPriority w:val="0"/>
    <w:pPr>
      <w:spacing w:line="460" w:lineRule="atLeast"/>
      <w:ind w:firstLine="420"/>
    </w:pPr>
    <w:rPr>
      <w:szCs w:val="20"/>
    </w:rPr>
  </w:style>
  <w:style w:type="paragraph" w:styleId="10">
    <w:name w:val="caption"/>
    <w:basedOn w:val="1"/>
    <w:next w:val="1"/>
    <w:autoRedefine/>
    <w:qFormat/>
    <w:locked/>
    <w:uiPriority w:val="0"/>
    <w:rPr>
      <w:rFonts w:ascii="Arial" w:hAnsi="Arial" w:eastAsia="黑体"/>
      <w:sz w:val="20"/>
      <w:szCs w:val="20"/>
    </w:rPr>
  </w:style>
  <w:style w:type="paragraph" w:styleId="11">
    <w:name w:val="annotation text"/>
    <w:basedOn w:val="1"/>
    <w:link w:val="49"/>
    <w:autoRedefine/>
    <w:semiHidden/>
    <w:qFormat/>
    <w:uiPriority w:val="0"/>
    <w:pPr>
      <w:jc w:val="left"/>
    </w:pPr>
    <w:rPr>
      <w:kern w:val="0"/>
      <w:sz w:val="20"/>
    </w:rPr>
  </w:style>
  <w:style w:type="paragraph" w:styleId="12">
    <w:name w:val="Body Text Indent"/>
    <w:basedOn w:val="1"/>
    <w:link w:val="51"/>
    <w:autoRedefine/>
    <w:semiHidden/>
    <w:qFormat/>
    <w:uiPriority w:val="0"/>
    <w:pPr>
      <w:spacing w:after="120"/>
      <w:ind w:left="420" w:leftChars="200"/>
    </w:pPr>
  </w:style>
  <w:style w:type="paragraph" w:styleId="13">
    <w:name w:val="Block Text"/>
    <w:basedOn w:val="1"/>
    <w:next w:val="1"/>
    <w:autoRedefine/>
    <w:qFormat/>
    <w:uiPriority w:val="0"/>
    <w:pPr>
      <w:spacing w:line="240" w:lineRule="auto"/>
      <w:ind w:left="113" w:right="113" w:firstLine="3584"/>
      <w:jc w:val="center"/>
    </w:pPr>
  </w:style>
  <w:style w:type="paragraph" w:styleId="14">
    <w:name w:val="Plain Text"/>
    <w:basedOn w:val="1"/>
    <w:next w:val="15"/>
    <w:autoRedefine/>
    <w:qFormat/>
    <w:uiPriority w:val="0"/>
    <w:rPr>
      <w:rFonts w:ascii="宋体" w:hAnsi="Courier New" w:cs="Courier New"/>
      <w:szCs w:val="21"/>
    </w:rPr>
  </w:style>
  <w:style w:type="paragraph" w:styleId="15">
    <w:name w:val="toc 1"/>
    <w:basedOn w:val="1"/>
    <w:next w:val="1"/>
    <w:autoRedefine/>
    <w:qFormat/>
    <w:locked/>
    <w:uiPriority w:val="0"/>
    <w:pPr>
      <w:spacing w:line="360" w:lineRule="auto"/>
    </w:pPr>
    <w:rPr>
      <w:b/>
      <w:sz w:val="24"/>
    </w:rPr>
  </w:style>
  <w:style w:type="paragraph" w:styleId="16">
    <w:name w:val="Date"/>
    <w:basedOn w:val="1"/>
    <w:next w:val="1"/>
    <w:link w:val="52"/>
    <w:autoRedefine/>
    <w:qFormat/>
    <w:uiPriority w:val="0"/>
    <w:pPr>
      <w:ind w:left="100" w:leftChars="2500"/>
    </w:pPr>
    <w:rPr>
      <w:kern w:val="0"/>
      <w:sz w:val="20"/>
    </w:rPr>
  </w:style>
  <w:style w:type="paragraph" w:styleId="17">
    <w:name w:val="Body Text Indent 2"/>
    <w:basedOn w:val="1"/>
    <w:next w:val="1"/>
    <w:autoRedefine/>
    <w:qFormat/>
    <w:uiPriority w:val="0"/>
    <w:pPr>
      <w:spacing w:after="120" w:line="480" w:lineRule="auto"/>
      <w:ind w:left="420" w:leftChars="200"/>
    </w:pPr>
  </w:style>
  <w:style w:type="paragraph" w:styleId="18">
    <w:name w:val="Balloon Text"/>
    <w:basedOn w:val="1"/>
    <w:next w:val="13"/>
    <w:link w:val="53"/>
    <w:autoRedefine/>
    <w:semiHidden/>
    <w:qFormat/>
    <w:uiPriority w:val="0"/>
    <w:rPr>
      <w:sz w:val="18"/>
      <w:szCs w:val="18"/>
    </w:rPr>
  </w:style>
  <w:style w:type="paragraph" w:styleId="19">
    <w:name w:val="footer"/>
    <w:basedOn w:val="1"/>
    <w:link w:val="54"/>
    <w:autoRedefine/>
    <w:qFormat/>
    <w:uiPriority w:val="0"/>
    <w:pPr>
      <w:tabs>
        <w:tab w:val="center" w:pos="4153"/>
        <w:tab w:val="right" w:pos="8306"/>
      </w:tabs>
      <w:snapToGrid w:val="0"/>
      <w:jc w:val="left"/>
    </w:pPr>
    <w:rPr>
      <w:sz w:val="18"/>
      <w:szCs w:val="18"/>
    </w:rPr>
  </w:style>
  <w:style w:type="paragraph" w:styleId="20">
    <w:name w:val="header"/>
    <w:basedOn w:val="1"/>
    <w:next w:val="21"/>
    <w:link w:val="55"/>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21">
    <w:name w:val="样式5"/>
    <w:basedOn w:val="1"/>
    <w:autoRedefine/>
    <w:qFormat/>
    <w:uiPriority w:val="0"/>
    <w:pPr>
      <w:spacing w:line="380" w:lineRule="exact"/>
      <w:ind w:firstLine="566" w:firstLineChars="202"/>
    </w:pPr>
    <w:rPr>
      <w:rFonts w:eastAsia="华文行楷"/>
    </w:rPr>
  </w:style>
  <w:style w:type="paragraph" w:styleId="22">
    <w:name w:val="List"/>
    <w:basedOn w:val="1"/>
    <w:autoRedefine/>
    <w:qFormat/>
    <w:uiPriority w:val="0"/>
    <w:pPr>
      <w:ind w:left="200" w:hanging="200" w:hangingChars="200"/>
    </w:pPr>
  </w:style>
  <w:style w:type="paragraph" w:styleId="23">
    <w:name w:val="toc 6"/>
    <w:basedOn w:val="1"/>
    <w:next w:val="1"/>
    <w:autoRedefine/>
    <w:qFormat/>
    <w:locked/>
    <w:uiPriority w:val="0"/>
    <w:pPr>
      <w:ind w:left="2100" w:leftChars="1000"/>
    </w:pPr>
  </w:style>
  <w:style w:type="paragraph" w:styleId="24">
    <w:name w:val="Body Text Indent 3"/>
    <w:basedOn w:val="1"/>
    <w:next w:val="18"/>
    <w:autoRedefine/>
    <w:qFormat/>
    <w:uiPriority w:val="0"/>
    <w:pPr>
      <w:spacing w:after="120"/>
      <w:ind w:left="420" w:leftChars="200"/>
    </w:pPr>
    <w:rPr>
      <w:sz w:val="16"/>
      <w:szCs w:val="16"/>
    </w:rPr>
  </w:style>
  <w:style w:type="paragraph" w:styleId="25">
    <w:name w:val="table of figures"/>
    <w:basedOn w:val="1"/>
    <w:next w:val="1"/>
    <w:autoRedefine/>
    <w:qFormat/>
    <w:uiPriority w:val="0"/>
    <w:pPr>
      <w:autoSpaceDE w:val="0"/>
      <w:autoSpaceDN w:val="0"/>
      <w:spacing w:line="360" w:lineRule="auto"/>
      <w:ind w:left="200" w:leftChars="200" w:hanging="200" w:hangingChars="200"/>
    </w:pPr>
    <w:rPr>
      <w:sz w:val="28"/>
      <w:szCs w:val="20"/>
    </w:rPr>
  </w:style>
  <w:style w:type="paragraph" w:styleId="26">
    <w:name w:val="toc 2"/>
    <w:basedOn w:val="1"/>
    <w:next w:val="1"/>
    <w:autoRedefine/>
    <w:unhideWhenUsed/>
    <w:qFormat/>
    <w:locked/>
    <w:uiPriority w:val="39"/>
    <w:pPr>
      <w:ind w:left="420" w:leftChars="200"/>
    </w:pPr>
    <w:rPr>
      <w:rFonts w:ascii="Calibri" w:hAnsi="Calibri"/>
    </w:rPr>
  </w:style>
  <w:style w:type="paragraph" w:styleId="27">
    <w:name w:val="Message Header"/>
    <w:basedOn w:val="1"/>
    <w:autoRedefine/>
    <w:semiHidden/>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cs="Arial"/>
      <w:bCs/>
      <w:kern w:val="0"/>
      <w:sz w:val="24"/>
    </w:rPr>
  </w:style>
  <w:style w:type="paragraph" w:styleId="28">
    <w:name w:val="Normal (Web)"/>
    <w:basedOn w:val="1"/>
    <w:link w:val="56"/>
    <w:autoRedefine/>
    <w:qFormat/>
    <w:uiPriority w:val="0"/>
    <w:pPr>
      <w:widowControl/>
      <w:spacing w:before="100" w:beforeAutospacing="1" w:after="100" w:afterAutospacing="1"/>
      <w:jc w:val="left"/>
    </w:pPr>
    <w:rPr>
      <w:rFonts w:ascii="宋体" w:hAnsi="宋体"/>
      <w:kern w:val="0"/>
      <w:sz w:val="24"/>
    </w:rPr>
  </w:style>
  <w:style w:type="paragraph" w:styleId="29">
    <w:name w:val="annotation subject"/>
    <w:basedOn w:val="11"/>
    <w:next w:val="11"/>
    <w:link w:val="57"/>
    <w:autoRedefine/>
    <w:semiHidden/>
    <w:qFormat/>
    <w:uiPriority w:val="0"/>
    <w:rPr>
      <w:b/>
      <w:bCs/>
    </w:rPr>
  </w:style>
  <w:style w:type="paragraph" w:styleId="30">
    <w:name w:val="Body Text First Indent"/>
    <w:basedOn w:val="1"/>
    <w:next w:val="31"/>
    <w:autoRedefine/>
    <w:qFormat/>
    <w:uiPriority w:val="0"/>
    <w:pPr>
      <w:ind w:firstLine="420" w:firstLineChars="100"/>
    </w:pPr>
  </w:style>
  <w:style w:type="paragraph" w:customStyle="1" w:styleId="31">
    <w:name w:val="样式 正文首行缩进 + 首行缩进:  2 字符1"/>
    <w:basedOn w:val="30"/>
    <w:next w:val="15"/>
    <w:autoRedefine/>
    <w:qFormat/>
    <w:uiPriority w:val="0"/>
    <w:pPr>
      <w:spacing w:line="360" w:lineRule="auto"/>
      <w:ind w:firstLine="480" w:firstLineChars="200"/>
    </w:pPr>
    <w:rPr>
      <w:sz w:val="24"/>
    </w:rPr>
  </w:style>
  <w:style w:type="paragraph" w:styleId="32">
    <w:name w:val="Body Text First Indent 2"/>
    <w:basedOn w:val="12"/>
    <w:next w:val="1"/>
    <w:autoRedefine/>
    <w:qFormat/>
    <w:uiPriority w:val="0"/>
    <w:pPr>
      <w:adjustRightInd/>
      <w:spacing w:after="120" w:line="240" w:lineRule="auto"/>
      <w:ind w:left="420" w:leftChars="200" w:firstLine="420" w:firstLineChars="200"/>
    </w:pPr>
    <w:rPr>
      <w:rFonts w:ascii="Times New Roman" w:hAnsi="Times New Roman" w:eastAsia="宋体" w:cs="Times New Roman"/>
      <w:color w:val="auto"/>
      <w:sz w:val="21"/>
      <w:szCs w:val="21"/>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autoRedefine/>
    <w:qFormat/>
    <w:locked/>
    <w:uiPriority w:val="0"/>
    <w:rPr>
      <w:b/>
    </w:rPr>
  </w:style>
  <w:style w:type="character" w:styleId="37">
    <w:name w:val="page number"/>
    <w:basedOn w:val="35"/>
    <w:autoRedefine/>
    <w:qFormat/>
    <w:uiPriority w:val="0"/>
    <w:rPr>
      <w:rFonts w:hint="default" w:ascii="Times New Roman" w:hAnsi="Times New Roman" w:cs="Times New Roman"/>
    </w:rPr>
  </w:style>
  <w:style w:type="character" w:styleId="38">
    <w:name w:val="FollowedHyperlink"/>
    <w:basedOn w:val="35"/>
    <w:autoRedefine/>
    <w:qFormat/>
    <w:uiPriority w:val="0"/>
    <w:rPr>
      <w:color w:val="185ECF"/>
      <w:u w:val="none"/>
    </w:rPr>
  </w:style>
  <w:style w:type="character" w:styleId="39">
    <w:name w:val="Emphasis"/>
    <w:autoRedefine/>
    <w:qFormat/>
    <w:locked/>
    <w:uiPriority w:val="0"/>
    <w:rPr>
      <w:i/>
    </w:rPr>
  </w:style>
  <w:style w:type="character" w:styleId="40">
    <w:name w:val="Hyperlink"/>
    <w:autoRedefine/>
    <w:qFormat/>
    <w:uiPriority w:val="0"/>
    <w:rPr>
      <w:color w:val="0000FF"/>
      <w:u w:val="single"/>
    </w:rPr>
  </w:style>
  <w:style w:type="character" w:styleId="41">
    <w:name w:val="annotation reference"/>
    <w:autoRedefine/>
    <w:semiHidden/>
    <w:qFormat/>
    <w:uiPriority w:val="0"/>
    <w:rPr>
      <w:sz w:val="21"/>
    </w:rPr>
  </w:style>
  <w:style w:type="paragraph" w:customStyle="1" w:styleId="42">
    <w:name w:val="BodyText"/>
    <w:basedOn w:val="1"/>
    <w:autoRedefine/>
    <w:qFormat/>
    <w:uiPriority w:val="0"/>
    <w:pPr>
      <w:textAlignment w:val="baseline"/>
    </w:pPr>
    <w:rPr>
      <w:rFonts w:ascii="宋体" w:hAnsi="宋体"/>
      <w:szCs w:val="21"/>
    </w:rPr>
  </w:style>
  <w:style w:type="paragraph" w:customStyle="1" w:styleId="43">
    <w:name w:val="表头"/>
    <w:basedOn w:val="22"/>
    <w:next w:val="1"/>
    <w:autoRedefine/>
    <w:qFormat/>
    <w:uiPriority w:val="0"/>
    <w:rPr>
      <w:rFonts w:eastAsia="黑体"/>
    </w:rPr>
  </w:style>
  <w:style w:type="paragraph" w:customStyle="1" w:styleId="44">
    <w:name w:val="xl27"/>
    <w:basedOn w:val="1"/>
    <w:autoRedefine/>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Arial Unicode MS" w:hAnsi="Arial Unicode MS" w:eastAsia="Arial Unicode MS"/>
      <w:sz w:val="22"/>
      <w:szCs w:val="22"/>
    </w:rPr>
  </w:style>
  <w:style w:type="paragraph" w:customStyle="1" w:styleId="45">
    <w:name w:val="_Style 4"/>
    <w:autoRedefine/>
    <w:qFormat/>
    <w:uiPriority w:val="1"/>
    <w:pPr>
      <w:widowControl w:val="0"/>
      <w:jc w:val="both"/>
    </w:pPr>
    <w:rPr>
      <w:rFonts w:ascii="Calibri" w:hAnsi="Calibri" w:eastAsia="仿宋_GB2312" w:cs="Times New Roman"/>
      <w:kern w:val="2"/>
      <w:sz w:val="24"/>
      <w:szCs w:val="22"/>
      <w:lang w:val="en-US" w:eastAsia="zh-CN" w:bidi="ar-SA"/>
    </w:rPr>
  </w:style>
  <w:style w:type="paragraph" w:customStyle="1" w:styleId="46">
    <w:name w:val="内容"/>
    <w:basedOn w:val="1"/>
    <w:autoRedefine/>
    <w:qFormat/>
    <w:uiPriority w:val="0"/>
    <w:pPr>
      <w:spacing w:beforeLines="50" w:afterLines="50"/>
      <w:ind w:firstLine="200" w:firstLineChars="200"/>
    </w:pPr>
    <w:rPr>
      <w:color w:val="000000"/>
      <w:sz w:val="24"/>
    </w:rPr>
  </w:style>
  <w:style w:type="paragraph" w:customStyle="1" w:styleId="47">
    <w:name w:val="Default"/>
    <w:basedOn w:val="48"/>
    <w:next w:val="1"/>
    <w:autoRedefine/>
    <w:qFormat/>
    <w:uiPriority w:val="0"/>
    <w:pPr>
      <w:widowControl w:val="0"/>
      <w:autoSpaceDE w:val="0"/>
      <w:autoSpaceDN w:val="0"/>
    </w:pPr>
    <w:rPr>
      <w:color w:val="000000"/>
    </w:rPr>
  </w:style>
  <w:style w:type="paragraph" w:customStyle="1" w:styleId="48">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character" w:customStyle="1" w:styleId="49">
    <w:name w:val="批注文字 字符"/>
    <w:link w:val="11"/>
    <w:autoRedefine/>
    <w:qFormat/>
    <w:locked/>
    <w:uiPriority w:val="0"/>
    <w:rPr>
      <w:rFonts w:ascii="Times New Roman" w:hAnsi="Times New Roman" w:eastAsia="宋体"/>
      <w:sz w:val="24"/>
    </w:rPr>
  </w:style>
  <w:style w:type="character" w:customStyle="1" w:styleId="50">
    <w:name w:val="正文文本 字符"/>
    <w:link w:val="2"/>
    <w:autoRedefine/>
    <w:qFormat/>
    <w:locked/>
    <w:uiPriority w:val="0"/>
    <w:rPr>
      <w:sz w:val="18"/>
    </w:rPr>
  </w:style>
  <w:style w:type="character" w:customStyle="1" w:styleId="51">
    <w:name w:val="正文文本缩进 字符"/>
    <w:link w:val="12"/>
    <w:autoRedefine/>
    <w:semiHidden/>
    <w:qFormat/>
    <w:locked/>
    <w:uiPriority w:val="0"/>
    <w:rPr>
      <w:rFonts w:ascii="Times New Roman" w:hAnsi="Times New Roman" w:eastAsia="宋体" w:cs="Times New Roman"/>
      <w:sz w:val="24"/>
      <w:szCs w:val="24"/>
    </w:rPr>
  </w:style>
  <w:style w:type="character" w:customStyle="1" w:styleId="52">
    <w:name w:val="日期 字符1"/>
    <w:link w:val="16"/>
    <w:autoRedefine/>
    <w:qFormat/>
    <w:locked/>
    <w:uiPriority w:val="0"/>
    <w:rPr>
      <w:rFonts w:ascii="Times New Roman" w:hAnsi="Times New Roman" w:eastAsia="宋体"/>
      <w:sz w:val="24"/>
    </w:rPr>
  </w:style>
  <w:style w:type="character" w:customStyle="1" w:styleId="53">
    <w:name w:val="批注框文本 字符"/>
    <w:link w:val="18"/>
    <w:autoRedefine/>
    <w:semiHidden/>
    <w:qFormat/>
    <w:locked/>
    <w:uiPriority w:val="0"/>
    <w:rPr>
      <w:rFonts w:ascii="Times New Roman" w:hAnsi="Times New Roman" w:eastAsia="宋体" w:cs="Times New Roman"/>
      <w:sz w:val="18"/>
      <w:szCs w:val="18"/>
    </w:rPr>
  </w:style>
  <w:style w:type="character" w:customStyle="1" w:styleId="54">
    <w:name w:val="页脚 字符"/>
    <w:link w:val="19"/>
    <w:autoRedefine/>
    <w:qFormat/>
    <w:locked/>
    <w:uiPriority w:val="0"/>
    <w:rPr>
      <w:rFonts w:cs="Times New Roman"/>
      <w:sz w:val="18"/>
      <w:szCs w:val="18"/>
    </w:rPr>
  </w:style>
  <w:style w:type="character" w:customStyle="1" w:styleId="55">
    <w:name w:val="页眉 字符1"/>
    <w:link w:val="20"/>
    <w:autoRedefine/>
    <w:qFormat/>
    <w:locked/>
    <w:uiPriority w:val="0"/>
    <w:rPr>
      <w:rFonts w:cs="Times New Roman"/>
      <w:sz w:val="18"/>
      <w:szCs w:val="18"/>
    </w:rPr>
  </w:style>
  <w:style w:type="character" w:customStyle="1" w:styleId="56">
    <w:name w:val="普通(网站) 字符"/>
    <w:link w:val="28"/>
    <w:autoRedefine/>
    <w:qFormat/>
    <w:locked/>
    <w:uiPriority w:val="0"/>
    <w:rPr>
      <w:rFonts w:ascii="宋体" w:hAnsi="宋体" w:eastAsia="宋体"/>
      <w:sz w:val="24"/>
    </w:rPr>
  </w:style>
  <w:style w:type="character" w:customStyle="1" w:styleId="57">
    <w:name w:val="批注主题 字符"/>
    <w:link w:val="29"/>
    <w:autoRedefine/>
    <w:semiHidden/>
    <w:qFormat/>
    <w:locked/>
    <w:uiPriority w:val="0"/>
    <w:rPr>
      <w:rFonts w:cs="Times New Roman"/>
      <w:b/>
      <w:bCs/>
      <w:kern w:val="2"/>
      <w:szCs w:val="24"/>
    </w:rPr>
  </w:style>
  <w:style w:type="character" w:customStyle="1" w:styleId="58">
    <w:name w:val="页眉 字符"/>
    <w:autoRedefine/>
    <w:qFormat/>
    <w:uiPriority w:val="0"/>
    <w:rPr>
      <w:rFonts w:hint="default" w:ascii="Calibri" w:hAnsi="Calibri" w:cs="Calibri"/>
    </w:rPr>
  </w:style>
  <w:style w:type="character" w:customStyle="1" w:styleId="59">
    <w:name w:val="普通(网站) Char"/>
    <w:autoRedefine/>
    <w:qFormat/>
    <w:locked/>
    <w:uiPriority w:val="0"/>
    <w:rPr>
      <w:rFonts w:ascii="宋体" w:hAnsi="宋体" w:eastAsia="宋体"/>
      <w:sz w:val="24"/>
    </w:rPr>
  </w:style>
  <w:style w:type="character" w:customStyle="1" w:styleId="60">
    <w:name w:val="日期 字符"/>
    <w:autoRedefine/>
    <w:semiHidden/>
    <w:qFormat/>
    <w:uiPriority w:val="0"/>
    <w:rPr>
      <w:rFonts w:ascii="Times New Roman" w:hAnsi="Times New Roman" w:eastAsia="宋体" w:cs="Times New Roman"/>
      <w:sz w:val="24"/>
      <w:szCs w:val="24"/>
    </w:rPr>
  </w:style>
  <w:style w:type="character" w:customStyle="1" w:styleId="61">
    <w:name w:val="批注文字 字符1"/>
    <w:autoRedefine/>
    <w:semiHidden/>
    <w:qFormat/>
    <w:uiPriority w:val="0"/>
    <w:rPr>
      <w:rFonts w:ascii="Times New Roman" w:hAnsi="Times New Roman" w:eastAsia="宋体" w:cs="Times New Roman"/>
      <w:sz w:val="24"/>
      <w:szCs w:val="24"/>
    </w:rPr>
  </w:style>
  <w:style w:type="character" w:customStyle="1" w:styleId="62">
    <w:name w:val="正文文本 字符1"/>
    <w:autoRedefine/>
    <w:semiHidden/>
    <w:qFormat/>
    <w:uiPriority w:val="0"/>
    <w:rPr>
      <w:rFonts w:ascii="Times New Roman" w:hAnsi="Times New Roman" w:eastAsia="宋体" w:cs="Times New Roman"/>
      <w:sz w:val="24"/>
      <w:szCs w:val="24"/>
    </w:rPr>
  </w:style>
  <w:style w:type="character" w:customStyle="1" w:styleId="63">
    <w:name w:val="表格 Char"/>
    <w:link w:val="64"/>
    <w:autoRedefine/>
    <w:qFormat/>
    <w:locked/>
    <w:uiPriority w:val="0"/>
    <w:rPr>
      <w:rFonts w:ascii="宋体"/>
      <w:sz w:val="21"/>
    </w:rPr>
  </w:style>
  <w:style w:type="paragraph" w:customStyle="1" w:styleId="64">
    <w:name w:val="表格"/>
    <w:basedOn w:val="9"/>
    <w:next w:val="1"/>
    <w:link w:val="63"/>
    <w:autoRedefine/>
    <w:qFormat/>
    <w:uiPriority w:val="0"/>
    <w:pPr>
      <w:adjustRightInd w:val="0"/>
      <w:snapToGrid w:val="0"/>
      <w:spacing w:beforeLines="10" w:afterLines="10" w:line="259" w:lineRule="auto"/>
      <w:jc w:val="center"/>
    </w:pPr>
    <w:rPr>
      <w:rFonts w:ascii="宋体"/>
      <w:kern w:val="0"/>
      <w:sz w:val="20"/>
      <w:szCs w:val="21"/>
    </w:rPr>
  </w:style>
  <w:style w:type="character" w:customStyle="1" w:styleId="65">
    <w:name w:val="apple-converted-space"/>
    <w:autoRedefine/>
    <w:qFormat/>
    <w:uiPriority w:val="0"/>
    <w:rPr>
      <w:rFonts w:hint="default" w:ascii="Times New Roman" w:hAnsi="Times New Roman" w:cs="Times New Roman"/>
    </w:rPr>
  </w:style>
  <w:style w:type="paragraph" w:customStyle="1" w:styleId="66">
    <w:name w:val="样式 标题 1 + 首行缩进:  2 字符"/>
    <w:basedOn w:val="5"/>
    <w:autoRedefine/>
    <w:qFormat/>
    <w:uiPriority w:val="0"/>
    <w:pPr>
      <w:spacing w:before="0" w:after="0" w:line="720" w:lineRule="auto"/>
      <w:ind w:firstLine="200" w:firstLineChars="200"/>
      <w:jc w:val="center"/>
    </w:pPr>
    <w:rPr>
      <w:rFonts w:ascii="黑体" w:cs="宋体"/>
      <w:kern w:val="2"/>
      <w:sz w:val="36"/>
      <w:szCs w:val="20"/>
    </w:rPr>
  </w:style>
  <w:style w:type="paragraph" w:customStyle="1" w:styleId="67">
    <w:name w:val="报告表正文"/>
    <w:basedOn w:val="68"/>
    <w:next w:val="1"/>
    <w:autoRedefine/>
    <w:qFormat/>
    <w:uiPriority w:val="0"/>
    <w:pPr>
      <w:adjustRightInd w:val="0"/>
      <w:spacing w:line="312" w:lineRule="auto"/>
      <w:ind w:left="113" w:right="113" w:firstLine="482"/>
      <w:jc w:val="left"/>
      <w:textAlignment w:val="baseline"/>
    </w:pPr>
    <w:rPr>
      <w:kern w:val="0"/>
      <w:sz w:val="24"/>
    </w:rPr>
  </w:style>
  <w:style w:type="paragraph" w:customStyle="1" w:styleId="68">
    <w:name w:val="CM4"/>
    <w:basedOn w:val="1"/>
    <w:next w:val="1"/>
    <w:autoRedefine/>
    <w:qFormat/>
    <w:uiPriority w:val="0"/>
    <w:pPr>
      <w:keepNext/>
      <w:spacing w:line="520" w:lineRule="exact"/>
      <w:jc w:val="center"/>
    </w:pPr>
    <w:rPr>
      <w:b/>
      <w:kern w:val="0"/>
      <w:szCs w:val="21"/>
    </w:rPr>
  </w:style>
  <w:style w:type="paragraph" w:customStyle="1" w:styleId="69">
    <w:name w:val="表格标题"/>
    <w:basedOn w:val="1"/>
    <w:next w:val="1"/>
    <w:autoRedefine/>
    <w:qFormat/>
    <w:uiPriority w:val="0"/>
    <w:pPr>
      <w:tabs>
        <w:tab w:val="left" w:pos="5400"/>
      </w:tabs>
      <w:spacing w:before="156" w:beforeLines="50" w:after="156" w:afterLines="50" w:line="400" w:lineRule="exact"/>
      <w:jc w:val="center"/>
    </w:pPr>
    <w:rPr>
      <w:rFonts w:ascii="黑体" w:hAnsi="宋体" w:eastAsia="黑体"/>
      <w:color w:val="000000"/>
      <w:spacing w:val="4"/>
      <w:sz w:val="24"/>
    </w:rPr>
  </w:style>
  <w:style w:type="paragraph" w:customStyle="1" w:styleId="70">
    <w:name w:val="【表头】"/>
    <w:basedOn w:val="71"/>
    <w:autoRedefine/>
    <w:qFormat/>
    <w:uiPriority w:val="0"/>
    <w:pPr>
      <w:spacing w:line="460" w:lineRule="exact"/>
      <w:jc w:val="center"/>
    </w:pPr>
    <w:rPr>
      <w:rFonts w:eastAsia="黑体"/>
      <w:sz w:val="24"/>
    </w:rPr>
  </w:style>
  <w:style w:type="paragraph" w:customStyle="1" w:styleId="71">
    <w:name w:val="0"/>
    <w:basedOn w:val="1"/>
    <w:autoRedefine/>
    <w:qFormat/>
    <w:uiPriority w:val="99"/>
    <w:pPr>
      <w:widowControl/>
      <w:snapToGrid w:val="0"/>
      <w:jc w:val="left"/>
    </w:pPr>
    <w:rPr>
      <w:rFonts w:ascii="宋体"/>
      <w:kern w:val="0"/>
      <w:sz w:val="20"/>
      <w:szCs w:val="20"/>
    </w:rPr>
  </w:style>
  <w:style w:type="paragraph" w:customStyle="1" w:styleId="72">
    <w:name w:val="【正文】"/>
    <w:basedOn w:val="1"/>
    <w:next w:val="27"/>
    <w:autoRedefine/>
    <w:qFormat/>
    <w:uiPriority w:val="0"/>
    <w:pPr>
      <w:spacing w:line="440" w:lineRule="exact"/>
      <w:ind w:firstLine="544"/>
    </w:pPr>
    <w:rPr>
      <w:rFonts w:cs="宋体"/>
      <w:szCs w:val="20"/>
    </w:rPr>
  </w:style>
  <w:style w:type="paragraph" w:customStyle="1" w:styleId="73">
    <w:name w:val="正文00"/>
    <w:basedOn w:val="1"/>
    <w:autoRedefine/>
    <w:qFormat/>
    <w:uiPriority w:val="0"/>
    <w:pPr>
      <w:widowControl/>
      <w:spacing w:line="425" w:lineRule="atLeast"/>
      <w:ind w:left="107" w:leftChars="51" w:right="124" w:rightChars="59" w:firstLine="480"/>
      <w:textAlignment w:val="baseline"/>
    </w:pPr>
    <w:rPr>
      <w:rFonts w:ascii="Calibri"/>
      <w:sz w:val="28"/>
    </w:rPr>
  </w:style>
  <w:style w:type="paragraph" w:customStyle="1" w:styleId="74">
    <w:name w:val="样式4"/>
    <w:basedOn w:val="2"/>
    <w:autoRedefine/>
    <w:qFormat/>
    <w:uiPriority w:val="0"/>
    <w:pPr>
      <w:adjustRightInd w:val="0"/>
      <w:jc w:val="center"/>
    </w:pPr>
    <w:rPr>
      <w:sz w:val="24"/>
    </w:rPr>
  </w:style>
  <w:style w:type="paragraph" w:customStyle="1" w:styleId="75">
    <w:name w:val="Table Paragraph"/>
    <w:basedOn w:val="1"/>
    <w:autoRedefine/>
    <w:unhideWhenUsed/>
    <w:qFormat/>
    <w:uiPriority w:val="1"/>
    <w:rPr>
      <w:sz w:val="24"/>
    </w:rPr>
  </w:style>
  <w:style w:type="paragraph" w:customStyle="1" w:styleId="76">
    <w:name w:val="煤炭资源普查报告格式"/>
    <w:basedOn w:val="1"/>
    <w:autoRedefine/>
    <w:qFormat/>
    <w:uiPriority w:val="0"/>
    <w:pPr>
      <w:spacing w:line="500" w:lineRule="exact"/>
    </w:pPr>
  </w:style>
  <w:style w:type="paragraph" w:customStyle="1" w:styleId="77">
    <w:name w:val="表头文字"/>
    <w:basedOn w:val="1"/>
    <w:autoRedefine/>
    <w:qFormat/>
    <w:uiPriority w:val="0"/>
    <w:pPr>
      <w:adjustRightInd w:val="0"/>
      <w:jc w:val="center"/>
    </w:pPr>
    <w:rPr>
      <w:sz w:val="28"/>
      <w:szCs w:val="20"/>
    </w:rPr>
  </w:style>
  <w:style w:type="paragraph" w:customStyle="1" w:styleId="78">
    <w:name w:val="标题4"/>
    <w:basedOn w:val="73"/>
    <w:autoRedefine/>
    <w:qFormat/>
    <w:uiPriority w:val="0"/>
    <w:pPr>
      <w:ind w:left="51" w:right="59" w:firstLine="100" w:firstLineChars="100"/>
    </w:pPr>
    <w:rPr>
      <w:b/>
    </w:rPr>
  </w:style>
  <w:style w:type="paragraph" w:customStyle="1" w:styleId="79">
    <w:name w:val="正文----------------"/>
    <w:basedOn w:val="1"/>
    <w:autoRedefine/>
    <w:qFormat/>
    <w:uiPriority w:val="0"/>
    <w:pPr>
      <w:spacing w:line="440" w:lineRule="exact"/>
      <w:ind w:firstLine="544" w:firstLineChars="200"/>
    </w:pPr>
    <w:rPr>
      <w:rFonts w:ascii="Calibri" w:cs="宋体"/>
      <w:spacing w:val="16"/>
      <w:szCs w:val="20"/>
    </w:rPr>
  </w:style>
  <w:style w:type="paragraph" w:customStyle="1" w:styleId="80">
    <w:name w:val="表文"/>
    <w:basedOn w:val="1"/>
    <w:autoRedefine/>
    <w:qFormat/>
    <w:uiPriority w:val="0"/>
    <w:pPr>
      <w:tabs>
        <w:tab w:val="left" w:pos="6480"/>
      </w:tabs>
      <w:spacing w:line="360" w:lineRule="exact"/>
    </w:pPr>
    <w:rPr>
      <w:rFonts w:ascii="宋体" w:hAnsi="宋体"/>
      <w:sz w:val="24"/>
    </w:rPr>
  </w:style>
  <w:style w:type="paragraph" w:customStyle="1" w:styleId="81">
    <w:name w:val="表格文字"/>
    <w:basedOn w:val="1"/>
    <w:link w:val="149"/>
    <w:autoRedefine/>
    <w:qFormat/>
    <w:uiPriority w:val="0"/>
    <w:pPr>
      <w:jc w:val="center"/>
    </w:pPr>
    <w:rPr>
      <w:rFonts w:ascii="new times roma" w:hAnsi="new times roma"/>
    </w:rPr>
  </w:style>
  <w:style w:type="paragraph" w:styleId="82">
    <w:name w:val="No Spacing"/>
    <w:autoRedefine/>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83">
    <w:name w:val="表格内容"/>
    <w:basedOn w:val="84"/>
    <w:next w:val="1"/>
    <w:autoRedefine/>
    <w:qFormat/>
    <w:uiPriority w:val="0"/>
    <w:pPr>
      <w:spacing w:line="240" w:lineRule="exact"/>
    </w:pPr>
    <w:rPr>
      <w:snapToGrid w:val="0"/>
      <w:color w:val="FF0000"/>
      <w:kern w:val="0"/>
      <w:sz w:val="21"/>
      <w:szCs w:val="21"/>
    </w:rPr>
  </w:style>
  <w:style w:type="paragraph" w:customStyle="1" w:styleId="84">
    <w:name w:val="封皮-证书编号"/>
    <w:basedOn w:val="1"/>
    <w:autoRedefine/>
    <w:qFormat/>
    <w:uiPriority w:val="0"/>
    <w:pPr>
      <w:jc w:val="center"/>
    </w:pPr>
    <w:rPr>
      <w:rFonts w:eastAsia="黑体"/>
      <w:sz w:val="28"/>
    </w:rPr>
  </w:style>
  <w:style w:type="paragraph" w:customStyle="1" w:styleId="8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6">
    <w:name w:val="表头-------------"/>
    <w:basedOn w:val="1"/>
    <w:autoRedefine/>
    <w:qFormat/>
    <w:uiPriority w:val="0"/>
    <w:pPr>
      <w:spacing w:line="460" w:lineRule="exact"/>
      <w:jc w:val="center"/>
    </w:pPr>
    <w:rPr>
      <w:rFonts w:ascii="Calibri" w:eastAsia="黑体" w:cs="宋体"/>
      <w:szCs w:val="20"/>
    </w:rPr>
  </w:style>
  <w:style w:type="paragraph" w:customStyle="1" w:styleId="87">
    <w:name w:val="正文01"/>
    <w:basedOn w:val="1"/>
    <w:autoRedefine/>
    <w:qFormat/>
    <w:uiPriority w:val="0"/>
    <w:pPr>
      <w:spacing w:before="60" w:line="460" w:lineRule="exact"/>
      <w:ind w:firstLine="200" w:firstLineChars="200"/>
    </w:pPr>
    <w:rPr>
      <w:snapToGrid w:val="0"/>
      <w:kern w:val="0"/>
      <w:sz w:val="24"/>
    </w:rPr>
  </w:style>
  <w:style w:type="paragraph" w:customStyle="1" w:styleId="88">
    <w:name w:val="样式 正文文字-1 + 首行缩进:  2.1 字符1"/>
    <w:basedOn w:val="89"/>
    <w:autoRedefine/>
    <w:qFormat/>
    <w:uiPriority w:val="0"/>
    <w:pPr>
      <w:spacing w:line="440" w:lineRule="exact"/>
      <w:ind w:firstLine="210"/>
    </w:pPr>
    <w:rPr>
      <w:rFonts w:cs="宋体"/>
      <w:szCs w:val="20"/>
    </w:rPr>
  </w:style>
  <w:style w:type="paragraph" w:customStyle="1" w:styleId="89">
    <w:name w:val="正文文字-1 Char"/>
    <w:autoRedefine/>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90">
    <w:name w:val="表格正文"/>
    <w:basedOn w:val="1"/>
    <w:autoRedefine/>
    <w:qFormat/>
    <w:uiPriority w:val="0"/>
    <w:pPr>
      <w:spacing w:line="360" w:lineRule="exact"/>
      <w:ind w:firstLine="640" w:firstLineChars="200"/>
      <w:jc w:val="center"/>
    </w:pPr>
    <w:rPr>
      <w:sz w:val="28"/>
      <w:szCs w:val="28"/>
    </w:rPr>
  </w:style>
  <w:style w:type="paragraph" w:customStyle="1" w:styleId="91">
    <w:name w:val="Table caption|1"/>
    <w:basedOn w:val="1"/>
    <w:autoRedefine/>
    <w:qFormat/>
    <w:uiPriority w:val="0"/>
    <w:rPr>
      <w:rFonts w:ascii="宋体" w:hAnsi="宋体" w:cs="宋体"/>
      <w:sz w:val="13"/>
      <w:szCs w:val="13"/>
      <w:lang w:val="zh-TW" w:eastAsia="zh-TW" w:bidi="zh-TW"/>
    </w:rPr>
  </w:style>
  <w:style w:type="paragraph" w:customStyle="1" w:styleId="92">
    <w:name w:val="报告书正文"/>
    <w:basedOn w:val="1"/>
    <w:autoRedefine/>
    <w:qFormat/>
    <w:uiPriority w:val="0"/>
    <w:pPr>
      <w:adjustRightInd w:val="0"/>
      <w:snapToGrid w:val="0"/>
      <w:spacing w:line="360" w:lineRule="auto"/>
      <w:ind w:firstLine="425"/>
      <w:textAlignment w:val="baseline"/>
    </w:pPr>
    <w:rPr>
      <w:rFonts w:ascii="Arial" w:hAnsi="Arial"/>
      <w:kern w:val="0"/>
      <w:sz w:val="24"/>
    </w:rPr>
  </w:style>
  <w:style w:type="paragraph" w:customStyle="1" w:styleId="93">
    <w:name w:val="正文样式1"/>
    <w:basedOn w:val="1"/>
    <w:autoRedefine/>
    <w:qFormat/>
    <w:uiPriority w:val="0"/>
    <w:pPr>
      <w:adjustRightInd w:val="0"/>
      <w:spacing w:line="288" w:lineRule="auto"/>
      <w:ind w:firstLine="360" w:firstLineChars="150"/>
      <w:textAlignment w:val="baseline"/>
    </w:pPr>
    <w:rPr>
      <w:kern w:val="0"/>
      <w:sz w:val="24"/>
      <w:szCs w:val="20"/>
    </w:rPr>
  </w:style>
  <w:style w:type="paragraph" w:customStyle="1" w:styleId="94">
    <w:name w:val="正文_14"/>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_15"/>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96">
    <w:name w:val="List Paragraph"/>
    <w:basedOn w:val="1"/>
    <w:autoRedefine/>
    <w:qFormat/>
    <w:uiPriority w:val="34"/>
    <w:pPr>
      <w:ind w:firstLine="420" w:firstLineChars="200"/>
    </w:pPr>
    <w:rPr>
      <w:szCs w:val="22"/>
    </w:rPr>
  </w:style>
  <w:style w:type="paragraph" w:customStyle="1" w:styleId="97">
    <w:name w:val="表中字"/>
    <w:autoRedefine/>
    <w:qFormat/>
    <w:uiPriority w:val="0"/>
    <w:pPr>
      <w:jc w:val="center"/>
    </w:pPr>
    <w:rPr>
      <w:rFonts w:ascii="Times New Roman" w:hAnsi="Times New Roman" w:eastAsia="宋体" w:cs="Times New Roman"/>
      <w:kern w:val="2"/>
      <w:sz w:val="21"/>
      <w:szCs w:val="22"/>
      <w:lang w:val="zh-CN" w:eastAsia="zh-CN" w:bidi="ar-SA"/>
    </w:rPr>
  </w:style>
  <w:style w:type="paragraph" w:customStyle="1" w:styleId="98">
    <w:name w:val="样式 Times New Roman 五号 居中1"/>
    <w:basedOn w:val="1"/>
    <w:autoRedefine/>
    <w:qFormat/>
    <w:uiPriority w:val="0"/>
    <w:pPr>
      <w:jc w:val="center"/>
    </w:pPr>
    <w:rPr>
      <w:rFonts w:cs="宋体"/>
      <w:szCs w:val="20"/>
    </w:rPr>
  </w:style>
  <w:style w:type="paragraph" w:customStyle="1" w:styleId="99">
    <w:name w:val="_Style 3"/>
    <w:basedOn w:val="1"/>
    <w:autoRedefine/>
    <w:qFormat/>
    <w:uiPriority w:val="34"/>
    <w:pPr>
      <w:ind w:firstLine="420" w:firstLineChars="200"/>
    </w:pPr>
    <w:rPr>
      <w:rFonts w:ascii="Calibri" w:hAnsi="Calibri"/>
      <w:szCs w:val="22"/>
    </w:rPr>
  </w:style>
  <w:style w:type="paragraph" w:customStyle="1" w:styleId="100">
    <w:name w:val="表1"/>
    <w:next w:val="1"/>
    <w:autoRedefine/>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01">
    <w:name w:val="Body text|4"/>
    <w:basedOn w:val="1"/>
    <w:autoRedefine/>
    <w:qFormat/>
    <w:uiPriority w:val="0"/>
    <w:pPr>
      <w:spacing w:line="434" w:lineRule="auto"/>
      <w:ind w:firstLine="500"/>
    </w:pPr>
    <w:rPr>
      <w:color w:val="FF0000"/>
    </w:rPr>
  </w:style>
  <w:style w:type="paragraph" w:customStyle="1" w:styleId="102">
    <w:name w:val="Body text|1"/>
    <w:basedOn w:val="1"/>
    <w:autoRedefine/>
    <w:qFormat/>
    <w:uiPriority w:val="0"/>
    <w:pPr>
      <w:spacing w:line="480" w:lineRule="auto"/>
      <w:ind w:firstLine="400"/>
    </w:pPr>
    <w:rPr>
      <w:rFonts w:ascii="宋体" w:hAnsi="宋体" w:cs="宋体"/>
      <w:sz w:val="22"/>
      <w:szCs w:val="22"/>
      <w:lang w:val="zh-TW" w:eastAsia="zh-TW" w:bidi="zh-TW"/>
    </w:rPr>
  </w:style>
  <w:style w:type="paragraph" w:customStyle="1" w:styleId="103">
    <w:name w:val="Other|1"/>
    <w:basedOn w:val="1"/>
    <w:autoRedefine/>
    <w:qFormat/>
    <w:uiPriority w:val="0"/>
    <w:pPr>
      <w:jc w:val="center"/>
    </w:pPr>
    <w:rPr>
      <w:rFonts w:ascii="宋体" w:hAnsi="宋体" w:cs="宋体"/>
      <w:sz w:val="20"/>
      <w:szCs w:val="20"/>
      <w:lang w:val="zh-TW" w:eastAsia="zh-TW" w:bidi="zh-TW"/>
    </w:rPr>
  </w:style>
  <w:style w:type="paragraph" w:customStyle="1" w:styleId="104">
    <w:name w:val="首行缩进表格正文"/>
    <w:basedOn w:val="1"/>
    <w:autoRedefine/>
    <w:qFormat/>
    <w:uiPriority w:val="0"/>
    <w:pPr>
      <w:spacing w:line="360" w:lineRule="auto"/>
      <w:ind w:firstLine="720" w:firstLineChars="200"/>
      <w:jc w:val="left"/>
    </w:pPr>
  </w:style>
  <w:style w:type="paragraph" w:customStyle="1" w:styleId="105">
    <w:name w:val="C首行缩进正文"/>
    <w:basedOn w:val="72"/>
    <w:autoRedefine/>
    <w:qFormat/>
    <w:uiPriority w:val="0"/>
    <w:pPr>
      <w:spacing w:line="360" w:lineRule="auto"/>
      <w:ind w:firstLine="200"/>
    </w:pPr>
    <w:rPr>
      <w:color w:val="000000"/>
    </w:rPr>
  </w:style>
  <w:style w:type="paragraph" w:customStyle="1" w:styleId="106">
    <w:name w:val="C【表中文字】-"/>
    <w:basedOn w:val="1"/>
    <w:autoRedefine/>
    <w:qFormat/>
    <w:uiPriority w:val="0"/>
    <w:pPr>
      <w:adjustRightInd w:val="0"/>
      <w:snapToGrid w:val="0"/>
      <w:jc w:val="center"/>
    </w:pPr>
    <w:rPr>
      <w:kern w:val="0"/>
      <w:szCs w:val="20"/>
    </w:rPr>
  </w:style>
  <w:style w:type="paragraph" w:customStyle="1" w:styleId="107">
    <w:name w:val="正文_6"/>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08">
    <w:name w:val="11111"/>
    <w:basedOn w:val="1"/>
    <w:next w:val="1"/>
    <w:autoRedefine/>
    <w:qFormat/>
    <w:uiPriority w:val="0"/>
    <w:pPr>
      <w:spacing w:line="360" w:lineRule="auto"/>
      <w:ind w:firstLine="200" w:firstLineChars="200"/>
    </w:pPr>
    <w:rPr>
      <w:rFonts w:hAnsi="宋体" w:cs="宋体"/>
    </w:rPr>
  </w:style>
  <w:style w:type="character" w:customStyle="1" w:styleId="109">
    <w:name w:val="chakan"/>
    <w:basedOn w:val="35"/>
    <w:autoRedefine/>
    <w:qFormat/>
    <w:uiPriority w:val="0"/>
    <w:rPr>
      <w:color w:val="0064EA"/>
    </w:rPr>
  </w:style>
  <w:style w:type="character" w:customStyle="1" w:styleId="110">
    <w:name w:val="checkbox2"/>
    <w:basedOn w:val="35"/>
    <w:autoRedefine/>
    <w:qFormat/>
    <w:uiPriority w:val="0"/>
  </w:style>
  <w:style w:type="character" w:customStyle="1" w:styleId="111">
    <w:name w:val="shenbao"/>
    <w:basedOn w:val="35"/>
    <w:autoRedefine/>
    <w:qFormat/>
    <w:uiPriority w:val="0"/>
    <w:rPr>
      <w:color w:val="EF6334"/>
    </w:rPr>
  </w:style>
  <w:style w:type="character" w:customStyle="1" w:styleId="112">
    <w:name w:val="checkbox"/>
    <w:basedOn w:val="35"/>
    <w:autoRedefine/>
    <w:qFormat/>
    <w:uiPriority w:val="0"/>
  </w:style>
  <w:style w:type="paragraph" w:customStyle="1" w:styleId="113">
    <w:name w:val="表中"/>
    <w:basedOn w:val="1"/>
    <w:autoRedefine/>
    <w:qFormat/>
    <w:uiPriority w:val="0"/>
    <w:pPr>
      <w:spacing w:line="240" w:lineRule="exact"/>
    </w:pPr>
    <w:rPr>
      <w:szCs w:val="21"/>
    </w:rPr>
  </w:style>
  <w:style w:type="paragraph" w:customStyle="1" w:styleId="114">
    <w:name w:val="TOC2"/>
    <w:basedOn w:val="1"/>
    <w:next w:val="1"/>
    <w:autoRedefine/>
    <w:qFormat/>
    <w:uiPriority w:val="0"/>
    <w:pPr>
      <w:widowControl/>
      <w:spacing w:after="100" w:line="276" w:lineRule="auto"/>
      <w:ind w:left="220"/>
      <w:jc w:val="left"/>
      <w:textAlignment w:val="baseline"/>
    </w:pPr>
    <w:rPr>
      <w:rFonts w:ascii="Calibri" w:hAnsi="Calibri"/>
      <w:kern w:val="0"/>
      <w:sz w:val="22"/>
      <w:szCs w:val="22"/>
    </w:rPr>
  </w:style>
  <w:style w:type="paragraph" w:customStyle="1" w:styleId="115">
    <w:name w:val="中文报告书样式"/>
    <w:basedOn w:val="1"/>
    <w:autoRedefine/>
    <w:qFormat/>
    <w:uiPriority w:val="0"/>
    <w:pPr>
      <w:adjustRightInd w:val="0"/>
      <w:spacing w:line="480" w:lineRule="atLeast"/>
      <w:ind w:firstLine="482"/>
      <w:textAlignment w:val="baseline"/>
    </w:pPr>
    <w:rPr>
      <w:kern w:val="24"/>
      <w:szCs w:val="20"/>
    </w:rPr>
  </w:style>
  <w:style w:type="paragraph" w:customStyle="1" w:styleId="116">
    <w:name w:val="UserStyle_0"/>
    <w:basedOn w:val="117"/>
    <w:next w:val="118"/>
    <w:autoRedefine/>
    <w:qFormat/>
    <w:uiPriority w:val="0"/>
    <w:pPr>
      <w:spacing w:line="360" w:lineRule="auto"/>
      <w:ind w:firstLine="480" w:firstLineChars="200"/>
    </w:pPr>
    <w:rPr>
      <w:rFonts w:ascii="Calibri" w:hAnsi="Calibri"/>
      <w:sz w:val="24"/>
      <w:szCs w:val="22"/>
    </w:rPr>
  </w:style>
  <w:style w:type="paragraph" w:customStyle="1" w:styleId="117">
    <w:name w:val="UserStyle_1"/>
    <w:basedOn w:val="1"/>
    <w:next w:val="1"/>
    <w:autoRedefine/>
    <w:qFormat/>
    <w:uiPriority w:val="0"/>
    <w:pPr>
      <w:spacing w:after="120"/>
      <w:textAlignment w:val="baseline"/>
    </w:pPr>
  </w:style>
  <w:style w:type="paragraph" w:customStyle="1" w:styleId="118">
    <w:name w:val="TOC1"/>
    <w:basedOn w:val="1"/>
    <w:next w:val="1"/>
    <w:autoRedefine/>
    <w:qFormat/>
    <w:uiPriority w:val="0"/>
    <w:pPr>
      <w:spacing w:line="360" w:lineRule="auto"/>
      <w:textAlignment w:val="baseline"/>
    </w:pPr>
    <w:rPr>
      <w:rFonts w:ascii="Calibri" w:hAnsi="Calibri"/>
      <w:b/>
      <w:sz w:val="24"/>
      <w:szCs w:val="22"/>
    </w:rPr>
  </w:style>
  <w:style w:type="character" w:customStyle="1" w:styleId="119">
    <w:name w:val="NormalCharacter"/>
    <w:autoRedefine/>
    <w:qFormat/>
    <w:uiPriority w:val="0"/>
    <w:rPr>
      <w:kern w:val="2"/>
      <w:sz w:val="21"/>
      <w:szCs w:val="24"/>
      <w:lang w:val="en-US" w:eastAsia="zh-CN" w:bidi="ar-SA"/>
    </w:rPr>
  </w:style>
  <w:style w:type="paragraph" w:customStyle="1" w:styleId="120">
    <w:name w:val="表头1"/>
    <w:basedOn w:val="121"/>
    <w:next w:val="1"/>
    <w:autoRedefine/>
    <w:qFormat/>
    <w:uiPriority w:val="0"/>
    <w:pPr>
      <w:spacing w:before="120" w:beforeLines="50"/>
    </w:pPr>
  </w:style>
  <w:style w:type="paragraph" w:customStyle="1" w:styleId="121">
    <w:name w:val="文华表标题"/>
    <w:basedOn w:val="122"/>
    <w:autoRedefine/>
    <w:qFormat/>
    <w:uiPriority w:val="0"/>
    <w:pPr>
      <w:spacing w:line="240" w:lineRule="auto"/>
      <w:ind w:firstLine="0"/>
      <w:jc w:val="center"/>
    </w:pPr>
    <w:rPr>
      <w:rFonts w:eastAsia="黑体"/>
    </w:rPr>
  </w:style>
  <w:style w:type="paragraph" w:customStyle="1" w:styleId="122">
    <w:name w:val="文华表正文"/>
    <w:basedOn w:val="67"/>
    <w:autoRedefine/>
    <w:qFormat/>
    <w:uiPriority w:val="0"/>
  </w:style>
  <w:style w:type="paragraph" w:customStyle="1" w:styleId="123">
    <w:name w:val="xl25"/>
    <w:basedOn w:val="1"/>
    <w:autoRedefine/>
    <w:qFormat/>
    <w:uiPriority w:val="0"/>
    <w:pPr>
      <w:widowControl/>
      <w:pBdr>
        <w:bottom w:val="single" w:color="auto" w:sz="4" w:space="0"/>
        <w:right w:val="single" w:color="auto" w:sz="4" w:space="0"/>
      </w:pBdr>
      <w:spacing w:before="100" w:beforeAutospacing="1" w:after="100" w:afterAutospacing="1"/>
    </w:pPr>
    <w:rPr>
      <w:kern w:val="0"/>
      <w:szCs w:val="21"/>
    </w:rPr>
  </w:style>
  <w:style w:type="paragraph" w:customStyle="1" w:styleId="124">
    <w:name w:val="xl36"/>
    <w:basedOn w:val="1"/>
    <w:autoRedefine/>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rPr>
  </w:style>
  <w:style w:type="paragraph" w:customStyle="1" w:styleId="125">
    <w:name w:val="文华表1级标题1"/>
    <w:basedOn w:val="5"/>
    <w:next w:val="126"/>
    <w:autoRedefine/>
    <w:qFormat/>
    <w:uiPriority w:val="0"/>
    <w:pPr>
      <w:keepNext w:val="0"/>
    </w:pPr>
    <w:rPr>
      <w:kern w:val="4"/>
      <w:sz w:val="28"/>
    </w:rPr>
  </w:style>
  <w:style w:type="paragraph" w:customStyle="1" w:styleId="126">
    <w:name w:val="文本正文"/>
    <w:basedOn w:val="1"/>
    <w:autoRedefine/>
    <w:qFormat/>
    <w:uiPriority w:val="0"/>
    <w:pPr>
      <w:spacing w:line="360" w:lineRule="auto"/>
      <w:ind w:firstLine="480" w:firstLineChars="200"/>
    </w:pPr>
    <w:rPr>
      <w:rFonts w:ascii="Calibri" w:hAnsi="Calibri"/>
      <w:sz w:val="24"/>
    </w:rPr>
  </w:style>
  <w:style w:type="paragraph" w:customStyle="1" w:styleId="127">
    <w:name w:val="zxzx书正文"/>
    <w:basedOn w:val="1"/>
    <w:autoRedefine/>
    <w:qFormat/>
    <w:uiPriority w:val="0"/>
    <w:pPr>
      <w:widowControl/>
      <w:spacing w:line="440" w:lineRule="exact"/>
      <w:ind w:firstLine="880" w:firstLineChars="200"/>
      <w:jc w:val="left"/>
    </w:pPr>
    <w:rPr>
      <w:sz w:val="24"/>
    </w:rPr>
  </w:style>
  <w:style w:type="paragraph" w:customStyle="1" w:styleId="128">
    <w:name w:val="正文--环评"/>
    <w:basedOn w:val="1"/>
    <w:autoRedefine/>
    <w:qFormat/>
    <w:uiPriority w:val="0"/>
    <w:pPr>
      <w:spacing w:line="360" w:lineRule="auto"/>
      <w:ind w:firstLine="480" w:firstLineChars="200"/>
    </w:pPr>
    <w:rPr>
      <w:rFonts w:cs="宋体"/>
      <w:color w:val="000000"/>
      <w:spacing w:val="0"/>
      <w:sz w:val="24"/>
    </w:rPr>
  </w:style>
  <w:style w:type="paragraph" w:customStyle="1" w:styleId="129">
    <w:name w:val="表中文字（工大）"/>
    <w:basedOn w:val="1"/>
    <w:autoRedefine/>
    <w:qFormat/>
    <w:uiPriority w:val="0"/>
    <w:pPr>
      <w:spacing w:line="440" w:lineRule="exact"/>
      <w:jc w:val="center"/>
    </w:pPr>
    <w:rPr>
      <w:sz w:val="21"/>
      <w:szCs w:val="20"/>
    </w:rPr>
  </w:style>
  <w:style w:type="character" w:customStyle="1" w:styleId="130">
    <w:name w:val="font11"/>
    <w:basedOn w:val="35"/>
    <w:autoRedefine/>
    <w:qFormat/>
    <w:uiPriority w:val="0"/>
    <w:rPr>
      <w:rFonts w:hint="default" w:ascii="Times New Roman" w:hAnsi="Times New Roman" w:cs="Times New Roman"/>
      <w:color w:val="000000"/>
      <w:sz w:val="18"/>
      <w:szCs w:val="18"/>
      <w:u w:val="none"/>
    </w:rPr>
  </w:style>
  <w:style w:type="character" w:customStyle="1" w:styleId="131">
    <w:name w:val="font21"/>
    <w:basedOn w:val="35"/>
    <w:autoRedefine/>
    <w:qFormat/>
    <w:uiPriority w:val="0"/>
    <w:rPr>
      <w:rFonts w:hint="eastAsia" w:ascii="宋体" w:hAnsi="宋体" w:eastAsia="宋体" w:cs="宋体"/>
      <w:color w:val="000000"/>
      <w:sz w:val="18"/>
      <w:szCs w:val="18"/>
      <w:u w:val="none"/>
    </w:rPr>
  </w:style>
  <w:style w:type="paragraph" w:customStyle="1" w:styleId="132">
    <w:name w:val="文本框样式"/>
    <w:basedOn w:val="1"/>
    <w:autoRedefine/>
    <w:qFormat/>
    <w:uiPriority w:val="0"/>
    <w:pPr>
      <w:spacing w:line="240" w:lineRule="auto"/>
      <w:ind w:firstLine="0" w:firstLineChars="0"/>
      <w:jc w:val="center"/>
    </w:pPr>
    <w:rPr>
      <w:sz w:val="21"/>
    </w:rPr>
  </w:style>
  <w:style w:type="paragraph" w:customStyle="1" w:styleId="133">
    <w:name w:val="表"/>
    <w:autoRedefine/>
    <w:qFormat/>
    <w:uiPriority w:val="0"/>
    <w:pPr>
      <w:spacing w:line="440" w:lineRule="exact"/>
      <w:ind w:firstLine="200" w:firstLineChars="200"/>
      <w:jc w:val="both"/>
    </w:pPr>
    <w:rPr>
      <w:rFonts w:ascii="Calibri" w:hAnsi="Calibri" w:eastAsia="宋体" w:cs="Times New Roman"/>
      <w:sz w:val="24"/>
      <w:lang w:val="en-US" w:eastAsia="zh-CN" w:bidi="ar-SA"/>
    </w:rPr>
  </w:style>
  <w:style w:type="paragraph" w:customStyle="1" w:styleId="134">
    <w:name w:val="cucd-0"/>
    <w:autoRedefine/>
    <w:qFormat/>
    <w:uiPriority w:val="0"/>
    <w:pPr>
      <w:numPr>
        <w:ilvl w:val="0"/>
        <w:numId w:val="2"/>
      </w:numPr>
      <w:tabs>
        <w:tab w:val="left" w:pos="3485"/>
      </w:tabs>
      <w:spacing w:line="360" w:lineRule="auto"/>
    </w:pPr>
    <w:rPr>
      <w:rFonts w:ascii="Times New Roman" w:hAnsi="Times New Roman" w:eastAsia="宋体" w:cs="Times New Roman"/>
      <w:kern w:val="2"/>
      <w:sz w:val="24"/>
      <w:szCs w:val="24"/>
      <w:lang w:val="en-US" w:eastAsia="zh-CN" w:bidi="ar-SA"/>
    </w:rPr>
  </w:style>
  <w:style w:type="paragraph" w:customStyle="1" w:styleId="135">
    <w:name w:val="段落正文"/>
    <w:basedOn w:val="1"/>
    <w:autoRedefine/>
    <w:qFormat/>
    <w:uiPriority w:val="0"/>
    <w:pPr>
      <w:widowControl w:val="0"/>
      <w:spacing w:line="500" w:lineRule="atLeast"/>
    </w:pPr>
    <w:rPr>
      <w:rFonts w:eastAsia="仿宋_GB2312"/>
      <w:szCs w:val="28"/>
    </w:rPr>
  </w:style>
  <w:style w:type="character" w:customStyle="1" w:styleId="136">
    <w:name w:val="标题 1 Char1"/>
    <w:link w:val="5"/>
    <w:autoRedefine/>
    <w:qFormat/>
    <w:uiPriority w:val="0"/>
    <w:rPr>
      <w:rFonts w:eastAsia="黑体"/>
      <w:b/>
      <w:bCs/>
      <w:color w:val="000000"/>
      <w:kern w:val="44"/>
      <w:sz w:val="30"/>
      <w:szCs w:val="30"/>
    </w:rPr>
  </w:style>
  <w:style w:type="character" w:customStyle="1" w:styleId="137">
    <w:name w:val="标题 2 Char"/>
    <w:link w:val="6"/>
    <w:autoRedefine/>
    <w:qFormat/>
    <w:uiPriority w:val="0"/>
    <w:rPr>
      <w:rFonts w:ascii="Arial" w:hAnsi="Arial" w:eastAsia="黑体"/>
      <w:b/>
      <w:bCs/>
      <w:sz w:val="32"/>
      <w:szCs w:val="32"/>
    </w:rPr>
  </w:style>
  <w:style w:type="paragraph" w:customStyle="1" w:styleId="138">
    <w:name w:val="表体"/>
    <w:basedOn w:val="1"/>
    <w:autoRedefine/>
    <w:qFormat/>
    <w:uiPriority w:val="0"/>
    <w:pPr>
      <w:spacing w:line="240" w:lineRule="auto"/>
    </w:pPr>
    <w:rPr>
      <w:sz w:val="21"/>
      <w:szCs w:val="21"/>
    </w:rPr>
  </w:style>
  <w:style w:type="paragraph" w:customStyle="1" w:styleId="139">
    <w:name w:val="Char Char Char Char Char Char Char2"/>
    <w:basedOn w:val="1"/>
    <w:autoRedefine/>
    <w:qFormat/>
    <w:uiPriority w:val="0"/>
    <w:pPr>
      <w:snapToGrid w:val="0"/>
      <w:spacing w:line="360" w:lineRule="auto"/>
      <w:ind w:firstLine="529" w:firstLineChars="200"/>
    </w:pPr>
  </w:style>
  <w:style w:type="paragraph" w:customStyle="1" w:styleId="140">
    <w:name w:val="表格题目"/>
    <w:basedOn w:val="1"/>
    <w:autoRedefine/>
    <w:qFormat/>
    <w:uiPriority w:val="0"/>
    <w:pPr>
      <w:spacing w:line="240" w:lineRule="atLeast"/>
      <w:jc w:val="center"/>
    </w:pPr>
    <w:rPr>
      <w:rFonts w:ascii="黑体" w:hAnsi="宋体" w:eastAsia="黑体"/>
      <w:sz w:val="24"/>
    </w:rPr>
  </w:style>
  <w:style w:type="table" w:customStyle="1" w:styleId="141">
    <w:name w:val="Table Normal"/>
    <w:autoRedefine/>
    <w:semiHidden/>
    <w:unhideWhenUsed/>
    <w:qFormat/>
    <w:uiPriority w:val="0"/>
    <w:tblPr>
      <w:tblCellMar>
        <w:top w:w="0" w:type="dxa"/>
        <w:left w:w="0" w:type="dxa"/>
        <w:bottom w:w="0" w:type="dxa"/>
        <w:right w:w="0" w:type="dxa"/>
      </w:tblCellMar>
    </w:tblPr>
  </w:style>
  <w:style w:type="character" w:customStyle="1" w:styleId="142">
    <w:name w:val="正文（首行缩进两字） Char"/>
    <w:autoRedefine/>
    <w:qFormat/>
    <w:uiPriority w:val="0"/>
    <w:rPr>
      <w:rFonts w:eastAsia="宋体"/>
      <w:kern w:val="2"/>
      <w:sz w:val="24"/>
      <w:lang w:val="en-US" w:eastAsia="zh-CN"/>
    </w:rPr>
  </w:style>
  <w:style w:type="paragraph" w:customStyle="1" w:styleId="143">
    <w:name w:val="表中文字"/>
    <w:basedOn w:val="1"/>
    <w:autoRedefine/>
    <w:qFormat/>
    <w:uiPriority w:val="0"/>
    <w:pPr>
      <w:jc w:val="center"/>
    </w:pPr>
    <w:rPr>
      <w:szCs w:val="20"/>
    </w:rPr>
  </w:style>
  <w:style w:type="paragraph" w:customStyle="1" w:styleId="144">
    <w:name w:val="正文格式"/>
    <w:basedOn w:val="1"/>
    <w:next w:val="1"/>
    <w:autoRedefine/>
    <w:qFormat/>
    <w:uiPriority w:val="0"/>
    <w:pPr>
      <w:spacing w:line="360" w:lineRule="auto"/>
      <w:ind w:firstLine="482"/>
    </w:pPr>
  </w:style>
  <w:style w:type="paragraph" w:customStyle="1" w:styleId="145">
    <w:name w:val="Table Text"/>
    <w:basedOn w:val="1"/>
    <w:autoRedefine/>
    <w:semiHidden/>
    <w:qFormat/>
    <w:uiPriority w:val="0"/>
    <w:rPr>
      <w:rFonts w:ascii="宋体" w:hAnsi="宋体" w:eastAsia="宋体" w:cs="宋体"/>
      <w:sz w:val="24"/>
      <w:szCs w:val="24"/>
      <w:lang w:val="en-US" w:eastAsia="en-US" w:bidi="ar-SA"/>
    </w:rPr>
  </w:style>
  <w:style w:type="paragraph" w:customStyle="1" w:styleId="146">
    <w:name w:val="【表中文字】"/>
    <w:basedOn w:val="147"/>
    <w:autoRedefine/>
    <w:qFormat/>
    <w:uiPriority w:val="0"/>
    <w:pPr>
      <w:jc w:val="center"/>
    </w:pPr>
    <w:rPr>
      <w:kern w:val="0"/>
      <w:szCs w:val="20"/>
    </w:rPr>
  </w:style>
  <w:style w:type="paragraph" w:customStyle="1" w:styleId="147">
    <w:name w:val=".表1-1-1内容"/>
    <w:basedOn w:val="1"/>
    <w:autoRedefine/>
    <w:qFormat/>
    <w:uiPriority w:val="0"/>
    <w:pPr>
      <w:spacing w:line="300" w:lineRule="exact"/>
      <w:jc w:val="center"/>
    </w:pPr>
    <w:rPr>
      <w:kern w:val="0"/>
      <w:szCs w:val="21"/>
    </w:rPr>
  </w:style>
  <w:style w:type="paragraph" w:customStyle="1" w:styleId="148">
    <w:name w:val="a正文"/>
    <w:basedOn w:val="144"/>
    <w:autoRedefine/>
    <w:qFormat/>
    <w:uiPriority w:val="0"/>
    <w:pPr>
      <w:spacing w:line="520" w:lineRule="exact"/>
      <w:ind w:firstLine="200" w:firstLineChars="200"/>
    </w:pPr>
    <w:rPr>
      <w:kern w:val="0"/>
      <w:szCs w:val="21"/>
    </w:rPr>
  </w:style>
  <w:style w:type="character" w:customStyle="1" w:styleId="149">
    <w:name w:val="表格文字 Char"/>
    <w:link w:val="81"/>
    <w:autoRedefine/>
    <w:qFormat/>
    <w:uiPriority w:val="0"/>
    <w:rPr>
      <w:rFonts w:ascii="new times roma" w:hAnsi="new times roma"/>
    </w:rPr>
  </w:style>
  <w:style w:type="paragraph" w:customStyle="1" w:styleId="150">
    <w:name w:val="表表头"/>
    <w:basedOn w:val="1"/>
    <w:autoRedefine/>
    <w:qFormat/>
    <w:uiPriority w:val="0"/>
    <w:pPr>
      <w:jc w:val="center"/>
    </w:pPr>
    <w:rPr>
      <w:rFonts w:ascii="Calibri" w:hAnsi="Calibri" w:eastAsia="黑体"/>
    </w:rPr>
  </w:style>
  <w:style w:type="character" w:customStyle="1" w:styleId="151">
    <w:name w:val="【正文】 Char1"/>
    <w:autoRedefine/>
    <w:qFormat/>
    <w:locked/>
    <w:uiPriority w:val="0"/>
    <w:rPr>
      <w:rFonts w:ascii="Times New Roman" w:hAnsi="Times New Roman" w:eastAsia="宋体" w:cs="Times New Roman"/>
      <w:sz w:val="24"/>
      <w:szCs w:val="24"/>
    </w:rPr>
  </w:style>
  <w:style w:type="paragraph" w:customStyle="1" w:styleId="152">
    <w:name w:val="正文首行缩进1"/>
    <w:basedOn w:val="1"/>
    <w:autoRedefine/>
    <w:qFormat/>
    <w:uiPriority w:val="0"/>
    <w:pPr>
      <w:widowControl w:val="0"/>
      <w:snapToGrid/>
      <w:spacing w:before="0" w:after="120" w:line="240" w:lineRule="auto"/>
      <w:ind w:right="0" w:firstLine="420" w:firstLineChars="100"/>
    </w:pPr>
    <w:rPr>
      <w:kern w:val="2"/>
      <w:sz w:val="21"/>
      <w:szCs w:val="24"/>
    </w:rPr>
  </w:style>
  <w:style w:type="paragraph" w:customStyle="1" w:styleId="153">
    <w:name w:val="正文缩进1"/>
    <w:basedOn w:val="1"/>
    <w:autoRedefine/>
    <w:qFormat/>
    <w:uiPriority w:val="0"/>
    <w:pPr>
      <w:ind w:firstLine="420"/>
    </w:pPr>
    <w:rPr>
      <w:rFonts w:eastAsia="宋体"/>
      <w:sz w:val="28"/>
    </w:rPr>
  </w:style>
  <w:style w:type="paragraph" w:customStyle="1" w:styleId="154">
    <w:name w:val="专篇正文"/>
    <w:basedOn w:val="72"/>
    <w:autoRedefine/>
    <w:qFormat/>
    <w:uiPriority w:val="0"/>
  </w:style>
  <w:style w:type="paragraph" w:customStyle="1" w:styleId="155">
    <w:name w:val="a表格标题"/>
    <w:basedOn w:val="1"/>
    <w:autoRedefine/>
    <w:qFormat/>
    <w:uiPriority w:val="0"/>
    <w:pPr>
      <w:widowControl/>
      <w:spacing w:line="360" w:lineRule="auto"/>
      <w:jc w:val="center"/>
    </w:pPr>
    <w:rPr>
      <w:b/>
      <w:kern w:val="0"/>
      <w:szCs w:val="21"/>
    </w:rPr>
  </w:style>
  <w:style w:type="paragraph" w:customStyle="1" w:styleId="156">
    <w:name w:val="盂县"/>
    <w:basedOn w:val="1"/>
    <w:autoRedefine/>
    <w:qFormat/>
    <w:uiPriority w:val="0"/>
    <w:pPr>
      <w:adjustRightInd w:val="0"/>
      <w:snapToGrid w:val="0"/>
      <w:spacing w:line="312" w:lineRule="auto"/>
      <w:ind w:firstLine="560" w:firstLineChars="200"/>
    </w:pPr>
    <w:rPr>
      <w:sz w:val="28"/>
    </w:rPr>
  </w:style>
  <w:style w:type="paragraph" w:customStyle="1" w:styleId="157">
    <w:name w:val="填表样式"/>
    <w:autoRedefine/>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1"/>
      <w:szCs w:val="24"/>
      <w:lang w:val="en-US" w:eastAsia="zh-CN" w:bidi="ar-SA"/>
    </w:rPr>
  </w:style>
  <w:style w:type="paragraph" w:customStyle="1" w:styleId="158">
    <w:name w:val="C【表头】"/>
    <w:basedOn w:val="1"/>
    <w:autoRedefine/>
    <w:qFormat/>
    <w:uiPriority w:val="0"/>
    <w:pPr>
      <w:widowControl/>
      <w:adjustRightInd w:val="0"/>
      <w:snapToGrid w:val="0"/>
      <w:jc w:val="center"/>
    </w:pPr>
    <w:rPr>
      <w:rFonts w:eastAsia="黑体" w:cs="宋体"/>
      <w:kern w:val="0"/>
      <w:sz w:val="24"/>
      <w:szCs w:val="20"/>
    </w:rPr>
  </w:style>
  <w:style w:type="paragraph" w:customStyle="1" w:styleId="159">
    <w:name w:val="C表两端"/>
    <w:basedOn w:val="1"/>
    <w:autoRedefine/>
    <w:qFormat/>
    <w:uiPriority w:val="0"/>
    <w:pPr>
      <w:adjustRightInd w:val="0"/>
      <w:snapToGrid w:val="0"/>
    </w:pPr>
    <w:rPr>
      <w:kern w:val="0"/>
      <w:szCs w:val="20"/>
    </w:rPr>
  </w:style>
  <w:style w:type="paragraph" w:customStyle="1" w:styleId="160">
    <w:name w:val="图注"/>
    <w:basedOn w:val="1"/>
    <w:autoRedefine/>
    <w:qFormat/>
    <w:uiPriority w:val="0"/>
    <w:pPr>
      <w:ind w:firstLine="0" w:firstLineChars="0"/>
      <w:jc w:val="center"/>
    </w:pPr>
    <w:rPr>
      <w:rFonts w:eastAsia="黑体"/>
    </w:rPr>
  </w:style>
  <w:style w:type="character" w:customStyle="1" w:styleId="161">
    <w:name w:val="【表中文字】 Char"/>
    <w:autoRedefine/>
    <w:qFormat/>
    <w:uiPriority w:val="0"/>
    <w:rPr>
      <w:rFonts w:hint="default" w:ascii="Times New Roman" w:hAnsi="Times New Roman" w:cs="Times New Roman"/>
      <w:kern w:val="2"/>
      <w:sz w:val="21"/>
    </w:rPr>
  </w:style>
  <w:style w:type="paragraph" w:customStyle="1" w:styleId="162">
    <w:name w:val="环评正文"/>
    <w:basedOn w:val="1"/>
    <w:autoRedefine/>
    <w:qFormat/>
    <w:uiPriority w:val="0"/>
    <w:pPr>
      <w:spacing w:line="360" w:lineRule="auto"/>
      <w:ind w:firstLine="200" w:firstLineChars="200"/>
    </w:pPr>
    <w:rPr>
      <w:rFonts w:ascii="Cambria Math" w:hAnsi="Cambria Math" w:eastAsia="Arial" w:cs="Cambria Math"/>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1.pn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4.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Yu</Manager>
  <Company>-</Company>
  <Pages>88</Pages>
  <Words>15711</Words>
  <Characters>17103</Characters>
  <Lines>1</Lines>
  <Paragraphs>1</Paragraphs>
  <TotalTime>1</TotalTime>
  <ScaleCrop>false</ScaleCrop>
  <LinksUpToDate>false</LinksUpToDate>
  <CharactersWithSpaces>17243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Yu</dc:creator>
  <cp:lastModifiedBy>F-Hawk</cp:lastModifiedBy>
  <cp:lastPrinted>2021-09-16T08:57:00Z</cp:lastPrinted>
  <dcterms:modified xsi:type="dcterms:W3CDTF">2025-03-17T02:39:17Z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E263CF9A727A4BF787C34C3C3032544F_13</vt:lpwstr>
  </property>
  <property fmtid="{D5CDD505-2E9C-101B-9397-08002B2CF9AE}" pid="4" name="KSOTemplateDocerSaveRecord">
    <vt:lpwstr>eyJoZGlkIjoiYTBmMzQ1MTAwZDg4M2M3ZGE5ODhkNTE5MjAwOTUxYTkiLCJ1c2VySWQiOiI0MjMxNjkwOTIifQ==</vt:lpwstr>
  </property>
</Properties>
</file>